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b/>
          <w:color w:val="000000" w:themeColor="text1"/>
          <w:sz w:val="28"/>
          <w:szCs w:val="28"/>
          <w:lang w:eastAsia="zh-CN"/>
          <w14:textFill>
            <w14:solidFill>
              <w14:schemeClr w14:val="tx1"/>
            </w14:solidFill>
          </w14:textFill>
        </w:rPr>
        <w:sectPr>
          <w:headerReference r:id="rId3" w:type="default"/>
          <w:pgSz w:w="11906" w:h="16838"/>
          <w:pgMar w:top="1440" w:right="1440" w:bottom="1440" w:left="1440" w:header="851" w:footer="680" w:gutter="0"/>
          <w:pgBorders>
            <w:top w:val="none" w:sz="0" w:space="0"/>
            <w:left w:val="none" w:sz="0" w:space="0"/>
            <w:bottom w:val="none" w:sz="0" w:space="0"/>
            <w:right w:val="none" w:sz="0" w:space="0"/>
          </w:pgBorders>
          <w:pgNumType w:start="1"/>
          <w:cols w:space="720" w:num="1"/>
          <w:docGrid w:linePitch="326" w:charSpace="0"/>
        </w:sectPr>
      </w:pPr>
      <w:r>
        <w:rPr>
          <w:rFonts w:hint="eastAsia" w:eastAsia="宋体"/>
          <w:b/>
          <w:color w:val="000000" w:themeColor="text1"/>
          <w:sz w:val="28"/>
          <w:szCs w:val="28"/>
          <w:lang w:eastAsia="zh-CN"/>
          <w14:textFill>
            <w14:solidFill>
              <w14:schemeClr w14:val="tx1"/>
            </w14:solidFill>
          </w14:textFill>
        </w:rPr>
        <w:drawing>
          <wp:inline distT="0" distB="0" distL="114300" distR="114300">
            <wp:extent cx="5729605" cy="8021955"/>
            <wp:effectExtent l="0" t="0" r="4445" b="17145"/>
            <wp:docPr id="39" name="图片 39" descr="8850c069470193a44a8549a14cbb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850c069470193a44a8549a14cbb8e7"/>
                    <pic:cNvPicPr>
                      <a:picLocks noChangeAspect="1"/>
                    </pic:cNvPicPr>
                  </pic:nvPicPr>
                  <pic:blipFill>
                    <a:blip r:embed="rId9"/>
                    <a:stretch>
                      <a:fillRect/>
                    </a:stretch>
                  </pic:blipFill>
                  <pic:spPr>
                    <a:xfrm>
                      <a:off x="0" y="0"/>
                      <a:ext cx="5729605" cy="8021955"/>
                    </a:xfrm>
                    <a:prstGeom prst="rect">
                      <a:avLst/>
                    </a:prstGeom>
                  </pic:spPr>
                </pic:pic>
              </a:graphicData>
            </a:graphic>
          </wp:inline>
        </w:drawing>
      </w:r>
    </w:p>
    <w:p>
      <w:pPr>
        <w:jc w:val="center"/>
        <w:rPr>
          <w:rFonts w:hint="eastAsia" w:eastAsia="宋体"/>
          <w:b/>
          <w:color w:val="000000" w:themeColor="text1"/>
          <w:sz w:val="28"/>
          <w:szCs w:val="28"/>
          <w:lang w:eastAsia="zh-CN"/>
          <w14:textFill>
            <w14:solidFill>
              <w14:schemeClr w14:val="tx1"/>
            </w14:solidFill>
          </w14:textFill>
        </w:rPr>
        <w:sectPr>
          <w:pgSz w:w="11906" w:h="16838"/>
          <w:pgMar w:top="1440" w:right="1440" w:bottom="1440" w:left="1440" w:header="851" w:footer="680" w:gutter="0"/>
          <w:pgBorders>
            <w:top w:val="none" w:sz="0" w:space="0"/>
            <w:left w:val="none" w:sz="0" w:space="0"/>
            <w:bottom w:val="none" w:sz="0" w:space="0"/>
            <w:right w:val="none" w:sz="0" w:space="0"/>
          </w:pgBorders>
          <w:pgNumType w:start="1"/>
          <w:cols w:space="720" w:num="1"/>
          <w:docGrid w:linePitch="326" w:charSpace="0"/>
        </w:sectPr>
      </w:pPr>
      <w:r>
        <w:rPr>
          <w:rFonts w:hint="eastAsia" w:eastAsia="宋体"/>
          <w:b/>
          <w:color w:val="000000" w:themeColor="text1"/>
          <w:sz w:val="28"/>
          <w:szCs w:val="28"/>
          <w:lang w:eastAsia="zh-CN"/>
          <w14:textFill>
            <w14:solidFill>
              <w14:schemeClr w14:val="tx1"/>
            </w14:solidFill>
          </w14:textFill>
        </w:rPr>
        <w:drawing>
          <wp:inline distT="0" distB="0" distL="114300" distR="114300">
            <wp:extent cx="5729605" cy="8042910"/>
            <wp:effectExtent l="0" t="0" r="4445" b="15240"/>
            <wp:docPr id="40" name="图片 40" descr="周易鸣会议纪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周易鸣会议纪要"/>
                    <pic:cNvPicPr>
                      <a:picLocks noChangeAspect="1"/>
                    </pic:cNvPicPr>
                  </pic:nvPicPr>
                  <pic:blipFill>
                    <a:blip r:embed="rId10"/>
                    <a:stretch>
                      <a:fillRect/>
                    </a:stretch>
                  </pic:blipFill>
                  <pic:spPr>
                    <a:xfrm>
                      <a:off x="0" y="0"/>
                      <a:ext cx="5729605" cy="8042910"/>
                    </a:xfrm>
                    <a:prstGeom prst="rect">
                      <a:avLst/>
                    </a:prstGeom>
                  </pic:spPr>
                </pic:pic>
              </a:graphicData>
            </a:graphic>
          </wp:inline>
        </w:drawing>
      </w:r>
    </w:p>
    <w:p>
      <w:pPr>
        <w:jc w:val="center"/>
        <w:rPr>
          <w:rFonts w:hint="default" w:ascii="Times New Roman" w:hAnsi="Times New Roman" w:cs="Times New Roman"/>
          <w:b/>
          <w:i w:val="0"/>
          <w:iCs w:val="0"/>
          <w:color w:val="000000" w:themeColor="text1"/>
          <w:kern w:val="2"/>
          <w:sz w:val="28"/>
          <w:szCs w:val="28"/>
          <w:lang w:val="en-US" w:eastAsia="zh-CN" w:bidi="ar-SA"/>
          <w14:textFill>
            <w14:solidFill>
              <w14:schemeClr w14:val="tx1"/>
            </w14:solidFill>
          </w14:textFill>
        </w:rPr>
      </w:pPr>
      <w:r>
        <w:rPr>
          <w:b/>
          <w:color w:val="000000" w:themeColor="text1"/>
          <w:sz w:val="28"/>
          <w:szCs w:val="28"/>
          <w14:textFill>
            <w14:solidFill>
              <w14:schemeClr w14:val="tx1"/>
            </w14:solidFill>
          </w14:textFill>
        </w:rPr>
        <w:t>目 录</w:t>
      </w:r>
      <w:r>
        <w:rPr>
          <w:rFonts w:hint="default" w:ascii="Times New Roman" w:hAnsi="Times New Roman" w:cs="Times New Roman"/>
          <w:b/>
          <w:i w:val="0"/>
          <w:iCs w:val="0"/>
          <w:color w:val="000000" w:themeColor="text1"/>
          <w:sz w:val="28"/>
          <w:szCs w:val="28"/>
          <w14:textFill>
            <w14:solidFill>
              <w14:schemeClr w14:val="tx1"/>
            </w14:solidFill>
          </w14:textFill>
        </w:rPr>
        <w:fldChar w:fldCharType="begin"/>
      </w:r>
      <w:r>
        <w:rPr>
          <w:rFonts w:hint="default" w:ascii="Times New Roman" w:hAnsi="Times New Roman" w:cs="Times New Roman"/>
          <w:b/>
          <w:i w:val="0"/>
          <w:iCs w:val="0"/>
          <w:color w:val="000000" w:themeColor="text1"/>
          <w:sz w:val="28"/>
          <w:szCs w:val="28"/>
          <w14:textFill>
            <w14:solidFill>
              <w14:schemeClr w14:val="tx1"/>
            </w14:solidFill>
          </w14:textFill>
        </w:rPr>
        <w:instrText xml:space="preserve"> TOC \o "1-2" \h \z \u </w:instrText>
      </w:r>
      <w:r>
        <w:rPr>
          <w:rFonts w:hint="default" w:ascii="Times New Roman" w:hAnsi="Times New Roman" w:cs="Times New Roman"/>
          <w:b/>
          <w:i w:val="0"/>
          <w:iCs w:val="0"/>
          <w:color w:val="000000" w:themeColor="text1"/>
          <w:sz w:val="28"/>
          <w:szCs w:val="28"/>
          <w14:textFill>
            <w14:solidFill>
              <w14:schemeClr w14:val="tx1"/>
            </w14:solidFill>
          </w14:textFill>
        </w:rPr>
        <w:fldChar w:fldCharType="separate"/>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_Toc13927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lang w:val="en-US" w:eastAsia="zh-CN"/>
          <w14:textFill>
            <w14:solidFill>
              <w14:schemeClr w14:val="tx1"/>
            </w14:solidFill>
          </w14:textFill>
        </w:rPr>
        <w:t>1</w:t>
      </w:r>
      <w:r>
        <w:rPr>
          <w:rFonts w:hint="default" w:ascii="Times New Roman" w:hAnsi="Times New Roman" w:cs="Times New Roman"/>
          <w:i w:val="0"/>
          <w:iCs w:val="0"/>
          <w:color w:val="000000" w:themeColor="text1"/>
          <w14:textFill>
            <w14:solidFill>
              <w14:schemeClr w14:val="tx1"/>
            </w14:solidFill>
          </w14:textFill>
        </w:rPr>
        <w:t>概述</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_Toc13927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_Toc9692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1.1 项目由来</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_Toc9692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_Toc7291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 评价目的</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_Toc7291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_Toc10963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1.3 环境影响评价工作过程</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_Toc10963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_Toc9631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1.4 分析判定相关情况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_Toc9631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_Toc3698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1.5 关注的主要环境问题</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_Toc3698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_Toc10307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1.6 环境影响报告书主要结论</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_Toc10307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_Toc32289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 总论</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_Toc32289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_Toc29188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2.1 编制依据</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_Toc29188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_Toc22422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2.2 评价目的及原则</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_Toc22422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16</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_Toc15906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2.3 评价时段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_Toc15906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_Toc29671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2.4 评价重点</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_Toc29671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_Toc18634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2.5 环境影响因素识别和评价因子筛选</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_Toc18634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_Toc4154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2.6 评价标准</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_Toc4154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_Toc11663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2.7 评价等级</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_Toc11663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26</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_Toc26831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2.8 评价范围</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_Toc26831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32</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_Toc29381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2.9 环境保护目标</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_Toc29381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_Toc373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 现有工程</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_Toc373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_Toc28828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3.1 现有工程概况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_Toc28828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_Toc11957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3.2 现有常压蒸馏工程生产工艺流程及产污节点</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_Toc11957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39</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_Toc31276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3.3 常压蒸馏现有项目存在的问题及整改措施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_Toc31276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45</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_Toc19760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 拟建项目概况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_Toc19760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_Toc8150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4.1 拟建项目基本情况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_Toc8150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_Toc16640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4.2 拟建项目组成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_Toc16640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_Toc23917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4.3 拟建项目产品方案</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_Toc23917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_Toc4915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4.4 产品规格</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_Toc4915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_Toc29794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4.5 拟建主要原辅材料消耗</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_Toc29794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51</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_Toc31637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4.6 拟建项目主要生产设备</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_Toc31637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52</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_Toc11711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4.7 工作制度及劳动定员</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_Toc11711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_Toc26611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4.8 平面布置情况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_Toc26611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_Toc25325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4.9 公用工程</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_Toc25325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55</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_Toc25131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 工程分析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_Toc25131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_Toc3356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5.1 施工期工艺流程及产污节点</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_Toc3356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_Toc26300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5.2 营运期工艺流程及产污节点</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_Toc26300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szCs w:val="28"/>
          <w14:textFill>
            <w14:solidFill>
              <w14:schemeClr w14:val="tx1"/>
            </w14:solidFill>
          </w14:textFill>
        </w:rPr>
        <w:sectPr>
          <w:footerReference r:id="rId4" w:type="default"/>
          <w:pgSz w:w="11906" w:h="16838"/>
          <w:pgMar w:top="1440" w:right="1440" w:bottom="1440" w:left="1440" w:header="851" w:footer="680" w:gutter="0"/>
          <w:pgBorders>
            <w:top w:val="none" w:sz="0" w:space="0"/>
            <w:left w:val="none" w:sz="0" w:space="0"/>
            <w:bottom w:val="none" w:sz="0" w:space="0"/>
            <w:right w:val="none" w:sz="0" w:space="0"/>
          </w:pgBorders>
          <w:pgNumType w:start="1"/>
          <w:cols w:space="720" w:num="1"/>
          <w:docGrid w:linePitch="326" w:charSpace="0"/>
        </w:sectPr>
      </w:pP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_Toc3384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5.3 污染源分析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_Toc3384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69</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_Toc30620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 环境现状调查与评价</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_Toc30620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_Toc30487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6.1 自然环境概况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_Toc30487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_Toc29728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6.2 环境质量现状监测与评价</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_Toc29728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_Toc26772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6.3 小结</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_Toc26772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101</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_Toc9891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7 环境影响预测与评价</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_Toc9891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_Toc12454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7.1 施工期环境影响分析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_Toc12454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_Toc5564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7.2 营运期环境影响分析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_Toc5564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105</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_Toc11786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 环境保护措施及可行性分析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_Toc11786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133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_Toc23453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8.1 施工期污染防治措施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_Toc23453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133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_Toc18401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8.2 运营期污染防治措施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_Toc18401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137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_Toc23244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8.3 废水污染治理措施可行性分析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_Toc23244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139</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_Toc14039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8.4 地下水污染防治措施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_Toc14039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144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_Toc20606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8.5 噪声控制措施的可行性分析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_Toc20606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146</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_Toc30114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8.6 固废处理措施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_Toc30114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147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_Toc32158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8.7 土壤污染防治措施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_Toc32158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148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_Toc22112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 环境风险评价</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_Toc22112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150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_Toc13611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9.1 风险调查</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_Toc13611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150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_Toc27655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9.2 环境风险潜势初判</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_Toc27655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161</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_Toc25194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9.3 环境风险识别</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_Toc25194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162</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_Toc12364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lang w:val="en-US" w:eastAsia="zh-CN"/>
          <w14:textFill>
            <w14:solidFill>
              <w14:schemeClr w14:val="tx1"/>
            </w14:solidFill>
          </w14:textFill>
        </w:rPr>
        <w:t>9.4 风险事故情形分析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_Toc12364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168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_Toc28091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9.5 环境风险防范措施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_Toc28091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184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_Toc20893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9.6 风险减缓措施</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_Toc20893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187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_Toc23833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9.7 应急预案</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_Toc23833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189</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_Toc12845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9.8 与巴陵石化分公司环境风险应急预案的衔接</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_Toc12845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_Toc13704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9.9 环境风险评价结论</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_Toc13704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192</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_Toc10275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 环境影响经济损益分析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_Toc10275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_Toc3325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10.1 环境保护投资估算</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_Toc3325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_Toc20578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10.2 经济效益分析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_Toc20578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_Toc30854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10.3 社会效益分析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_Toc30854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_Toc4240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10.4 环境损益分析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_Toc4240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193</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_Toc8384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kern w:val="0"/>
          <w14:textFill>
            <w14:solidFill>
              <w14:schemeClr w14:val="tx1"/>
            </w14:solidFill>
          </w14:textFill>
        </w:rPr>
        <w:t>10.5 环境保护效益分析</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_Toc8384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_Toc2620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kern w:val="0"/>
          <w14:textFill>
            <w14:solidFill>
              <w14:schemeClr w14:val="tx1"/>
            </w14:solidFill>
          </w14:textFill>
        </w:rPr>
        <w:t>10.6 小结</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_Toc2620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_Toc22228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11 环境管理</w:t>
      </w:r>
      <w:r>
        <w:rPr>
          <w:rFonts w:hint="default" w:ascii="Times New Roman" w:hAnsi="Times New Roman" w:cs="Times New Roman"/>
          <w:i w:val="0"/>
          <w:iCs w:val="0"/>
          <w:color w:val="000000" w:themeColor="text1"/>
          <w:lang w:eastAsia="zh-CN"/>
          <w14:textFill>
            <w14:solidFill>
              <w14:schemeClr w14:val="tx1"/>
            </w14:solidFill>
          </w14:textFill>
        </w:rPr>
        <w:t>与</w:t>
      </w:r>
      <w:r>
        <w:rPr>
          <w:rFonts w:hint="default" w:ascii="Times New Roman" w:hAnsi="Times New Roman" w:cs="Times New Roman"/>
          <w:i w:val="0"/>
          <w:iCs w:val="0"/>
          <w:color w:val="000000" w:themeColor="text1"/>
          <w14:textFill>
            <w14:solidFill>
              <w14:schemeClr w14:val="tx1"/>
            </w14:solidFill>
          </w14:textFill>
        </w:rPr>
        <w:t>环境监测</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_Toc22228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195</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szCs w:val="28"/>
          <w14:textFill>
            <w14:solidFill>
              <w14:schemeClr w14:val="tx1"/>
            </w14:solidFill>
          </w14:textFill>
        </w:rPr>
        <w:sectPr>
          <w:footerReference r:id="rId5" w:type="default"/>
          <w:pgSz w:w="11906" w:h="16838"/>
          <w:pgMar w:top="1440" w:right="1440" w:bottom="1440" w:left="1440" w:header="851" w:footer="680" w:gutter="0"/>
          <w:pgBorders>
            <w:top w:val="none" w:sz="0" w:space="0"/>
            <w:left w:val="none" w:sz="0" w:space="0"/>
            <w:bottom w:val="none" w:sz="0" w:space="0"/>
            <w:right w:val="none" w:sz="0" w:space="0"/>
          </w:pgBorders>
          <w:pgNumType w:start="1"/>
          <w:cols w:space="720" w:num="1"/>
          <w:docGrid w:linePitch="326" w:charSpace="0"/>
        </w:sectPr>
      </w:pP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_Toc4183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11.1 环境管理</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_Toc4183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195</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_Toc5786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11.2 环境监测计划</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_Toc5786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_Toc31071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11.3 排污口设置及规范管理</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_Toc31071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198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_Toc1681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11.4 项目竣工验收一览表</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_Toc1681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200</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_Toc15337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11.5 总量控制</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_Toc15337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201</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1"/>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_Toc19655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 结论与建议</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_Toc19655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_Toc28779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12.1 建设项目概况</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_Toc28779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_Toc2033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12.2 环境和质量现状</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_Toc2033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204</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_Toc27259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12.3 环境影响预测与评价</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_Toc27259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205</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_Toc30265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12.4 环保措施可行性</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_Toc30265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206</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_Toc27868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12.5 项目政策符合性和选址合理性</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_Toc27868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207</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_Toc24464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12.6 总结论</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_Toc24464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pStyle w:val="34"/>
        <w:tabs>
          <w:tab w:val="right" w:leader="dot" w:pos="9026"/>
        </w:tabs>
        <w:rPr>
          <w:rFonts w:hint="default" w:ascii="Times New Roman" w:hAnsi="Times New Roman" w:cs="Times New Roman"/>
          <w:i w:val="0"/>
          <w:iCs w:val="0"/>
          <w:color w:val="000000" w:themeColor="text1"/>
          <w14:textFill>
            <w14:solidFill>
              <w14:schemeClr w14:val="tx1"/>
            </w14:solidFill>
          </w14:textFill>
        </w:rPr>
      </w:pPr>
      <w:r>
        <w:rPr>
          <w:rFonts w:hint="default" w:ascii="Times New Roman" w:hAnsi="Times New Roman" w:cs="Times New Roman"/>
          <w:i w:val="0"/>
          <w:iCs w:val="0"/>
          <w:color w:val="000000" w:themeColor="text1"/>
          <w:szCs w:val="28"/>
          <w14:textFill>
            <w14:solidFill>
              <w14:schemeClr w14:val="tx1"/>
            </w14:solidFill>
          </w14:textFill>
        </w:rPr>
        <w:fldChar w:fldCharType="begin"/>
      </w:r>
      <w:r>
        <w:rPr>
          <w:rFonts w:hint="default" w:ascii="Times New Roman" w:hAnsi="Times New Roman" w:cs="Times New Roman"/>
          <w:i w:val="0"/>
          <w:iCs w:val="0"/>
          <w:color w:val="000000" w:themeColor="text1"/>
          <w:szCs w:val="28"/>
          <w14:textFill>
            <w14:solidFill>
              <w14:schemeClr w14:val="tx1"/>
            </w14:solidFill>
          </w14:textFill>
        </w:rPr>
        <w:instrText xml:space="preserve"> HYPERLINK \l _Toc22282 </w:instrText>
      </w:r>
      <w:r>
        <w:rPr>
          <w:rFonts w:hint="default" w:ascii="Times New Roman" w:hAnsi="Times New Roman" w:cs="Times New Roman"/>
          <w:i w:val="0"/>
          <w:iCs w:val="0"/>
          <w:color w:val="000000" w:themeColor="text1"/>
          <w:szCs w:val="28"/>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12.7 建议与要求</w:t>
      </w:r>
      <w:r>
        <w:rPr>
          <w:rFonts w:hint="default" w:ascii="Times New Roman" w:hAnsi="Times New Roman" w:cs="Times New Roman"/>
          <w:i w:val="0"/>
          <w:iCs w:val="0"/>
          <w:color w:val="000000" w:themeColor="text1"/>
          <w14:textFill>
            <w14:solidFill>
              <w14:schemeClr w14:val="tx1"/>
            </w14:solidFill>
          </w14:textFill>
        </w:rPr>
        <w:tab/>
      </w:r>
      <w:r>
        <w:rPr>
          <w:rFonts w:hint="default" w:ascii="Times New Roman" w:hAnsi="Times New Roman" w:cs="Times New Roman"/>
          <w:i w:val="0"/>
          <w:iCs w:val="0"/>
          <w:color w:val="000000" w:themeColor="text1"/>
          <w14:textFill>
            <w14:solidFill>
              <w14:schemeClr w14:val="tx1"/>
            </w14:solidFill>
          </w14:textFill>
        </w:rPr>
        <w:fldChar w:fldCharType="begin"/>
      </w:r>
      <w:r>
        <w:rPr>
          <w:rFonts w:hint="default" w:ascii="Times New Roman" w:hAnsi="Times New Roman" w:cs="Times New Roman"/>
          <w:i w:val="0"/>
          <w:iCs w:val="0"/>
          <w:color w:val="000000" w:themeColor="text1"/>
          <w14:textFill>
            <w14:solidFill>
              <w14:schemeClr w14:val="tx1"/>
            </w14:solidFill>
          </w14:textFill>
        </w:rPr>
        <w:instrText xml:space="preserve"> PAGEREF _Toc22282 </w:instrText>
      </w:r>
      <w:r>
        <w:rPr>
          <w:rFonts w:hint="default" w:ascii="Times New Roman" w:hAnsi="Times New Roman" w:cs="Times New Roman"/>
          <w:i w:val="0"/>
          <w:iCs w:val="0"/>
          <w:color w:val="000000" w:themeColor="text1"/>
          <w14:textFill>
            <w14:solidFill>
              <w14:schemeClr w14:val="tx1"/>
            </w14:solidFill>
          </w14:textFill>
        </w:rPr>
        <w:fldChar w:fldCharType="separate"/>
      </w:r>
      <w:r>
        <w:rPr>
          <w:rFonts w:hint="default" w:ascii="Times New Roman" w:hAnsi="Times New Roman" w:cs="Times New Roman"/>
          <w:i w:val="0"/>
          <w:iCs w:val="0"/>
          <w:color w:val="000000" w:themeColor="text1"/>
          <w14:textFill>
            <w14:solidFill>
              <w14:schemeClr w14:val="tx1"/>
            </w14:solidFill>
          </w14:textFill>
        </w:rPr>
        <w:t>208</w:t>
      </w:r>
      <w:r>
        <w:rPr>
          <w:rFonts w:hint="default" w:ascii="Times New Roman" w:hAnsi="Times New Roman" w:cs="Times New Roman"/>
          <w:i w:val="0"/>
          <w:iCs w:val="0"/>
          <w:color w:val="000000" w:themeColor="text1"/>
          <w14:textFill>
            <w14:solidFill>
              <w14:schemeClr w14:val="tx1"/>
            </w14:solidFill>
          </w14:textFill>
        </w:rPr>
        <w:fldChar w:fldCharType="end"/>
      </w:r>
      <w:r>
        <w:rPr>
          <w:rFonts w:hint="default" w:ascii="Times New Roman" w:hAnsi="Times New Roman" w:cs="Times New Roman"/>
          <w:i w:val="0"/>
          <w:iCs w:val="0"/>
          <w:color w:val="000000" w:themeColor="text1"/>
          <w:szCs w:val="28"/>
          <w14:textFill>
            <w14:solidFill>
              <w14:schemeClr w14:val="tx1"/>
            </w14:solidFill>
          </w14:textFill>
        </w:rPr>
        <w:fldChar w:fldCharType="end"/>
      </w:r>
    </w:p>
    <w:p>
      <w:pPr>
        <w:jc w:val="center"/>
        <w:rPr>
          <w:rFonts w:hint="default" w:ascii="Times New Roman" w:hAnsi="Times New Roman" w:cs="Times New Roman"/>
          <w:b/>
          <w:i w:val="0"/>
          <w:iCs w:val="0"/>
          <w:color w:val="000000" w:themeColor="text1"/>
          <w:sz w:val="28"/>
          <w:szCs w:val="28"/>
          <w14:textFill>
            <w14:solidFill>
              <w14:schemeClr w14:val="tx1"/>
            </w14:solidFill>
          </w14:textFill>
        </w:rPr>
      </w:pPr>
      <w:r>
        <w:rPr>
          <w:rFonts w:hint="default" w:ascii="Times New Roman" w:hAnsi="Times New Roman" w:cs="Times New Roman"/>
          <w:b/>
          <w:i w:val="0"/>
          <w:iCs w:val="0"/>
          <w:color w:val="000000" w:themeColor="text1"/>
          <w:sz w:val="28"/>
          <w:szCs w:val="28"/>
          <w14:textFill>
            <w14:solidFill>
              <w14:schemeClr w14:val="tx1"/>
            </w14:solidFill>
          </w14:textFill>
        </w:rPr>
        <w:fldChar w:fldCharType="end"/>
      </w:r>
    </w:p>
    <w:p>
      <w:pPr>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附件：</w:t>
      </w:r>
    </w:p>
    <w:p>
      <w:pPr>
        <w:ind w:firstLine="514" w:firstLineChars="245"/>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附件1：项目委托书</w:t>
      </w:r>
    </w:p>
    <w:p>
      <w:pPr>
        <w:ind w:firstLine="514" w:firstLineChars="245"/>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附件2：现有常压蒸馏装置隐患治理项目环评报告书批复</w:t>
      </w:r>
    </w:p>
    <w:p>
      <w:pPr>
        <w:ind w:firstLine="514" w:firstLineChars="245"/>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附件3：关于炼油部8万吨/年粗白油精制装置建设项目（一期）</w:t>
      </w:r>
      <w:r>
        <w:rPr>
          <w:rFonts w:hint="default" w:ascii="Times New Roman" w:hAnsi="Times New Roman" w:cs="Times New Roman"/>
          <w:color w:val="000000" w:themeColor="text1"/>
          <w:sz w:val="21"/>
          <w:lang w:eastAsia="zh-CN"/>
          <w14:textFill>
            <w14:solidFill>
              <w14:schemeClr w14:val="tx1"/>
            </w14:solidFill>
          </w14:textFill>
        </w:rPr>
        <w:t>可研</w:t>
      </w:r>
      <w:r>
        <w:rPr>
          <w:rFonts w:hint="default" w:ascii="Times New Roman" w:hAnsi="Times New Roman" w:cs="Times New Roman"/>
          <w:color w:val="000000" w:themeColor="text1"/>
          <w:sz w:val="21"/>
          <w14:textFill>
            <w14:solidFill>
              <w14:schemeClr w14:val="tx1"/>
            </w14:solidFill>
          </w14:textFill>
        </w:rPr>
        <w:t>的批复</w:t>
      </w:r>
    </w:p>
    <w:p>
      <w:pPr>
        <w:ind w:firstLine="514" w:firstLineChars="245"/>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附件4：</w:t>
      </w:r>
      <w:r>
        <w:rPr>
          <w:rFonts w:hint="default" w:ascii="Times New Roman" w:hAnsi="Times New Roman" w:cs="Times New Roman"/>
          <w:color w:val="000000" w:themeColor="text1"/>
          <w:sz w:val="21"/>
          <w:lang w:eastAsia="zh-CN"/>
          <w14:textFill>
            <w14:solidFill>
              <w14:schemeClr w14:val="tx1"/>
            </w14:solidFill>
          </w14:textFill>
        </w:rPr>
        <w:t>关于巴陵石化分公司常压蒸馏装置安全隐患治理项目竣工环境保护验收意见的函</w:t>
      </w:r>
    </w:p>
    <w:p>
      <w:pPr>
        <w:ind w:firstLine="514" w:firstLineChars="245"/>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附件5：</w:t>
      </w:r>
      <w:r>
        <w:rPr>
          <w:rFonts w:hint="default" w:ascii="Times New Roman" w:hAnsi="Times New Roman" w:cs="Times New Roman"/>
          <w:color w:val="000000" w:themeColor="text1"/>
          <w:sz w:val="21"/>
          <w:lang w:eastAsia="zh-CN"/>
          <w14:textFill>
            <w14:solidFill>
              <w14:schemeClr w14:val="tx1"/>
            </w14:solidFill>
          </w14:textFill>
        </w:rPr>
        <w:t>中石化巴陵石油化工有限公司排污许可证</w:t>
      </w:r>
    </w:p>
    <w:p>
      <w:pPr>
        <w:ind w:firstLine="514" w:firstLineChars="245"/>
        <w:rPr>
          <w:rFonts w:hint="default" w:ascii="Times New Roman" w:hAnsi="Times New Roman"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附件6：</w:t>
      </w:r>
      <w:r>
        <w:rPr>
          <w:rFonts w:hint="default" w:ascii="Times New Roman" w:hAnsi="Times New Roman" w:cs="Times New Roman"/>
          <w:color w:val="000000" w:themeColor="text1"/>
          <w:sz w:val="21"/>
          <w:lang w:val="en-US" w:eastAsia="zh-CN"/>
          <w14:textFill>
            <w14:solidFill>
              <w14:schemeClr w14:val="tx1"/>
            </w14:solidFill>
          </w14:textFill>
        </w:rPr>
        <w:t>中石化巴陵石油化工有限公司环境事件应急预案备案表</w:t>
      </w:r>
    </w:p>
    <w:p>
      <w:pPr>
        <w:ind w:firstLine="514" w:firstLineChars="245"/>
        <w:rPr>
          <w:rFonts w:hint="default" w:ascii="Times New Roman" w:hAnsi="Times New Roman"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附件</w:t>
      </w:r>
      <w:r>
        <w:rPr>
          <w:rFonts w:hint="default" w:ascii="Times New Roman" w:hAnsi="Times New Roman" w:cs="Times New Roman"/>
          <w:color w:val="000000" w:themeColor="text1"/>
          <w:sz w:val="21"/>
          <w:lang w:val="en-US" w:eastAsia="zh-CN"/>
          <w14:textFill>
            <w14:solidFill>
              <w14:schemeClr w14:val="tx1"/>
            </w14:solidFill>
          </w14:textFill>
        </w:rPr>
        <w:t>7</w:t>
      </w:r>
      <w:r>
        <w:rPr>
          <w:rFonts w:hint="default" w:ascii="Times New Roman" w:hAnsi="Times New Roman" w:cs="Times New Roman"/>
          <w:color w:val="000000" w:themeColor="text1"/>
          <w:sz w:val="21"/>
          <w14:textFill>
            <w14:solidFill>
              <w14:schemeClr w14:val="tx1"/>
            </w14:solidFill>
          </w14:textFill>
        </w:rPr>
        <w:t>：</w:t>
      </w:r>
      <w:r>
        <w:rPr>
          <w:rFonts w:hint="default" w:ascii="Times New Roman" w:hAnsi="Times New Roman" w:cs="Times New Roman"/>
          <w:color w:val="000000" w:themeColor="text1"/>
          <w:sz w:val="21"/>
          <w:lang w:val="en-US" w:eastAsia="zh-CN"/>
          <w14:textFill>
            <w14:solidFill>
              <w14:schemeClr w14:val="tx1"/>
            </w14:solidFill>
          </w14:textFill>
        </w:rPr>
        <w:t>环境质量监测报告</w:t>
      </w:r>
    </w:p>
    <w:p>
      <w:pPr>
        <w:ind w:firstLine="514" w:firstLineChars="245"/>
        <w:rPr>
          <w:rFonts w:hint="default" w:ascii="Times New Roman" w:hAnsi="Times New Roman"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附件8：大气特征因子补测监测报告</w:t>
      </w:r>
    </w:p>
    <w:p>
      <w:pPr>
        <w:ind w:firstLine="514" w:firstLineChars="245"/>
        <w:rPr>
          <w:rFonts w:hint="default" w:ascii="Times New Roman" w:hAnsi="Times New Roman"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附件9：执行标准函</w:t>
      </w:r>
      <w:bookmarkStart w:id="595" w:name="_GoBack"/>
      <w:bookmarkEnd w:id="595"/>
    </w:p>
    <w:p>
      <w:pPr>
        <w:pStyle w:val="20"/>
        <w:ind w:left="0" w:leftChars="0" w:firstLine="0" w:firstLineChars="0"/>
        <w:rPr>
          <w:rFonts w:hint="default" w:ascii="Times New Roman" w:hAnsi="Times New Roman" w:cs="Times New Roman"/>
          <w:color w:val="000000" w:themeColor="text1"/>
          <w14:textFill>
            <w14:solidFill>
              <w14:schemeClr w14:val="tx1"/>
            </w14:solidFill>
          </w14:textFill>
        </w:rPr>
      </w:pPr>
    </w:p>
    <w:p>
      <w:pPr>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附图：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附图1：项目地理位置图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附图2：项目平面布置</w:t>
      </w:r>
      <w:r>
        <w:rPr>
          <w:rFonts w:hint="default" w:ascii="Times New Roman" w:hAnsi="Times New Roman" w:eastAsia="宋体" w:cs="Times New Roman"/>
          <w:color w:val="000000" w:themeColor="text1"/>
          <w:sz w:val="21"/>
          <w:lang w:eastAsia="zh-CN"/>
          <w14:textFill>
            <w14:solidFill>
              <w14:schemeClr w14:val="tx1"/>
            </w14:solidFill>
          </w14:textFill>
        </w:rPr>
        <w:t>示意图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附图3：</w:t>
      </w:r>
      <w:bookmarkStart w:id="0" w:name="_Toc532376122"/>
      <w:bookmarkStart w:id="1" w:name="_Toc532497587"/>
      <w:r>
        <w:rPr>
          <w:rFonts w:hint="default" w:ascii="Times New Roman" w:hAnsi="Times New Roman" w:cs="Times New Roman"/>
          <w:color w:val="000000" w:themeColor="text1"/>
          <w:sz w:val="21"/>
          <w14:textFill>
            <w14:solidFill>
              <w14:schemeClr w14:val="tx1"/>
            </w14:solidFill>
          </w14:textFill>
        </w:rPr>
        <w:t>环境质量监测图布点图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附图4：环境空气保护目标图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附图5：环境风险保护目标图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附图6：</w:t>
      </w:r>
      <w:r>
        <w:rPr>
          <w:rFonts w:hint="default" w:ascii="Times New Roman" w:hAnsi="Times New Roman" w:eastAsia="宋体" w:cs="Times New Roman"/>
          <w:color w:val="000000" w:themeColor="text1"/>
          <w:sz w:val="21"/>
          <w:lang w:eastAsia="zh-CN"/>
          <w14:textFill>
            <w14:solidFill>
              <w14:schemeClr w14:val="tx1"/>
            </w14:solidFill>
          </w14:textFill>
        </w:rPr>
        <w:t>地下水防渗示意图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附图7：</w:t>
      </w:r>
      <w:r>
        <w:rPr>
          <w:rFonts w:hint="default" w:ascii="Times New Roman" w:hAnsi="Times New Roman" w:cs="Times New Roman"/>
          <w:color w:val="000000" w:themeColor="text1"/>
          <w:sz w:val="21"/>
          <w:lang w:eastAsia="zh-CN"/>
          <w14:textFill>
            <w14:solidFill>
              <w14:schemeClr w14:val="tx1"/>
            </w14:solidFill>
          </w14:textFill>
        </w:rPr>
        <w:t>岳阳市云溪区土地利用规划图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附图</w:t>
      </w:r>
      <w:r>
        <w:rPr>
          <w:rFonts w:hint="default" w:ascii="Times New Roman" w:hAnsi="Times New Roman" w:cs="Times New Roman"/>
          <w:color w:val="000000" w:themeColor="text1"/>
          <w:sz w:val="21"/>
          <w:lang w:val="en-US" w:eastAsia="zh-CN"/>
          <w14:textFill>
            <w14:solidFill>
              <w14:schemeClr w14:val="tx1"/>
            </w14:solidFill>
          </w14:textFill>
        </w:rPr>
        <w:t>8</w:t>
      </w:r>
      <w:r>
        <w:rPr>
          <w:rFonts w:hint="default" w:ascii="Times New Roman" w:hAnsi="Times New Roman" w:cs="Times New Roman"/>
          <w:color w:val="000000" w:themeColor="text1"/>
          <w:sz w:val="21"/>
          <w14:textFill>
            <w14:solidFill>
              <w14:schemeClr w14:val="tx1"/>
            </w14:solidFill>
          </w14:textFill>
        </w:rPr>
        <w:t>：</w:t>
      </w:r>
      <w:r>
        <w:rPr>
          <w:rFonts w:hint="default" w:ascii="Times New Roman" w:hAnsi="Times New Roman" w:cs="Times New Roman"/>
          <w:color w:val="000000" w:themeColor="text1"/>
          <w:sz w:val="21"/>
          <w:lang w:val="en-US" w:eastAsia="zh-CN"/>
          <w14:textFill>
            <w14:solidFill>
              <w14:schemeClr w14:val="tx1"/>
            </w14:solidFill>
          </w14:textFill>
        </w:rPr>
        <w:t>地下水监测数据引起点位示意图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附图</w:t>
      </w:r>
      <w:r>
        <w:rPr>
          <w:rFonts w:hint="default" w:ascii="Times New Roman" w:hAnsi="Times New Roman" w:cs="Times New Roman"/>
          <w:color w:val="000000" w:themeColor="text1"/>
          <w:sz w:val="21"/>
          <w:lang w:val="en-US" w:eastAsia="zh-CN"/>
          <w14:textFill>
            <w14:solidFill>
              <w14:schemeClr w14:val="tx1"/>
            </w14:solidFill>
          </w14:textFill>
        </w:rPr>
        <w:t>9：大气监测点位布置图</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附图10：环境风险分布图</w:t>
      </w:r>
    </w:p>
    <w:p>
      <w:pPr>
        <w:ind w:firstLine="514" w:firstLineChars="245"/>
        <w:rPr>
          <w:rFonts w:hint="default" w:ascii="Times New Roman" w:hAnsi="Times New Roman" w:cs="Times New Roman"/>
          <w:color w:val="000000" w:themeColor="text1"/>
          <w:sz w:val="21"/>
          <w14:textFill>
            <w14:solidFill>
              <w14:schemeClr w14:val="tx1"/>
            </w14:solidFill>
          </w14:textFill>
        </w:rPr>
      </w:pPr>
    </w:p>
    <w:p>
      <w:pPr>
        <w:rPr>
          <w:rFonts w:hint="default" w:ascii="Times New Roman" w:hAnsi="Times New Roman" w:cs="Times New Roman"/>
          <w:b/>
          <w:color w:val="000000" w:themeColor="text1"/>
          <w:sz w:val="21"/>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附表：</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附表1：建设项目环评审批基础信息表</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附表2：建设项目大气环境影响评价自查表</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附表3：建设项目地表水环境影响评价自查表</w:t>
      </w:r>
    </w:p>
    <w:p>
      <w:pPr>
        <w:keepNext w:val="0"/>
        <w:keepLines w:val="0"/>
        <w:pageBreakBefore w:val="0"/>
        <w:widowControl w:val="0"/>
        <w:kinsoku/>
        <w:wordWrap/>
        <w:overflowPunct/>
        <w:topLinePunct w:val="0"/>
        <w:autoSpaceDE/>
        <w:autoSpaceDN/>
        <w:bidi w:val="0"/>
        <w:adjustRightInd/>
        <w:snapToGrid/>
        <w:ind w:firstLine="514" w:firstLineChars="245"/>
        <w:textAlignment w:val="auto"/>
        <w:rPr>
          <w:rFonts w:hint="default" w:ascii="Times New Roman" w:hAnsi="Times New Roman" w:cs="Times New Roman"/>
          <w:color w:val="000000" w:themeColor="text1"/>
          <w:sz w:val="21"/>
          <w14:textFill>
            <w14:solidFill>
              <w14:schemeClr w14:val="tx1"/>
            </w14:solidFill>
          </w14:textFill>
        </w:rPr>
        <w:sectPr>
          <w:footerReference r:id="rId6" w:type="default"/>
          <w:pgSz w:w="11906" w:h="16838"/>
          <w:pgMar w:top="1440" w:right="1440" w:bottom="1440" w:left="1440" w:header="851" w:footer="680" w:gutter="0"/>
          <w:pgBorders>
            <w:top w:val="none" w:sz="0" w:space="0"/>
            <w:left w:val="none" w:sz="0" w:space="0"/>
            <w:bottom w:val="none" w:sz="0" w:space="0"/>
            <w:right w:val="none" w:sz="0" w:space="0"/>
          </w:pgBorders>
          <w:pgNumType w:start="1"/>
          <w:cols w:space="720" w:num="1"/>
          <w:docGrid w:linePitch="326" w:charSpace="0"/>
        </w:sectPr>
      </w:pPr>
      <w:r>
        <w:rPr>
          <w:rFonts w:hint="default" w:ascii="Times New Roman" w:hAnsi="Times New Roman" w:cs="Times New Roman"/>
          <w:color w:val="000000" w:themeColor="text1"/>
          <w:sz w:val="21"/>
          <w14:textFill>
            <w14:solidFill>
              <w14:schemeClr w14:val="tx1"/>
            </w14:solidFill>
          </w14:textFill>
        </w:rPr>
        <w:t>附件4: 建设项目环境风险评价自查表</w:t>
      </w:r>
    </w:p>
    <w:p>
      <w:pPr>
        <w:pStyle w:val="2"/>
        <w:numPr>
          <w:ilvl w:val="0"/>
          <w:numId w:val="0"/>
        </w:numPr>
        <w:bidi w:val="0"/>
        <w:ind w:leftChars="0"/>
        <w:outlineLvl w:val="0"/>
        <w:rPr>
          <w:color w:val="000000" w:themeColor="text1"/>
          <w14:textFill>
            <w14:solidFill>
              <w14:schemeClr w14:val="tx1"/>
            </w14:solidFill>
          </w14:textFill>
        </w:rPr>
      </w:pPr>
      <w:bookmarkStart w:id="2" w:name="_Toc532498715"/>
      <w:bookmarkStart w:id="3" w:name="_Toc13927"/>
      <w:bookmarkStart w:id="4" w:name="_Toc532763179"/>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概述</w:t>
      </w:r>
      <w:bookmarkEnd w:id="0"/>
      <w:bookmarkEnd w:id="1"/>
      <w:bookmarkEnd w:id="2"/>
      <w:bookmarkEnd w:id="3"/>
      <w:bookmarkEnd w:id="4"/>
    </w:p>
    <w:p>
      <w:pPr>
        <w:pStyle w:val="4"/>
        <w:bidi w:val="0"/>
        <w:rPr>
          <w:color w:val="000000" w:themeColor="text1"/>
          <w14:textFill>
            <w14:solidFill>
              <w14:schemeClr w14:val="tx1"/>
            </w14:solidFill>
          </w14:textFill>
        </w:rPr>
      </w:pPr>
      <w:bookmarkStart w:id="5" w:name="_Toc532498716"/>
      <w:bookmarkStart w:id="6" w:name="_Toc532763180"/>
      <w:bookmarkStart w:id="7" w:name="_Toc9692"/>
      <w:bookmarkStart w:id="8" w:name="_Toc532497588"/>
      <w:bookmarkStart w:id="9" w:name="_Toc532376123"/>
      <w:r>
        <w:rPr>
          <w:color w:val="000000" w:themeColor="text1"/>
          <w14:textFill>
            <w14:solidFill>
              <w14:schemeClr w14:val="tx1"/>
            </w14:solidFill>
          </w14:textFill>
        </w:rPr>
        <w:t>项目由来</w:t>
      </w:r>
      <w:bookmarkEnd w:id="5"/>
      <w:bookmarkEnd w:id="6"/>
      <w:bookmarkEnd w:id="7"/>
      <w:bookmarkEnd w:id="8"/>
      <w:bookmarkEnd w:id="9"/>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中石化巴陵石油化工有限公司（简称：巴陵石化分公司）始建于1969年9月，位于岳阳市岳阳楼区和云溪区，占地约30km</w:t>
      </w:r>
      <w:r>
        <w:rPr>
          <w:rFonts w:hint="default" w:ascii="Times New Roman" w:hAnsi="Times New Roman" w:cs="Times New Roman"/>
          <w:color w:val="000000" w:themeColor="text1"/>
          <w:u w:val="single"/>
          <w:vertAlign w:val="superscript"/>
          <w14:textFill>
            <w14:solidFill>
              <w14:schemeClr w14:val="tx1"/>
            </w14:solidFill>
          </w14:textFill>
        </w:rPr>
        <w:t>2</w:t>
      </w:r>
      <w:r>
        <w:rPr>
          <w:rFonts w:hint="default" w:ascii="Times New Roman" w:hAnsi="Times New Roman" w:cs="Times New Roman"/>
          <w:color w:val="000000" w:themeColor="text1"/>
          <w:u w:val="single"/>
          <w14:textFill>
            <w14:solidFill>
              <w14:schemeClr w14:val="tx1"/>
            </w14:solidFill>
          </w14:textFill>
        </w:rPr>
        <w:t>，南接洞庭湖，北倚长江。</w:t>
      </w:r>
    </w:p>
    <w:p>
      <w:pPr>
        <w:pStyle w:val="132"/>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公司是以石油炼制为龙头，主要生产合成橡胶、合成树脂及其他化工产品，同时拥有水电汽供应等业务的大型石化联合企业，也是国内唯一一家兼用原油、煤炭、原盐为原料的生产型企业，是全球最大的锂系聚合物生产企业和国内最大的环氧树脂和商品环己酮生产基地。</w:t>
      </w:r>
    </w:p>
    <w:p>
      <w:pPr>
        <w:pStyle w:val="132"/>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lang w:eastAsia="zh-CN"/>
          <w14:textFill>
            <w14:solidFill>
              <w14:schemeClr w14:val="tx1"/>
            </w14:solidFill>
          </w14:textFill>
        </w:rPr>
        <w:t>中石化巴陵石油化工有限公司</w:t>
      </w:r>
      <w:r>
        <w:rPr>
          <w:rFonts w:hint="default" w:ascii="Times New Roman" w:hAnsi="Times New Roman" w:cs="Times New Roman"/>
          <w:color w:val="000000" w:themeColor="text1"/>
          <w:u w:val="single"/>
          <w14:textFill>
            <w14:solidFill>
              <w14:schemeClr w14:val="tx1"/>
            </w14:solidFill>
          </w14:textFill>
        </w:rPr>
        <w:t>炼油部炼油装置主要加工优质的低硫石蜡基原油。公司利用常压蒸馏装置直馏石脑油（馏程范围＜160℃）主要作为重整石脑油、裂解石脑油等统配统销产品互供中石化系统内企业，产品价格较低，甚至低于原油价格。</w:t>
      </w:r>
    </w:p>
    <w:p>
      <w:pPr>
        <w:pStyle w:val="132"/>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常压蒸馏装置常一线馏程145-190℃，平均硫含量约</w:t>
      </w:r>
      <w:r>
        <w:rPr>
          <w:rFonts w:hint="default" w:ascii="Times New Roman" w:hAnsi="Times New Roman" w:cs="Times New Roman"/>
          <w:color w:val="000000" w:themeColor="text1"/>
          <w:u w:val="single"/>
          <w:lang w:val="en-US" w:eastAsia="zh-CN"/>
          <w14:textFill>
            <w14:solidFill>
              <w14:schemeClr w14:val="tx1"/>
            </w14:solidFill>
          </w14:textFill>
        </w:rPr>
        <w:t>56</w:t>
      </w:r>
      <w:r>
        <w:rPr>
          <w:rFonts w:hint="default" w:ascii="Times New Roman" w:hAnsi="Times New Roman" w:cs="Times New Roman"/>
          <w:color w:val="000000" w:themeColor="text1"/>
          <w:u w:val="single"/>
          <w14:textFill>
            <w14:solidFill>
              <w14:schemeClr w14:val="tx1"/>
            </w14:solidFill>
          </w14:textFill>
        </w:rPr>
        <w:t>mg/kg，芳烃质量含量5%左右（甲苯类，无萘类芳烃），曾作为200#溶剂油畅销两湖及广州地区，用于涂料工业的溶剂和稀释剂，为装置产生了良好的经济效益。随着环保要求提高，市场反应该产品存在色度、硫含量等指标偏高问题，市场应用逐渐受到限制。2019年，该产品也曾短暂作为NB/SH/T0914-2015产品销售，后因标准升级不满足质量要求停止该产品销售，后改进柴油组分油，装置效益大大受损。常压蒸馏装置常二线馏程范围180-260℃，芳烃质量含量＜12%，硫含量</w:t>
      </w:r>
      <w:r>
        <w:rPr>
          <w:rFonts w:hint="default" w:ascii="Times New Roman" w:hAnsi="Times New Roman" w:cs="Times New Roman"/>
          <w:color w:val="000000" w:themeColor="text1"/>
          <w:u w:val="single"/>
          <w:lang w:val="en-US" w:eastAsia="zh-CN"/>
          <w14:textFill>
            <w14:solidFill>
              <w14:schemeClr w14:val="tx1"/>
            </w14:solidFill>
          </w14:textFill>
        </w:rPr>
        <w:t>56</w:t>
      </w:r>
      <w:r>
        <w:rPr>
          <w:rFonts w:hint="default" w:ascii="Times New Roman" w:hAnsi="Times New Roman" w:cs="Times New Roman"/>
          <w:color w:val="000000" w:themeColor="text1"/>
          <w:u w:val="single"/>
          <w14:textFill>
            <w14:solidFill>
              <w14:schemeClr w14:val="tx1"/>
            </w14:solidFill>
          </w14:textFill>
        </w:rPr>
        <w:t>mg/kg，当前为航煤组分油，作为统配统销产品互供中石化系统内企业，年产量20万吨左右。</w:t>
      </w:r>
    </w:p>
    <w:p>
      <w:pPr>
        <w:pStyle w:val="132"/>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经分析调研发现，采用液相加氢技术，在较低压力（4.0MPa）下对常一线、常二线产品简单加氢，均能获得较高附加值的产品，且装置投资少，加工成本低，可较好地提升炼油装置产品附加值。</w:t>
      </w:r>
    </w:p>
    <w:p>
      <w:pPr>
        <w:pStyle w:val="132"/>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对常一线油在低压下加氢，色度能得到有效改善，且含硫量、芳烃、氮含量等指标均能较好满足巴陵石化分公司企业标准（Q/SH1085240-2017）的质量要求，可继续作为涂料工业的溶剂和稀释剂销售。如能对其进一步加氢，将产品中的芳烃含量（质量分数）降至0.2%以下，可满足轻质白油标准，经济效益更好，不但可用作工业原料，在化妆品业、食品与医药业等方面的用途也非常广泛，市场前景较好。</w:t>
      </w:r>
    </w:p>
    <w:p>
      <w:pPr>
        <w:pStyle w:val="132"/>
        <w:keepNext w:val="0"/>
        <w:keepLines w:val="0"/>
        <w:pageBreakBefore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因此，中石化巴陵石油化工有限公司</w:t>
      </w:r>
      <w:r>
        <w:rPr>
          <w:rFonts w:hint="default" w:ascii="Times New Roman" w:hAnsi="Times New Roman" w:cs="Times New Roman"/>
          <w:color w:val="000000" w:themeColor="text1"/>
          <w:u w:val="single"/>
          <w:lang w:eastAsia="zh-CN"/>
          <w14:textFill>
            <w14:solidFill>
              <w14:schemeClr w14:val="tx1"/>
            </w14:solidFill>
          </w14:textFill>
        </w:rPr>
        <w:t>总投资</w:t>
      </w:r>
      <w:r>
        <w:rPr>
          <w:rFonts w:hint="default" w:ascii="Times New Roman" w:hAnsi="Times New Roman" w:cs="Times New Roman"/>
          <w:color w:val="000000" w:themeColor="text1"/>
          <w:u w:val="single"/>
          <w14:textFill>
            <w14:solidFill>
              <w14:schemeClr w14:val="tx1"/>
            </w14:solidFill>
          </w14:textFill>
        </w:rPr>
        <w:t>2107.83万元建设一套液相加氢装置，对常压蒸馏装置常一线产品加氢精制，拟建粗白油精制装置的构架及设备位于常压装置区内的预留地，拟建粗白油精制装置的构架及设备占地面积约为340m</w:t>
      </w:r>
      <w:r>
        <w:rPr>
          <w:rFonts w:hint="default" w:ascii="Times New Roman" w:hAnsi="Times New Roman" w:cs="Times New Roman"/>
          <w:color w:val="000000" w:themeColor="text1"/>
          <w:u w:val="single"/>
          <w:vertAlign w:val="superscript"/>
          <w14:textFill>
            <w14:solidFill>
              <w14:schemeClr w14:val="tx1"/>
            </w14:solidFill>
          </w14:textFill>
        </w:rPr>
        <w:t>2</w:t>
      </w:r>
      <w:r>
        <w:rPr>
          <w:rFonts w:hint="default" w:ascii="Times New Roman" w:hAnsi="Times New Roman" w:cs="Times New Roman"/>
          <w:color w:val="000000" w:themeColor="text1"/>
          <w:u w:val="single"/>
          <w14:textFill>
            <w14:solidFill>
              <w14:schemeClr w14:val="tx1"/>
            </w14:solidFill>
          </w14:textFill>
        </w:rPr>
        <w:t>，利用常压装置区内的空地，不需要新征土地，也无拆迁工程</w:t>
      </w:r>
      <w:r>
        <w:rPr>
          <w:rFonts w:hint="default" w:ascii="Times New Roman" w:hAnsi="Times New Roman" w:cs="Times New Roman"/>
          <w:color w:val="000000" w:themeColor="text1"/>
          <w:u w:val="single"/>
          <w:lang w:eastAsia="zh-CN"/>
          <w14:textFill>
            <w14:solidFill>
              <w14:schemeClr w14:val="tx1"/>
            </w14:solidFill>
          </w14:textFill>
        </w:rPr>
        <w:t>，</w:t>
      </w:r>
      <w:r>
        <w:rPr>
          <w:rFonts w:hint="default" w:ascii="Times New Roman" w:hAnsi="Times New Roman" w:cs="Times New Roman"/>
          <w:color w:val="000000" w:themeColor="text1"/>
          <w:u w:val="single"/>
          <w14:textFill>
            <w14:solidFill>
              <w14:schemeClr w14:val="tx1"/>
            </w14:solidFill>
          </w14:textFill>
        </w:rPr>
        <w:t>不仅能解决装置产品销售出路，还可较好地提升炼油板块经济效益。</w:t>
      </w:r>
    </w:p>
    <w:p>
      <w:pPr>
        <w:pStyle w:val="132"/>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中华人民共和国环境保护法(2014年修订)》、《中华人民共和国环境影响评价法(2018年修订)》和《建设项目环境保护管理条例》(国务院令[2017]第682号)的要求，本项目应开展环境影响评价工作。根据《建设项目环境影响评价分类管理名录(20</w:t>
      </w:r>
      <w:r>
        <w:rPr>
          <w:rFonts w:hint="default" w:ascii="Times New Roman" w:hAnsi="Times New Roman" w:cs="Times New Roman"/>
          <w:color w:val="000000" w:themeColor="text1"/>
          <w:lang w:val="en-US" w:eastAsia="zh-CN"/>
          <w14:textFill>
            <w14:solidFill>
              <w14:schemeClr w14:val="tx1"/>
            </w14:solidFill>
          </w14:textFill>
        </w:rPr>
        <w:t>21</w:t>
      </w:r>
      <w:r>
        <w:rPr>
          <w:rFonts w:hint="default" w:ascii="Times New Roman" w:hAnsi="Times New Roman" w:cs="Times New Roman"/>
          <w:color w:val="000000" w:themeColor="text1"/>
          <w14:textFill>
            <w14:solidFill>
              <w14:schemeClr w14:val="tx1"/>
            </w14:solidFill>
          </w14:textFill>
        </w:rPr>
        <w:t>年</w:t>
      </w:r>
      <w:r>
        <w:rPr>
          <w:rFonts w:hint="default" w:ascii="Times New Roman" w:hAnsi="Times New Roman" w:cs="Times New Roman"/>
          <w:color w:val="000000" w:themeColor="text1"/>
          <w:lang w:eastAsia="zh-CN"/>
          <w14:textFill>
            <w14:solidFill>
              <w14:schemeClr w14:val="tx1"/>
            </w14:solidFill>
          </w14:textFill>
        </w:rPr>
        <w:t>版</w:t>
      </w:r>
      <w:r>
        <w:rPr>
          <w:rFonts w:hint="default" w:ascii="Times New Roman" w:hAnsi="Times New Roman" w:cs="Times New Roman"/>
          <w:color w:val="000000" w:themeColor="text1"/>
          <w14:textFill>
            <w14:solidFill>
              <w14:schemeClr w14:val="tx1"/>
            </w14:solidFill>
          </w14:textFill>
        </w:rPr>
        <w:t>)》，本项目属于“</w:t>
      </w:r>
      <w:r>
        <w:rPr>
          <w:rFonts w:hint="default" w:ascii="Times New Roman" w:hAnsi="Times New Roman" w:cs="Times New Roman"/>
          <w:color w:val="000000" w:themeColor="text1"/>
          <w:lang w:eastAsia="zh-CN"/>
          <w14:textFill>
            <w14:solidFill>
              <w14:schemeClr w14:val="tx1"/>
            </w14:solidFill>
          </w14:textFill>
        </w:rPr>
        <w:t>二十二</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石油、煤炭及其他燃料加工业</w:t>
      </w:r>
      <w:r>
        <w:rPr>
          <w:rFonts w:hint="default" w:ascii="Times New Roman" w:hAnsi="Times New Roman" w:cs="Times New Roman"/>
          <w:color w:val="000000" w:themeColor="text1"/>
          <w:lang w:val="en-US" w:eastAsia="zh-CN"/>
          <w14:textFill>
            <w14:solidFill>
              <w14:schemeClr w14:val="tx1"/>
            </w14:solidFill>
          </w14:textFill>
        </w:rPr>
        <w:t>25—精炼石油产品制造251—全部（单纯物理分离、物理提纯、混合、分装的除外）</w:t>
      </w:r>
      <w:r>
        <w:rPr>
          <w:rFonts w:hint="default" w:ascii="Times New Roman" w:hAnsi="Times New Roman" w:cs="Times New Roman"/>
          <w:color w:val="000000" w:themeColor="text1"/>
          <w14:textFill>
            <w14:solidFill>
              <w14:schemeClr w14:val="tx1"/>
            </w14:solidFill>
          </w14:textFill>
        </w:rPr>
        <w:t>”，应当编制环境影响报告书。为此建设单位中国石油化工股份有限公司委托联合泰泽环境科技发展有限公司承担</w:t>
      </w:r>
      <w:r>
        <w:rPr>
          <w:rFonts w:hint="default" w:ascii="Times New Roman" w:hAnsi="Times New Roman" w:cs="Times New Roman"/>
          <w:color w:val="000000" w:themeColor="text1"/>
          <w:lang w:eastAsia="zh-CN"/>
          <w14:textFill>
            <w14:solidFill>
              <w14:schemeClr w14:val="tx1"/>
            </w14:solidFill>
          </w14:textFill>
        </w:rPr>
        <w:t>中石化巴陵石油化工有限公司</w:t>
      </w:r>
      <w:r>
        <w:rPr>
          <w:rFonts w:hint="default" w:ascii="Times New Roman" w:hAnsi="Times New Roman" w:cs="Times New Roman"/>
          <w:color w:val="000000" w:themeColor="text1"/>
          <w14:textFill>
            <w14:solidFill>
              <w14:schemeClr w14:val="tx1"/>
            </w14:solidFill>
          </w14:textFill>
        </w:rPr>
        <w:t>炼油部8万吨/年粗白油精装</w:t>
      </w:r>
      <w:r>
        <w:rPr>
          <w:rFonts w:hint="default" w:ascii="Times New Roman" w:hAnsi="Times New Roman" w:cs="Times New Roman"/>
          <w:color w:val="000000" w:themeColor="text1"/>
          <w:lang w:eastAsia="zh-CN"/>
          <w14:textFill>
            <w14:solidFill>
              <w14:schemeClr w14:val="tx1"/>
            </w14:solidFill>
          </w14:textFill>
        </w:rPr>
        <w:t>制装</w:t>
      </w:r>
      <w:r>
        <w:rPr>
          <w:rFonts w:hint="default" w:ascii="Times New Roman" w:hAnsi="Times New Roman" w:cs="Times New Roman"/>
          <w:color w:val="000000" w:themeColor="text1"/>
          <w14:textFill>
            <w14:solidFill>
              <w14:schemeClr w14:val="tx1"/>
            </w14:solidFill>
          </w14:textFill>
        </w:rPr>
        <w:t>置</w:t>
      </w:r>
      <w:r>
        <w:rPr>
          <w:rFonts w:hint="default" w:ascii="Times New Roman" w:hAnsi="Times New Roman"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项目（以下简称“本项目”）的环境影响评价工作。联合泰泽环境科技发展有限公司接受委托后，在对现场进行踏勘和收集资料的基础上，按照国家有关环评技术规范要求，编制了《</w:t>
      </w:r>
      <w:r>
        <w:rPr>
          <w:rFonts w:hint="default" w:ascii="Times New Roman" w:hAnsi="Times New Roman" w:cs="Times New Roman"/>
          <w:color w:val="000000" w:themeColor="text1"/>
          <w:lang w:eastAsia="zh-CN"/>
          <w14:textFill>
            <w14:solidFill>
              <w14:schemeClr w14:val="tx1"/>
            </w14:solidFill>
          </w14:textFill>
        </w:rPr>
        <w:t>中石化巴陵石油化工有限公司炼油部</w:t>
      </w:r>
      <w:r>
        <w:rPr>
          <w:rFonts w:hint="default" w:ascii="Times New Roman" w:hAnsi="Times New Roman" w:cs="Times New Roman"/>
          <w:color w:val="000000" w:themeColor="text1"/>
          <w14:textFill>
            <w14:solidFill>
              <w14:schemeClr w14:val="tx1"/>
            </w14:solidFill>
          </w14:textFill>
        </w:rPr>
        <w:t>8万吨/年粗白油精</w:t>
      </w:r>
      <w:r>
        <w:rPr>
          <w:rFonts w:hint="default" w:ascii="Times New Roman" w:hAnsi="Times New Roman" w:cs="Times New Roman"/>
          <w:color w:val="000000" w:themeColor="text1"/>
          <w:lang w:eastAsia="zh-CN"/>
          <w14:textFill>
            <w14:solidFill>
              <w14:schemeClr w14:val="tx1"/>
            </w14:solidFill>
          </w14:textFill>
        </w:rPr>
        <w:t>制</w:t>
      </w:r>
      <w:r>
        <w:rPr>
          <w:rFonts w:hint="default" w:ascii="Times New Roman" w:hAnsi="Times New Roman" w:cs="Times New Roman"/>
          <w:color w:val="000000" w:themeColor="text1"/>
          <w14:textFill>
            <w14:solidFill>
              <w14:schemeClr w14:val="tx1"/>
            </w14:solidFill>
          </w14:textFill>
        </w:rPr>
        <w:t>装置建</w:t>
      </w:r>
      <w:r>
        <w:rPr>
          <w:rFonts w:hint="default" w:ascii="Times New Roman" w:hAnsi="Times New Roman" w:cs="Times New Roman"/>
          <w:color w:val="000000" w:themeColor="text1"/>
          <w:lang w:eastAsia="zh-CN"/>
          <w14:textFill>
            <w14:solidFill>
              <w14:schemeClr w14:val="tx1"/>
            </w14:solidFill>
          </w14:textFill>
        </w:rPr>
        <w:t>设</w:t>
      </w:r>
      <w:r>
        <w:rPr>
          <w:rFonts w:hint="default" w:ascii="Times New Roman" w:hAnsi="Times New Roman" w:cs="Times New Roman"/>
          <w:color w:val="000000" w:themeColor="text1"/>
          <w14:textFill>
            <w14:solidFill>
              <w14:schemeClr w14:val="tx1"/>
            </w14:solidFill>
          </w14:textFill>
        </w:rPr>
        <w:t>项目环境影响报告书》。通过环境影响评价，阐明建设项目对周围环境影响的程度和范围，并提出环境污染控制措施，为建设项目的工程设计和环境管理提供科学依据，并由建设单位呈报审批。</w:t>
      </w:r>
    </w:p>
    <w:p>
      <w:pPr>
        <w:ind w:firstLine="482" w:firstLineChars="200"/>
        <w:jc w:val="center"/>
        <w:rPr>
          <w:b/>
          <w:bCs/>
          <w:color w:val="000000" w:themeColor="text1"/>
          <w:szCs w:val="24"/>
          <w:vertAlign w:val="baseline"/>
          <w14:textFill>
            <w14:solidFill>
              <w14:schemeClr w14:val="tx1"/>
            </w14:solidFill>
          </w14:textFill>
        </w:rPr>
      </w:pPr>
      <w:r>
        <w:rPr>
          <w:b/>
          <w:bCs/>
          <w:color w:val="000000" w:themeColor="text1"/>
          <w14:textFill>
            <w14:solidFill>
              <w14:schemeClr w14:val="tx1"/>
            </w14:solidFill>
          </w14:textFill>
        </w:rPr>
        <w:t xml:space="preserve">表 </w:t>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STYLEREF 2 \s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1</w:t>
      </w:r>
      <w:r>
        <w:rPr>
          <w:rFonts w:hint="eastAsia" w:eastAsia="宋体"/>
          <w:b/>
          <w:bCs/>
          <w:color w:val="000000" w:themeColor="text1"/>
          <w:lang w:val="en-US" w:eastAsia="zh-CN"/>
          <w14:textFill>
            <w14:solidFill>
              <w14:schemeClr w14:val="tx1"/>
            </w14:solidFill>
          </w14:textFill>
        </w:rPr>
        <w:t>.</w:t>
      </w:r>
      <w:r>
        <w:rPr>
          <w:b/>
          <w:bCs/>
          <w:color w:val="000000" w:themeColor="text1"/>
          <w14:textFill>
            <w14:solidFill>
              <w14:schemeClr w14:val="tx1"/>
            </w14:solidFill>
          </w14:textFill>
        </w:rPr>
        <w:t>1</w:t>
      </w:r>
      <w:r>
        <w:rPr>
          <w:b/>
          <w:bCs/>
          <w:color w:val="000000" w:themeColor="text1"/>
          <w14:textFill>
            <w14:solidFill>
              <w14:schemeClr w14:val="tx1"/>
            </w14:solidFill>
          </w14:textFill>
        </w:rPr>
        <w:fldChar w:fldCharType="end"/>
      </w:r>
      <w:r>
        <w:rPr>
          <w:rFonts w:hint="eastAsia"/>
          <w:b/>
          <w:bCs/>
          <w:color w:val="000000" w:themeColor="text1"/>
          <w:lang w:eastAsia="zh-CN"/>
          <w14:textFill>
            <w14:solidFill>
              <w14:schemeClr w14:val="tx1"/>
            </w14:solidFill>
          </w14:textFill>
        </w:rPr>
        <w:t>-</w:t>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SEQ 表 \* ARABIC \s 2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1</w:t>
      </w:r>
      <w:r>
        <w:rPr>
          <w:b/>
          <w:bCs/>
          <w:color w:val="000000" w:themeColor="text1"/>
          <w14:textFill>
            <w14:solidFill>
              <w14:schemeClr w14:val="tx1"/>
            </w14:solidFill>
          </w14:textFill>
        </w:rPr>
        <w:fldChar w:fldCharType="end"/>
      </w:r>
      <w:r>
        <w:rPr>
          <w:rFonts w:hint="eastAsia" w:eastAsia="宋体"/>
          <w:b/>
          <w:bCs/>
          <w:color w:val="000000" w:themeColor="text1"/>
          <w:lang w:val="en-US" w:eastAsia="zh-CN"/>
          <w14:textFill>
            <w14:solidFill>
              <w14:schemeClr w14:val="tx1"/>
            </w14:solidFill>
          </w14:textFill>
        </w:rPr>
        <w:t xml:space="preserve"> </w:t>
      </w:r>
      <w:r>
        <w:rPr>
          <w:b/>
          <w:bCs/>
          <w:color w:val="000000" w:themeColor="text1"/>
          <w:szCs w:val="24"/>
          <w14:textFill>
            <w14:solidFill>
              <w14:schemeClr w14:val="tx1"/>
            </w14:solidFill>
          </w14:textFill>
        </w:rPr>
        <w:t>建设项目分类管理名录（摘选）</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624"/>
        <w:gridCol w:w="3095"/>
        <w:gridCol w:w="3375"/>
        <w:gridCol w:w="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0" w:type="auto"/>
            <w:gridSpan w:val="2"/>
            <w:tcBorders>
              <w:tl2br w:val="single" w:color="auto" w:sz="4" w:space="0"/>
            </w:tcBorders>
            <w:noWrap w:val="0"/>
            <w:vAlign w:val="top"/>
          </w:tcPr>
          <w:p>
            <w:pPr>
              <w:pStyle w:val="20"/>
              <w:keepNext w:val="0"/>
              <w:keepLines w:val="0"/>
              <w:suppressLineNumbers w:val="0"/>
              <w:snapToGrid w:val="0"/>
              <w:spacing w:before="0" w:beforeAutospacing="0" w:afterAutospacing="0" w:line="240" w:lineRule="auto"/>
              <w:ind w:left="0" w:leftChars="0" w:right="0" w:firstLine="0" w:firstLineChars="0"/>
              <w:jc w:val="right"/>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t>环评类别</w:t>
            </w:r>
          </w:p>
          <w:p>
            <w:pPr>
              <w:pStyle w:val="20"/>
              <w:keepNext w:val="0"/>
              <w:keepLines w:val="0"/>
              <w:suppressLineNumbers w:val="0"/>
              <w:spacing w:before="0" w:beforeAutospacing="0" w:afterAutospacing="0"/>
              <w:ind w:left="0" w:leftChars="0" w:right="0" w:firstLine="0" w:firstLineChars="0"/>
              <w:jc w:val="left"/>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lang w:eastAsia="zh-CN"/>
                <w14:textFill>
                  <w14:solidFill>
                    <w14:schemeClr w14:val="tx1"/>
                  </w14:solidFill>
                </w14:textFill>
              </w:rPr>
              <w:t>项目类别</w:t>
            </w:r>
          </w:p>
        </w:tc>
        <w:tc>
          <w:tcPr>
            <w:tcW w:w="0" w:type="auto"/>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t>报告书</w:t>
            </w:r>
          </w:p>
        </w:tc>
        <w:tc>
          <w:tcPr>
            <w:tcW w:w="33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t>报告表</w:t>
            </w:r>
          </w:p>
        </w:tc>
        <w:tc>
          <w:tcPr>
            <w:tcW w:w="72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gridSpan w:val="5"/>
            <w:tcBorders>
              <w:tl2br w:val="nil"/>
              <w:tr2bl w:val="nil"/>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t>二十二、石油、煤炭及其他燃料加工业</w:t>
            </w: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42</w:t>
            </w:r>
          </w:p>
        </w:tc>
        <w:tc>
          <w:tcPr>
            <w:tcW w:w="0" w:type="auto"/>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t>精炼石油产品制造</w:t>
            </w: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251；煤炭加工252</w:t>
            </w:r>
          </w:p>
        </w:tc>
        <w:tc>
          <w:tcPr>
            <w:tcW w:w="0" w:type="auto"/>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t>全部</w:t>
            </w: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（单纯物理分离、物理提纯、混合、分装的除外；煤制品制造除外；其他煤炭加工除外）</w:t>
            </w:r>
          </w:p>
        </w:tc>
        <w:tc>
          <w:tcPr>
            <w:tcW w:w="33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eastAsia="zh-CN"/>
                <w14:textFill>
                  <w14:solidFill>
                    <w14:schemeClr w14:val="tx1"/>
                  </w14:solidFill>
                </w14:textFill>
              </w:rPr>
              <w:t>单纯物理分离、物理提纯、混合、分装的</w:t>
            </w: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（不产生废水或挥发性有机物的除外）；煤制品制造；其他煤炭加工</w:t>
            </w:r>
          </w:p>
        </w:tc>
        <w:tc>
          <w:tcPr>
            <w:tcW w:w="72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single"/>
                <w:vertAlign w:val="baseline"/>
                <w:lang w:val="en-US" w:eastAsia="zh-CN"/>
                <w14:textFill>
                  <w14:solidFill>
                    <w14:schemeClr w14:val="tx1"/>
                  </w14:solidFill>
                </w14:textFill>
              </w:rPr>
              <w:t>/</w:t>
            </w:r>
          </w:p>
        </w:tc>
      </w:tr>
    </w:tbl>
    <w:p>
      <w:pPr>
        <w:pStyle w:val="4"/>
        <w:bidi w:val="0"/>
        <w:rPr>
          <w:color w:val="000000" w:themeColor="text1"/>
          <w14:textFill>
            <w14:solidFill>
              <w14:schemeClr w14:val="tx1"/>
            </w14:solidFill>
          </w14:textFill>
        </w:rPr>
      </w:pPr>
      <w:bookmarkStart w:id="10" w:name="_Toc7291"/>
      <w:r>
        <w:rPr>
          <w:color w:val="000000" w:themeColor="text1"/>
          <w14:textFill>
            <w14:solidFill>
              <w14:schemeClr w14:val="tx1"/>
            </w14:solidFill>
          </w14:textFill>
        </w:rPr>
        <w:t>评价目的</w:t>
      </w:r>
      <w:bookmarkEnd w:id="10"/>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针对本项目的实际特点，本次评价的主要目的为：</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（1）根据现场调查，掌握本项目区环境质量现状和当地社会经济状况，调查项目周围环境敏感点的环境概况，为项目的运营提供背景资料提出相关的建议。</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（2）分析论证项目建设与环境保护之间的关系，找出存在和潜在的环境问题，提出切实可行的防治措施和解决办法，以求经济建设和环境保护协调发展。</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（3）分析预测项目对周围环境的污染及其影响程度和范围，得出结论并提出建议，提出污染处理措施以及环境管理与运行监控计划方案，为项目建设单位和环境保护部门提供环境管理和监控依据。</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（4）分析预测项目周边环境对项目的影响程度和范围，并作出结论和建议，提出必要的解决办法。</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（5）促进公众了解项目内容，充分考虑公众的看法和意见，希望公众参与、监督项目的建设和运营工作，为政府、环保管理部门提供决策和日常管理依据。</w:t>
      </w:r>
    </w:p>
    <w:p>
      <w:pPr>
        <w:pStyle w:val="4"/>
        <w:bidi w:val="0"/>
        <w:rPr>
          <w:color w:val="000000" w:themeColor="text1"/>
          <w14:textFill>
            <w14:solidFill>
              <w14:schemeClr w14:val="tx1"/>
            </w14:solidFill>
          </w14:textFill>
        </w:rPr>
      </w:pPr>
      <w:bookmarkStart w:id="11" w:name="_Toc532763182"/>
      <w:bookmarkStart w:id="12" w:name="_Toc532498718"/>
      <w:bookmarkStart w:id="13" w:name="_Toc532376125"/>
      <w:bookmarkStart w:id="14" w:name="_Toc532497590"/>
      <w:bookmarkStart w:id="15" w:name="_Toc10963"/>
      <w:r>
        <w:rPr>
          <w:color w:val="000000" w:themeColor="text1"/>
          <w14:textFill>
            <w14:solidFill>
              <w14:schemeClr w14:val="tx1"/>
            </w14:solidFill>
          </w14:textFill>
        </w:rPr>
        <w:t>环境影响评价工作过程</w:t>
      </w:r>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环境影响评价一般分为三个阶段，即前期准备、调研和工作方案阶段，分析论证和</w:t>
      </w:r>
      <w:r>
        <w:rPr>
          <w:rFonts w:hint="eastAsia"/>
          <w:color w:val="000000" w:themeColor="text1"/>
          <w:lang w:val="en-US" w:eastAsia="zh-CN"/>
          <w14:textFill>
            <w14:solidFill>
              <w14:schemeClr w14:val="tx1"/>
            </w14:solidFill>
          </w14:textFill>
        </w:rPr>
        <w:t>预测评价阶段，环境影响评价文件编制阶段，具体流程见图1.3-1。</w:t>
      </w:r>
    </w:p>
    <w:p>
      <w:pPr>
        <w:pStyle w:val="20"/>
        <w:ind w:left="0" w:leftChars="0" w:firstLine="0" w:firstLineChars="0"/>
        <w:jc w:val="center"/>
        <w:rPr>
          <w:color w:val="000000" w:themeColor="text1"/>
          <w14:textFill>
            <w14:solidFill>
              <w14:schemeClr w14:val="tx1"/>
            </w14:solidFill>
          </w14:textFill>
        </w:rPr>
      </w:pPr>
      <w:ins w:id="0" w:author="You" w:date="2020-11-03T11:36:00Z">
        <w:bookmarkStart w:id="16" w:name="_Ref468349102"/>
      </w:ins>
      <w:ins w:id="1" w:author="You" w:date="2020-11-03T11:36:00Z"/>
      <w:ins w:id="2" w:author="You" w:date="2020-11-03T11:36:00Z"/>
      <w:ins w:id="3" w:author="You" w:date="2020-11-03T11:36:00Z">
        <w:r>
          <w:rPr>
            <w:color w:val="000000" w:themeColor="text1"/>
            <w14:textFill>
              <w14:solidFill>
                <w14:schemeClr w14:val="tx1"/>
              </w14:solidFill>
            </w14:textFill>
          </w:rPr>
          <w:object>
            <v:shape id="_x0000_i1025" o:spt="75" alt="" type="#_x0000_t75" style="height:515.8pt;width:404.3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ins>
      <w:ins w:id="5" w:author="You" w:date="2020-11-03T11:36:00Z"/>
    </w:p>
    <w:p>
      <w:pPr>
        <w:pStyle w:val="14"/>
        <w:rPr>
          <w:color w:val="000000" w:themeColor="text1"/>
          <w14:textFill>
            <w14:solidFill>
              <w14:schemeClr w14:val="tx1"/>
            </w14:solidFill>
          </w14:textFill>
        </w:rPr>
      </w:pPr>
      <w:r>
        <w:rPr>
          <w:color w:val="000000" w:themeColor="text1"/>
          <w14:textFill>
            <w14:solidFill>
              <w14:schemeClr w14:val="tx1"/>
            </w14:solidFill>
          </w14:textFill>
        </w:rPr>
        <w:t>图</w:t>
      </w:r>
      <w:bookmarkEnd w:id="16"/>
      <w:r>
        <w:rPr>
          <w:rFonts w:hint="eastAsia"/>
          <w:color w:val="000000" w:themeColor="text1"/>
          <w:lang w:val="en-US" w:eastAsia="zh-CN"/>
          <w14:textFill>
            <w14:solidFill>
              <w14:schemeClr w14:val="tx1"/>
            </w14:solidFill>
          </w14:textFill>
        </w:rPr>
        <w:t>1.3-1</w:t>
      </w:r>
      <w:r>
        <w:rPr>
          <w:color w:val="000000" w:themeColor="text1"/>
          <w14:textFill>
            <w14:solidFill>
              <w14:schemeClr w14:val="tx1"/>
            </w14:solidFill>
          </w14:textFill>
        </w:rPr>
        <w:t>环境影响评价工作程序图</w:t>
      </w:r>
    </w:p>
    <w:p>
      <w:pPr>
        <w:pStyle w:val="4"/>
        <w:bidi w:val="0"/>
        <w:rPr>
          <w:color w:val="000000" w:themeColor="text1"/>
          <w14:textFill>
            <w14:solidFill>
              <w14:schemeClr w14:val="tx1"/>
            </w14:solidFill>
          </w14:textFill>
        </w:rPr>
      </w:pPr>
      <w:bookmarkStart w:id="17" w:name="_Toc9631"/>
      <w:r>
        <w:rPr>
          <w:color w:val="000000" w:themeColor="text1"/>
          <w14:textFill>
            <w14:solidFill>
              <w14:schemeClr w14:val="tx1"/>
            </w14:solidFill>
          </w14:textFill>
        </w:rPr>
        <w:t>分析判定相关情况</w:t>
      </w:r>
      <w:bookmarkEnd w:id="17"/>
    </w:p>
    <w:p>
      <w:pPr>
        <w:pStyle w:val="77"/>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从报告类别、园区基本情况、法律法规、产业政策、行业准入条件、环境承载力、总量指标、生态红线等方面对本项目进行分析判定，具体见下表所示。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b/>
          <w:bCs w:val="0"/>
          <w:color w:val="000000" w:themeColor="text1"/>
          <w14:textFill>
            <w14:solidFill>
              <w14:schemeClr w14:val="tx1"/>
            </w14:solidFill>
          </w14:textFill>
        </w:rPr>
      </w:pPr>
      <w:r>
        <w:rPr>
          <w:b/>
          <w:bCs w:val="0"/>
          <w:color w:val="000000" w:themeColor="text1"/>
          <w14:textFill>
            <w14:solidFill>
              <w14:schemeClr w14:val="tx1"/>
            </w14:solidFill>
          </w14:textFill>
        </w:rPr>
        <w:t>表</w:t>
      </w:r>
      <w:r>
        <w:rPr>
          <w:b/>
          <w:bCs w:val="0"/>
          <w:color w:val="000000" w:themeColor="text1"/>
          <w14:textFill>
            <w14:solidFill>
              <w14:schemeClr w14:val="tx1"/>
            </w14:solidFill>
          </w14:textFill>
        </w:rPr>
        <w:fldChar w:fldCharType="begin"/>
      </w:r>
      <w:r>
        <w:rPr>
          <w:b/>
          <w:bCs w:val="0"/>
          <w:color w:val="000000" w:themeColor="text1"/>
          <w14:textFill>
            <w14:solidFill>
              <w14:schemeClr w14:val="tx1"/>
            </w14:solidFill>
          </w14:textFill>
        </w:rPr>
        <w:instrText xml:space="preserve"> STYLEREF 2 \s </w:instrText>
      </w:r>
      <w:r>
        <w:rPr>
          <w:b/>
          <w:bCs w:val="0"/>
          <w:color w:val="000000" w:themeColor="text1"/>
          <w14:textFill>
            <w14:solidFill>
              <w14:schemeClr w14:val="tx1"/>
            </w14:solidFill>
          </w14:textFill>
        </w:rPr>
        <w:fldChar w:fldCharType="separate"/>
      </w:r>
      <w:r>
        <w:rPr>
          <w:b/>
          <w:bCs w:val="0"/>
          <w:color w:val="000000" w:themeColor="text1"/>
          <w14:textFill>
            <w14:solidFill>
              <w14:schemeClr w14:val="tx1"/>
            </w14:solidFill>
          </w14:textFill>
        </w:rPr>
        <w:t>1</w:t>
      </w:r>
      <w:r>
        <w:rPr>
          <w:rFonts w:hint="eastAsia"/>
          <w:b/>
          <w:bCs w:val="0"/>
          <w:color w:val="000000" w:themeColor="text1"/>
          <w:lang w:val="en-US" w:eastAsia="zh-CN"/>
          <w14:textFill>
            <w14:solidFill>
              <w14:schemeClr w14:val="tx1"/>
            </w14:solidFill>
          </w14:textFill>
        </w:rPr>
        <w:t>.</w:t>
      </w:r>
      <w:r>
        <w:rPr>
          <w:b/>
          <w:bCs w:val="0"/>
          <w:color w:val="000000" w:themeColor="text1"/>
          <w14:textFill>
            <w14:solidFill>
              <w14:schemeClr w14:val="tx1"/>
            </w14:solidFill>
          </w14:textFill>
        </w:rPr>
        <w:t>4</w:t>
      </w:r>
      <w:r>
        <w:rPr>
          <w:b/>
          <w:bCs w:val="0"/>
          <w:color w:val="000000" w:themeColor="text1"/>
          <w14:textFill>
            <w14:solidFill>
              <w14:schemeClr w14:val="tx1"/>
            </w14:solidFill>
          </w14:textFill>
        </w:rPr>
        <w:fldChar w:fldCharType="end"/>
      </w:r>
      <w:r>
        <w:rPr>
          <w:rFonts w:hint="eastAsia"/>
          <w:b/>
          <w:bCs w:val="0"/>
          <w:color w:val="000000" w:themeColor="text1"/>
          <w:lang w:eastAsia="zh-CN"/>
          <w14:textFill>
            <w14:solidFill>
              <w14:schemeClr w14:val="tx1"/>
            </w14:solidFill>
          </w14:textFill>
        </w:rPr>
        <w:t>-</w:t>
      </w:r>
      <w:r>
        <w:rPr>
          <w:b/>
          <w:bCs w:val="0"/>
          <w:color w:val="000000" w:themeColor="text1"/>
          <w14:textFill>
            <w14:solidFill>
              <w14:schemeClr w14:val="tx1"/>
            </w14:solidFill>
          </w14:textFill>
        </w:rPr>
        <w:fldChar w:fldCharType="begin"/>
      </w:r>
      <w:r>
        <w:rPr>
          <w:b/>
          <w:bCs w:val="0"/>
          <w:color w:val="000000" w:themeColor="text1"/>
          <w14:textFill>
            <w14:solidFill>
              <w14:schemeClr w14:val="tx1"/>
            </w14:solidFill>
          </w14:textFill>
        </w:rPr>
        <w:instrText xml:space="preserve"> SEQ 表 \* ARABIC \s 2 </w:instrText>
      </w:r>
      <w:r>
        <w:rPr>
          <w:b/>
          <w:bCs w:val="0"/>
          <w:color w:val="000000" w:themeColor="text1"/>
          <w14:textFill>
            <w14:solidFill>
              <w14:schemeClr w14:val="tx1"/>
            </w14:solidFill>
          </w14:textFill>
        </w:rPr>
        <w:fldChar w:fldCharType="separate"/>
      </w:r>
      <w:r>
        <w:rPr>
          <w:b/>
          <w:bCs w:val="0"/>
          <w:color w:val="000000" w:themeColor="text1"/>
          <w14:textFill>
            <w14:solidFill>
              <w14:schemeClr w14:val="tx1"/>
            </w14:solidFill>
          </w14:textFill>
        </w:rPr>
        <w:t>1</w:t>
      </w:r>
      <w:r>
        <w:rPr>
          <w:b/>
          <w:bCs w:val="0"/>
          <w:color w:val="000000" w:themeColor="text1"/>
          <w14:textFill>
            <w14:solidFill>
              <w14:schemeClr w14:val="tx1"/>
            </w14:solidFill>
          </w14:textFill>
        </w:rPr>
        <w:fldChar w:fldCharType="end"/>
      </w:r>
      <w:r>
        <w:rPr>
          <w:rFonts w:hint="eastAsia"/>
          <w:b/>
          <w:bCs w:val="0"/>
          <w:color w:val="000000" w:themeColor="text1"/>
          <w:lang w:val="en-US" w:eastAsia="zh-CN"/>
          <w14:textFill>
            <w14:solidFill>
              <w14:schemeClr w14:val="tx1"/>
            </w14:solidFill>
          </w14:textFill>
        </w:rPr>
        <w:t xml:space="preserve"> </w:t>
      </w:r>
      <w:r>
        <w:rPr>
          <w:b/>
          <w:bCs w:val="0"/>
          <w:color w:val="000000" w:themeColor="text1"/>
          <w14:textFill>
            <w14:solidFill>
              <w14:schemeClr w14:val="tx1"/>
            </w14:solidFill>
          </w14:textFill>
        </w:rPr>
        <w:t>项目分析判定情况分析</w:t>
      </w:r>
    </w:p>
    <w:tbl>
      <w:tblPr>
        <w:tblStyle w:val="4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219"/>
        <w:gridCol w:w="6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12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类型</w:t>
            </w:r>
          </w:p>
        </w:tc>
        <w:tc>
          <w:tcPr>
            <w:tcW w:w="3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分析结论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2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报告类别</w:t>
            </w:r>
          </w:p>
        </w:tc>
        <w:tc>
          <w:tcPr>
            <w:tcW w:w="3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根据《建设项目环境影响评价分类管理名录》（</w:t>
            </w:r>
            <w:r>
              <w:rPr>
                <w:rFonts w:hint="eastAsia" w:eastAsia="宋体" w:cs="Times New Roman"/>
                <w:color w:val="000000" w:themeColor="text1"/>
                <w:sz w:val="21"/>
                <w:lang w:val="en-US" w:eastAsia="zh-CN"/>
                <w14:textFill>
                  <w14:solidFill>
                    <w14:schemeClr w14:val="tx1"/>
                  </w14:solidFill>
                </w14:textFill>
              </w:rPr>
              <w:t>2021年版</w:t>
            </w:r>
            <w:r>
              <w:rPr>
                <w:rFonts w:hint="default" w:ascii="Times New Roman" w:hAnsi="Times New Roman" w:eastAsia="宋体" w:cs="Times New Roman"/>
                <w:color w:val="000000" w:themeColor="text1"/>
                <w:sz w:val="21"/>
                <w14:textFill>
                  <w14:solidFill>
                    <w14:schemeClr w14:val="tx1"/>
                  </w14:solidFill>
                </w14:textFill>
              </w:rPr>
              <w:t>），本项目属于“</w:t>
            </w:r>
            <w:r>
              <w:rPr>
                <w:rFonts w:hint="eastAsia" w:eastAsia="宋体" w:cs="Times New Roman"/>
                <w:color w:val="000000" w:themeColor="text1"/>
                <w:sz w:val="21"/>
                <w:lang w:val="en-US" w:eastAsia="zh-CN"/>
                <w14:textFill>
                  <w14:solidFill>
                    <w14:schemeClr w14:val="tx1"/>
                  </w14:solidFill>
                </w14:textFill>
              </w:rPr>
              <w:t>二十二</w:t>
            </w:r>
            <w:r>
              <w:rPr>
                <w:rFonts w:hint="default" w:ascii="Times New Roman" w:hAnsi="Times New Roman" w:eastAsia="宋体" w:cs="Times New Roman"/>
                <w:color w:val="000000" w:themeColor="text1"/>
                <w:sz w:val="21"/>
                <w14:textFill>
                  <w14:solidFill>
                    <w14:schemeClr w14:val="tx1"/>
                  </w14:solidFill>
                </w14:textFill>
              </w:rPr>
              <w:t>、</w:t>
            </w:r>
            <w:r>
              <w:rPr>
                <w:rFonts w:hint="eastAsia" w:eastAsia="宋体" w:cs="Times New Roman"/>
                <w:color w:val="000000" w:themeColor="text1"/>
                <w:sz w:val="21"/>
                <w:lang w:val="en-US" w:eastAsia="zh-CN"/>
                <w14:textFill>
                  <w14:solidFill>
                    <w14:schemeClr w14:val="tx1"/>
                  </w14:solidFill>
                </w14:textFill>
              </w:rPr>
              <w:t>石油、煤炭及其他燃料加工业25-精炼石油产品制造251—全部（单纯物理分离、物理提纯、混合、分装的除外）</w:t>
            </w:r>
            <w:r>
              <w:rPr>
                <w:rFonts w:hint="default" w:ascii="Times New Roman" w:hAnsi="Times New Roman" w:eastAsia="宋体" w:cs="Times New Roman"/>
                <w:color w:val="000000" w:themeColor="text1"/>
                <w:sz w:val="21"/>
                <w14:textFill>
                  <w14:solidFill>
                    <w14:schemeClr w14:val="tx1"/>
                  </w14:solidFill>
                </w14:textFill>
              </w:rPr>
              <w:t>”，应编制环境影响报告书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12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规划相符性</w:t>
            </w:r>
          </w:p>
        </w:tc>
        <w:tc>
          <w:tcPr>
            <w:tcW w:w="3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本项目属于8万吨/年粗白油精</w:t>
            </w:r>
            <w:r>
              <w:rPr>
                <w:rFonts w:hint="default" w:ascii="Times New Roman" w:hAnsi="Times New Roman" w:eastAsia="宋体" w:cs="Times New Roman"/>
                <w:color w:val="000000" w:themeColor="text1"/>
                <w:sz w:val="21"/>
                <w:lang w:eastAsia="zh-CN"/>
                <w14:textFill>
                  <w14:solidFill>
                    <w14:schemeClr w14:val="tx1"/>
                  </w14:solidFill>
                </w14:textFill>
              </w:rPr>
              <w:t>制</w:t>
            </w:r>
            <w:r>
              <w:rPr>
                <w:rFonts w:hint="default" w:ascii="Times New Roman" w:hAnsi="Times New Roman" w:eastAsia="宋体" w:cs="Times New Roman"/>
                <w:color w:val="000000" w:themeColor="text1"/>
                <w:sz w:val="21"/>
                <w14:textFill>
                  <w14:solidFill>
                    <w14:schemeClr w14:val="tx1"/>
                  </w14:solidFill>
                </w14:textFill>
              </w:rPr>
              <w:t>装置建</w:t>
            </w:r>
            <w:r>
              <w:rPr>
                <w:rFonts w:hint="default" w:ascii="Times New Roman" w:hAnsi="Times New Roman" w:eastAsia="宋体" w:cs="Times New Roman"/>
                <w:color w:val="000000" w:themeColor="text1"/>
                <w:sz w:val="21"/>
                <w:lang w:eastAsia="zh-CN"/>
                <w14:textFill>
                  <w14:solidFill>
                    <w14:schemeClr w14:val="tx1"/>
                  </w14:solidFill>
                </w14:textFill>
              </w:rPr>
              <w:t>设</w:t>
            </w:r>
            <w:r>
              <w:rPr>
                <w:rFonts w:hint="default" w:ascii="Times New Roman" w:hAnsi="Times New Roman" w:eastAsia="宋体" w:cs="Times New Roman"/>
                <w:color w:val="000000" w:themeColor="text1"/>
                <w:sz w:val="21"/>
                <w14:textFill>
                  <w14:solidFill>
                    <w14:schemeClr w14:val="tx1"/>
                  </w14:solidFill>
                </w14:textFill>
              </w:rPr>
              <w:t>项目，位于巴陵石化炼油部，位于工业用地范围，符合规划用地要求。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12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法律法规、产业政策及行业准入条件</w:t>
            </w:r>
          </w:p>
        </w:tc>
        <w:tc>
          <w:tcPr>
            <w:tcW w:w="3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本项目性质为</w:t>
            </w:r>
            <w:r>
              <w:rPr>
                <w:rFonts w:hint="default" w:ascii="Times New Roman" w:hAnsi="Times New Roman" w:eastAsia="宋体" w:cs="Times New Roman"/>
                <w:color w:val="000000" w:themeColor="text1"/>
                <w:sz w:val="21"/>
                <w:lang w:eastAsia="zh-CN"/>
                <w14:textFill>
                  <w14:solidFill>
                    <w14:schemeClr w14:val="tx1"/>
                  </w14:solidFill>
                </w14:textFill>
              </w:rPr>
              <w:t>新建</w:t>
            </w:r>
            <w:r>
              <w:rPr>
                <w:rFonts w:hint="default" w:ascii="Times New Roman" w:hAnsi="Times New Roman" w:eastAsia="宋体" w:cs="Times New Roman"/>
                <w:color w:val="000000" w:themeColor="text1"/>
                <w:sz w:val="21"/>
                <w14:textFill>
                  <w14:solidFill>
                    <w14:schemeClr w14:val="tx1"/>
                  </w14:solidFill>
                </w14:textFill>
              </w:rPr>
              <w:t>，项目生产规模、生产工艺和装置不在《产业结构调整指导目录（2019年本）》限制、淘汰类之列，项目建设与当前国家产业政策相符。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12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环境承载力及影响</w:t>
            </w:r>
          </w:p>
        </w:tc>
        <w:tc>
          <w:tcPr>
            <w:tcW w:w="3370" w:type="pct"/>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 w:val="0"/>
                <w:bCs/>
                <w:color w:val="000000" w:themeColor="text1"/>
                <w:spacing w:val="6"/>
                <w:sz w:val="21"/>
                <w:szCs w:val="21"/>
                <w:u w:val="none"/>
                <w:shd w:val="clear" w:color="auto" w:fill="auto"/>
                <w:lang w:val="en-US" w:eastAsia="zh-CN" w:bidi="ar"/>
                <w14:textFill>
                  <w14:solidFill>
                    <w14:schemeClr w14:val="tx1"/>
                  </w14:solidFill>
                </w14:textFill>
              </w:rPr>
            </w:pPr>
            <w:r>
              <w:rPr>
                <w:rFonts w:hint="default" w:ascii="Times New Roman" w:hAnsi="Times New Roman" w:cs="Times New Roman"/>
                <w:b w:val="0"/>
                <w:bCs/>
                <w:color w:val="000000" w:themeColor="text1"/>
                <w:sz w:val="21"/>
                <w:szCs w:val="21"/>
                <w:u w:val="none"/>
                <w:shd w:val="clear" w:color="auto" w:fill="auto"/>
                <w:lang w:eastAsia="zh-CN"/>
                <w14:textFill>
                  <w14:solidFill>
                    <w14:schemeClr w14:val="tx1"/>
                  </w14:solidFill>
                </w14:textFill>
              </w:rPr>
              <w:t>根据监测结果可知，</w:t>
            </w:r>
            <w:r>
              <w:rPr>
                <w:rFonts w:hint="default" w:ascii="Times New Roman" w:hAnsi="Times New Roman" w:cs="Times New Roman"/>
                <w:b w:val="0"/>
                <w:bCs/>
                <w:color w:val="000000" w:themeColor="text1"/>
                <w:sz w:val="21"/>
                <w:szCs w:val="21"/>
                <w:u w:val="none"/>
                <w:shd w:val="clear" w:color="auto" w:fill="auto"/>
                <w:lang w:val="en-US" w:eastAsia="zh-CN"/>
                <w14:textFill>
                  <w14:solidFill>
                    <w14:schemeClr w14:val="tx1"/>
                  </w14:solidFill>
                </w14:textFill>
              </w:rPr>
              <w:t>2019年环境空气质量指标中的</w:t>
            </w:r>
            <w:r>
              <w:rPr>
                <w:rFonts w:hint="default" w:ascii="Times New Roman" w:hAnsi="Times New Roman" w:cs="Times New Roman"/>
                <w:b w:val="0"/>
                <w:bCs/>
                <w:color w:val="000000" w:themeColor="text1"/>
                <w:sz w:val="21"/>
                <w:szCs w:val="21"/>
                <w:u w:val="none"/>
                <w:shd w:val="clear" w:color="auto" w:fill="auto"/>
                <w:lang w:eastAsia="zh-CN"/>
                <w14:textFill>
                  <w14:solidFill>
                    <w14:schemeClr w14:val="tx1"/>
                  </w14:solidFill>
                </w14:textFill>
              </w:rPr>
              <w:t>SO</w:t>
            </w:r>
            <w:r>
              <w:rPr>
                <w:rFonts w:hint="default" w:ascii="Times New Roman" w:hAnsi="Times New Roman" w:cs="Times New Roman"/>
                <w:b w:val="0"/>
                <w:bCs/>
                <w:color w:val="000000" w:themeColor="text1"/>
                <w:sz w:val="21"/>
                <w:szCs w:val="21"/>
                <w:u w:val="none"/>
                <w:shd w:val="clear" w:color="auto" w:fill="auto"/>
                <w:vertAlign w:val="subscript"/>
                <w:lang w:eastAsia="zh-CN"/>
                <w14:textFill>
                  <w14:solidFill>
                    <w14:schemeClr w14:val="tx1"/>
                  </w14:solidFill>
                </w14:textFill>
              </w:rPr>
              <w:t>2</w:t>
            </w:r>
            <w:r>
              <w:rPr>
                <w:rFonts w:hint="default" w:ascii="Times New Roman" w:hAnsi="Times New Roman" w:cs="Times New Roman"/>
                <w:b w:val="0"/>
                <w:bCs/>
                <w:color w:val="000000" w:themeColor="text1"/>
                <w:sz w:val="21"/>
                <w:szCs w:val="21"/>
                <w:u w:val="none"/>
                <w:shd w:val="clear" w:color="auto" w:fill="auto"/>
                <w:lang w:eastAsia="zh-CN"/>
                <w14:textFill>
                  <w14:solidFill>
                    <w14:schemeClr w14:val="tx1"/>
                  </w14:solidFill>
                </w14:textFill>
              </w:rPr>
              <w:t>、NO</w:t>
            </w:r>
            <w:r>
              <w:rPr>
                <w:rFonts w:hint="default" w:ascii="Times New Roman" w:hAnsi="Times New Roman" w:cs="Times New Roman"/>
                <w:b w:val="0"/>
                <w:bCs/>
                <w:color w:val="000000" w:themeColor="text1"/>
                <w:sz w:val="21"/>
                <w:szCs w:val="21"/>
                <w:u w:val="none"/>
                <w:shd w:val="clear" w:color="auto" w:fill="auto"/>
                <w:vertAlign w:val="subscript"/>
                <w:lang w:eastAsia="zh-CN"/>
                <w14:textFill>
                  <w14:solidFill>
                    <w14:schemeClr w14:val="tx1"/>
                  </w14:solidFill>
                </w14:textFill>
              </w:rPr>
              <w:t>2</w:t>
            </w:r>
            <w:r>
              <w:rPr>
                <w:rFonts w:hint="default" w:ascii="Times New Roman" w:hAnsi="Times New Roman" w:cs="Times New Roman"/>
                <w:b w:val="0"/>
                <w:bCs/>
                <w:color w:val="000000" w:themeColor="text1"/>
                <w:sz w:val="21"/>
                <w:szCs w:val="21"/>
                <w:u w:val="none"/>
                <w:shd w:val="clear" w:color="auto" w:fill="auto"/>
                <w:lang w:eastAsia="zh-CN"/>
                <w14:textFill>
                  <w14:solidFill>
                    <w14:schemeClr w14:val="tx1"/>
                  </w14:solidFill>
                </w14:textFill>
              </w:rPr>
              <w:t>、</w:t>
            </w:r>
            <w:r>
              <w:rPr>
                <w:rFonts w:hint="default" w:ascii="Times New Roman" w:hAnsi="Times New Roman" w:cs="Times New Roman"/>
                <w:b w:val="0"/>
                <w:bCs/>
                <w:color w:val="000000" w:themeColor="text1"/>
                <w:sz w:val="21"/>
                <w:szCs w:val="21"/>
                <w:u w:val="none"/>
                <w:shd w:val="clear" w:color="auto" w:fill="auto"/>
                <w:lang w:val="en-US" w:eastAsia="zh-CN"/>
                <w14:textFill>
                  <w14:solidFill>
                    <w14:schemeClr w14:val="tx1"/>
                  </w14:solidFill>
                </w14:textFill>
              </w:rPr>
              <w:t>PM</w:t>
            </w:r>
            <w:r>
              <w:rPr>
                <w:rFonts w:hint="default" w:ascii="Times New Roman" w:hAnsi="Times New Roman" w:cs="Times New Roman"/>
                <w:b w:val="0"/>
                <w:bCs/>
                <w:color w:val="000000" w:themeColor="text1"/>
                <w:sz w:val="21"/>
                <w:szCs w:val="21"/>
                <w:u w:val="none"/>
                <w:shd w:val="clear" w:color="auto" w:fill="auto"/>
                <w:vertAlign w:val="subscript"/>
                <w:lang w:val="en-US" w:eastAsia="zh-CN"/>
                <w14:textFill>
                  <w14:solidFill>
                    <w14:schemeClr w14:val="tx1"/>
                  </w14:solidFill>
                </w14:textFill>
              </w:rPr>
              <w:t>10</w:t>
            </w:r>
            <w:r>
              <w:rPr>
                <w:rFonts w:hint="default" w:ascii="Times New Roman" w:hAnsi="Times New Roman" w:cs="Times New Roman"/>
                <w:b w:val="0"/>
                <w:bCs/>
                <w:color w:val="000000" w:themeColor="text1"/>
                <w:sz w:val="21"/>
                <w:szCs w:val="21"/>
                <w:u w:val="none"/>
                <w:shd w:val="clear" w:color="auto" w:fill="auto"/>
                <w:lang w:val="en-US" w:eastAsia="zh-CN"/>
                <w14:textFill>
                  <w14:solidFill>
                    <w14:schemeClr w14:val="tx1"/>
                  </w14:solidFill>
                </w14:textFill>
              </w:rPr>
              <w:t>、CO、O</w:t>
            </w:r>
            <w:r>
              <w:rPr>
                <w:rFonts w:hint="default" w:ascii="Times New Roman" w:hAnsi="Times New Roman" w:cs="Times New Roman"/>
                <w:b w:val="0"/>
                <w:bCs/>
                <w:color w:val="000000" w:themeColor="text1"/>
                <w:sz w:val="21"/>
                <w:szCs w:val="21"/>
                <w:u w:val="none"/>
                <w:shd w:val="clear" w:color="auto" w:fill="auto"/>
                <w:vertAlign w:val="subscript"/>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u w:val="none"/>
                <w:shd w:val="clear" w:color="auto" w:fill="auto"/>
                <w:lang w:val="en-US" w:eastAsia="zh-CN"/>
                <w14:textFill>
                  <w14:solidFill>
                    <w14:schemeClr w14:val="tx1"/>
                  </w14:solidFill>
                </w14:textFill>
              </w:rPr>
              <w:t>可满足《环境空气质量标准》（GB3095-2012）中二级标准要求，</w:t>
            </w:r>
            <w:r>
              <w:rPr>
                <w:rFonts w:hint="default" w:ascii="Times New Roman" w:hAnsi="Times New Roman" w:cs="Times New Roman"/>
                <w:b w:val="0"/>
                <w:bCs/>
                <w:color w:val="000000" w:themeColor="text1"/>
                <w:sz w:val="21"/>
                <w:szCs w:val="21"/>
                <w:u w:val="none"/>
                <w:shd w:val="clear" w:color="auto" w:fill="auto"/>
                <w:lang w:eastAsia="zh-CN"/>
                <w14:textFill>
                  <w14:solidFill>
                    <w14:schemeClr w14:val="tx1"/>
                  </w14:solidFill>
                </w14:textFill>
              </w:rPr>
              <w:t>PM</w:t>
            </w:r>
            <w:r>
              <w:rPr>
                <w:rFonts w:hint="default" w:ascii="Times New Roman" w:hAnsi="Times New Roman" w:cs="Times New Roman"/>
                <w:b w:val="0"/>
                <w:bCs/>
                <w:color w:val="000000" w:themeColor="text1"/>
                <w:sz w:val="21"/>
                <w:szCs w:val="21"/>
                <w:u w:val="none"/>
                <w:shd w:val="clear" w:color="auto" w:fill="auto"/>
                <w:vertAlign w:val="subscript"/>
                <w:lang w:eastAsia="zh-CN"/>
                <w14:textFill>
                  <w14:solidFill>
                    <w14:schemeClr w14:val="tx1"/>
                  </w14:solidFill>
                </w14:textFill>
              </w:rPr>
              <w:t>2.5</w:t>
            </w:r>
            <w:r>
              <w:rPr>
                <w:rFonts w:hint="default" w:ascii="Times New Roman" w:hAnsi="Times New Roman" w:cs="Times New Roman"/>
                <w:b w:val="0"/>
                <w:bCs/>
                <w:color w:val="000000" w:themeColor="text1"/>
                <w:sz w:val="21"/>
                <w:szCs w:val="21"/>
                <w:u w:val="none"/>
                <w:shd w:val="clear" w:color="auto" w:fill="auto"/>
                <w:lang w:val="en-US" w:eastAsia="zh-CN"/>
                <w14:textFill>
                  <w14:solidFill>
                    <w14:schemeClr w14:val="tx1"/>
                  </w14:solidFill>
                </w14:textFill>
              </w:rPr>
              <w:t>不能满足《环境空气质量标准》（GB3095-2012）中的二级标准要求，属于不达标区域</w:t>
            </w:r>
            <w:r>
              <w:rPr>
                <w:rFonts w:hint="default" w:ascii="Times New Roman" w:hAnsi="Times New Roman" w:cs="Times New Roman"/>
                <w:b w:val="0"/>
                <w:bCs/>
                <w:color w:val="000000" w:themeColor="text1"/>
                <w:sz w:val="21"/>
                <w:szCs w:val="21"/>
                <w:u w:val="none"/>
                <w:shd w:val="clear" w:color="auto" w:fill="auto"/>
                <w:lang w:eastAsia="zh-CN"/>
                <w14:textFill>
                  <w14:solidFill>
                    <w14:schemeClr w14:val="tx1"/>
                  </w14:solidFill>
                </w14:textFill>
              </w:rPr>
              <w:t>。特征因子TVOC、硫化氢和氨均符合《环境影响评价技术导则 大气环境》（HJ2.2-2018）附录D中的浓度限值，非甲烷总烃可以满足《大气综合污染综合排放标准详解》中的建议取值。</w:t>
            </w:r>
            <w:r>
              <w:rPr>
                <w:rFonts w:hint="default" w:ascii="Times New Roman" w:hAnsi="Times New Roman" w:cs="Times New Roman"/>
                <w:b w:val="0"/>
                <w:bCs/>
                <w:color w:val="000000" w:themeColor="text1"/>
                <w:sz w:val="21"/>
                <w:szCs w:val="21"/>
                <w:u w:val="none"/>
                <w:shd w:val="clear" w:color="auto" w:fill="auto"/>
                <w:lang w:val="en-US" w:eastAsia="zh-CN"/>
                <w14:textFill>
                  <w14:solidFill>
                    <w14:schemeClr w14:val="tx1"/>
                  </w14:solidFill>
                </w14:textFill>
              </w:rPr>
              <w:t>地表水长江段水质监测数据可满足《地表水环境质量标准》（GB3838-2002）中</w:t>
            </w:r>
            <w:r>
              <w:rPr>
                <w:rFonts w:hint="default" w:ascii="Times New Roman" w:hAnsi="Times New Roman" w:cs="Times New Roman"/>
                <w:b w:val="0"/>
                <w:bCs/>
                <w:color w:val="000000" w:themeColor="text1"/>
                <w:sz w:val="21"/>
                <w:szCs w:val="21"/>
                <w:u w:val="none"/>
                <w:shd w:val="clear" w:color="auto" w:fill="auto"/>
                <w:lang w:eastAsia="zh-CN"/>
                <w14:textFill>
                  <w14:solidFill>
                    <w14:schemeClr w14:val="tx1"/>
                  </w14:solidFill>
                </w14:textFill>
              </w:rPr>
              <w:t>Ⅲ类标准要求。</w:t>
            </w:r>
            <w:r>
              <w:rPr>
                <w:rFonts w:hint="default" w:ascii="Times New Roman" w:hAnsi="Times New Roman" w:cs="Times New Roman"/>
                <w:b w:val="0"/>
                <w:bCs/>
                <w:color w:val="000000" w:themeColor="text1"/>
                <w:sz w:val="21"/>
                <w:szCs w:val="21"/>
                <w:u w:val="none"/>
                <w:shd w:val="clear" w:color="auto" w:fill="auto"/>
                <w:lang w:val="en-US" w:eastAsia="zh-CN"/>
                <w14:textFill>
                  <w14:solidFill>
                    <w14:schemeClr w14:val="tx1"/>
                  </w14:solidFill>
                </w14:textFill>
              </w:rPr>
              <w:t>松阳湖监测数据中五日生化需氧量存在超标现象，其余指标满足《地表水环境质量标准》（GB3838-2002）中的Ⅳ类标准要求。待区域配套雨污管网全面建成后，松阳湖水质将得到改善。</w:t>
            </w:r>
            <w:r>
              <w:rPr>
                <w:rFonts w:hint="default" w:ascii="Times New Roman" w:hAnsi="Times New Roman" w:cs="Times New Roman"/>
                <w:b w:val="0"/>
                <w:bCs/>
                <w:color w:val="000000" w:themeColor="text1"/>
                <w:spacing w:val="6"/>
                <w:sz w:val="21"/>
                <w:szCs w:val="21"/>
                <w:u w:val="none"/>
                <w:shd w:val="clear" w:color="auto" w:fill="auto"/>
                <w:lang w:val="en-US" w:eastAsia="zh-CN" w:bidi="ar"/>
                <w14:textFill>
                  <w14:solidFill>
                    <w14:schemeClr w14:val="tx1"/>
                  </w14:solidFill>
                </w14:textFill>
              </w:rPr>
              <w:t>地下水引用周边附近水井各项指标</w:t>
            </w:r>
            <w:r>
              <w:rPr>
                <w:rFonts w:hint="eastAsia" w:cs="Times New Roman"/>
                <w:b w:val="0"/>
                <w:bCs/>
                <w:color w:val="000000" w:themeColor="text1"/>
                <w:spacing w:val="6"/>
                <w:sz w:val="21"/>
                <w:szCs w:val="21"/>
                <w:u w:val="none"/>
                <w:shd w:val="clear" w:color="auto" w:fill="auto"/>
                <w:lang w:val="en-US" w:eastAsia="zh-CN" w:bidi="ar"/>
                <w14:textFill>
                  <w14:solidFill>
                    <w14:schemeClr w14:val="tx1"/>
                  </w14:solidFill>
                </w14:textFill>
              </w:rPr>
              <w:t>除引用的《云溪区工业固体废弃物处置（一期工程）》的PH和总大肠菌群超标外，其他的</w:t>
            </w:r>
            <w:r>
              <w:rPr>
                <w:rFonts w:hint="default" w:ascii="Times New Roman" w:hAnsi="Times New Roman" w:cs="Times New Roman"/>
                <w:b w:val="0"/>
                <w:bCs/>
                <w:color w:val="000000" w:themeColor="text1"/>
                <w:spacing w:val="6"/>
                <w:sz w:val="21"/>
                <w:szCs w:val="21"/>
                <w:u w:val="none"/>
                <w:shd w:val="clear" w:color="auto" w:fill="auto"/>
                <w:lang w:val="en-US" w:eastAsia="zh-CN" w:bidi="ar"/>
                <w14:textFill>
                  <w14:solidFill>
                    <w14:schemeClr w14:val="tx1"/>
                  </w14:solidFill>
                </w14:textFill>
              </w:rPr>
              <w:t>均能达到《地下水环境质量标准》（GB/T14848-2017）中Ⅲ类标准的要求。</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cs="Times New Roman"/>
                <w:b w:val="0"/>
                <w:bCs/>
                <w:color w:val="000000" w:themeColor="text1"/>
                <w:sz w:val="21"/>
                <w:szCs w:val="21"/>
                <w:u w:val="none"/>
                <w:shd w:val="clear" w:color="auto" w:fill="auto"/>
                <w14:textFill>
                  <w14:solidFill>
                    <w14:schemeClr w14:val="tx1"/>
                  </w14:solidFill>
                </w14:textFill>
              </w:rPr>
              <w:t>声环境质量满足《声环境质量标准》GB3096-2008中的3类标准。土壤的环境质量监测数据可满足《土壤环境质量建设用地土壤污染风险管控标准（试行）》（GB36600-2018）中第二类用地筛选值标准要求。</w:t>
            </w:r>
            <w:r>
              <w:rPr>
                <w:rFonts w:hint="default" w:ascii="Times New Roman" w:hAnsi="Times New Roman" w:eastAsia="宋体" w:cs="Times New Roman"/>
                <w:color w:val="000000" w:themeColor="text1"/>
                <w:sz w:val="21"/>
                <w14:textFill>
                  <w14:solidFill>
                    <w14:schemeClr w14:val="tx1"/>
                  </w14:solidFill>
                </w14:textFill>
              </w:rPr>
              <w:t>经预测，项目污染治理措施正常运行时，本项目的建设对周围环境的影响较小。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12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总量指标合理性及可达标性分析</w:t>
            </w:r>
          </w:p>
        </w:tc>
        <w:tc>
          <w:tcPr>
            <w:tcW w:w="337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本次环评在达标排放基础上给出该项目污染物排放总量控制建议指标，项目废水经巴陵石化水务部云溪生化装置处理达到</w:t>
            </w:r>
            <w:r>
              <w:rPr>
                <w:rFonts w:hint="default" w:ascii="Times New Roman" w:hAnsi="Times New Roman" w:eastAsia="宋体" w:cs="Times New Roman"/>
                <w:color w:val="000000" w:themeColor="text1"/>
                <w:sz w:val="21"/>
                <w:lang w:eastAsia="zh-CN"/>
                <w14:textFill>
                  <w14:solidFill>
                    <w14:schemeClr w14:val="tx1"/>
                  </w14:solidFill>
                </w14:textFill>
              </w:rPr>
              <w:t>《石油炼制工业污染物排放标准》</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GB3157</w:t>
            </w:r>
            <w:r>
              <w:rPr>
                <w:rFonts w:hint="default" w:ascii="Times New Roman" w:hAnsi="Times New Roman" w:eastAsia="宋体" w:cs="Times New Roman"/>
                <w:color w:val="000000" w:themeColor="text1"/>
                <w:sz w:val="21"/>
                <w:lang w:val="en-US" w:eastAsia="zh-CN"/>
                <w14:textFill>
                  <w14:solidFill>
                    <w14:schemeClr w14:val="tx1"/>
                  </w14:solidFill>
                </w14:textFill>
              </w:rPr>
              <w:t>0</w:t>
            </w:r>
            <w:r>
              <w:rPr>
                <w:rFonts w:hint="default" w:ascii="Times New Roman" w:hAnsi="Times New Roman" w:eastAsia="宋体" w:cs="Times New Roman"/>
                <w:color w:val="000000" w:themeColor="text1"/>
                <w:sz w:val="21"/>
                <w14:textFill>
                  <w14:solidFill>
                    <w14:schemeClr w14:val="tx1"/>
                  </w14:solidFill>
                </w14:textFill>
              </w:rPr>
              <w:t>-2015</w:t>
            </w:r>
            <w:r>
              <w:rPr>
                <w:rFonts w:hint="default" w:ascii="Times New Roman" w:hAnsi="Times New Roman" w:eastAsia="宋体" w:cs="Times New Roman"/>
                <w:color w:val="000000" w:themeColor="text1"/>
                <w:sz w:val="21"/>
                <w:lang w:val="en-US"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表</w:t>
            </w:r>
            <w:r>
              <w:rPr>
                <w:rFonts w:hint="eastAsia" w:eastAsia="宋体" w:cs="Times New Roman"/>
                <w:color w:val="000000" w:themeColor="text1"/>
                <w:sz w:val="21"/>
                <w:lang w:val="en-US" w:eastAsia="zh-CN"/>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水污染</w:t>
            </w:r>
            <w:r>
              <w:rPr>
                <w:rFonts w:hint="eastAsia" w:eastAsia="宋体" w:cs="Times New Roman"/>
                <w:color w:val="000000" w:themeColor="text1"/>
                <w:sz w:val="21"/>
                <w:lang w:val="en-US" w:eastAsia="zh-CN"/>
                <w14:textFill>
                  <w14:solidFill>
                    <w14:schemeClr w14:val="tx1"/>
                  </w14:solidFill>
                </w14:textFill>
              </w:rPr>
              <w:t>特别</w:t>
            </w:r>
            <w:r>
              <w:rPr>
                <w:rFonts w:hint="default" w:ascii="Times New Roman" w:hAnsi="Times New Roman" w:eastAsia="宋体" w:cs="Times New Roman"/>
                <w:color w:val="000000" w:themeColor="text1"/>
                <w:sz w:val="21"/>
                <w14:textFill>
                  <w14:solidFill>
                    <w14:schemeClr w14:val="tx1"/>
                  </w14:solidFill>
                </w14:textFill>
              </w:rPr>
              <w:t>排放限值后通过管道排入长江，水型污染物排放总量为：COD：0.079t/a、氨氮：0.008t/a；VOC</w:t>
            </w:r>
            <w:r>
              <w:rPr>
                <w:rFonts w:hint="default" w:ascii="Times New Roman" w:hAnsi="Times New Roman" w:eastAsia="宋体" w:cs="Times New Roman"/>
                <w:color w:val="000000" w:themeColor="text1"/>
                <w:sz w:val="21"/>
                <w:vertAlign w:val="subscript"/>
                <w14:textFill>
                  <w14:solidFill>
                    <w14:schemeClr w14:val="tx1"/>
                  </w14:solidFill>
                </w14:textFill>
              </w:rPr>
              <w:t>S</w:t>
            </w:r>
            <w:r>
              <w:rPr>
                <w:rFonts w:hint="default" w:ascii="Times New Roman" w:hAnsi="Times New Roman" w:eastAsia="宋体" w:cs="Times New Roman"/>
                <w:color w:val="000000" w:themeColor="text1"/>
                <w:sz w:val="21"/>
                <w14:textFill>
                  <w14:solidFill>
                    <w14:schemeClr w14:val="tx1"/>
                  </w14:solidFill>
                </w14:textFill>
              </w:rPr>
              <w:t>的建议指标为：0.2</w:t>
            </w:r>
            <w:r>
              <w:rPr>
                <w:rFonts w:hint="eastAsia" w:cs="Times New Roman"/>
                <w:color w:val="000000" w:themeColor="text1"/>
                <w:sz w:val="21"/>
                <w:lang w:val="en-US" w:eastAsia="zh-CN"/>
                <w14:textFill>
                  <w14:solidFill>
                    <w14:schemeClr w14:val="tx1"/>
                  </w14:solidFill>
                </w14:textFill>
              </w:rPr>
              <w:t>71</w:t>
            </w:r>
            <w:r>
              <w:rPr>
                <w:rFonts w:hint="default" w:ascii="Times New Roman" w:hAnsi="Times New Roman" w:eastAsia="宋体" w:cs="Times New Roman"/>
                <w:color w:val="000000" w:themeColor="text1"/>
                <w:sz w:val="21"/>
                <w14:textFill>
                  <w14:solidFill>
                    <w14:schemeClr w14:val="tx1"/>
                  </w14:solidFill>
                </w14:textFill>
              </w:rPr>
              <w:t>t/a。炼油部作为巴陵石化分公司部门，其废水、废气污染物排放一直纳入巴陵公司管理，无需另外申请购买，VOC</w:t>
            </w:r>
            <w:r>
              <w:rPr>
                <w:rFonts w:hint="default" w:ascii="Times New Roman" w:hAnsi="Times New Roman" w:eastAsia="宋体" w:cs="Times New Roman"/>
                <w:color w:val="000000" w:themeColor="text1"/>
                <w:sz w:val="21"/>
                <w:vertAlign w:val="subscript"/>
                <w14:textFill>
                  <w14:solidFill>
                    <w14:schemeClr w14:val="tx1"/>
                  </w14:solidFill>
                </w14:textFill>
              </w:rPr>
              <w:t>S</w:t>
            </w:r>
            <w:r>
              <w:rPr>
                <w:rFonts w:hint="default" w:ascii="Times New Roman" w:hAnsi="Times New Roman" w:eastAsia="宋体" w:cs="Times New Roman"/>
                <w:color w:val="000000" w:themeColor="text1"/>
                <w:sz w:val="21"/>
                <w14:textFill>
                  <w14:solidFill>
                    <w14:schemeClr w14:val="tx1"/>
                  </w14:solidFill>
                </w14:textFill>
              </w:rPr>
              <w:t>总量由建设单位向生态环境主管部门申请。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w:t>
            </w:r>
          </w:p>
        </w:tc>
        <w:tc>
          <w:tcPr>
            <w:tcW w:w="120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三线一单相符性分析</w:t>
            </w:r>
          </w:p>
        </w:tc>
        <w:tc>
          <w:tcPr>
            <w:tcW w:w="3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本项目位于中石化巴陵石油化工有限公司炼油部厂区内，不涉及生态保护红线，未突破所在区域环境质量底线，不涉及资源利用上线，不在环境准入负面清单内，经分析符合园区“三线一单”要求</w:t>
            </w:r>
          </w:p>
        </w:tc>
      </w:tr>
    </w:tbl>
    <w:p>
      <w:pPr>
        <w:numPr>
          <w:ilvl w:val="0"/>
          <w:numId w:val="2"/>
        </w:numPr>
        <w:adjustRightInd w:val="0"/>
        <w:snapToGrid w:val="0"/>
        <w:spacing w:line="360" w:lineRule="auto"/>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“三线一单”符合性分析</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①生态保护红线</w:t>
      </w:r>
    </w:p>
    <w:p>
      <w:pPr>
        <w:pStyle w:val="132"/>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本项目位于中石化巴陵石油化工有限公司炼油部厂区内，项目用地为工业用地，不在岳阳市生态保护红线范围内，不在当地饮用水源、风景区、自然保护区范围内，符合生态保护红线要求。</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②环境质量底线</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根据《岳阳2019年度环境质量公报》，项目区为环境空气质量不达标区，不达标的主要污染物为PM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，且与2018年相比，二氧化硫、二氧化氮、细颗粒物的年平均浓度均有不同程度的下降。环境质量总体呈现改善的趋势。</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根据大气环境补充监测结果及其他因子的实测结果，项目周边大气（补充监测因子）、地表水、噪声、地下水、土壤等监测因子均满足相应标准要求。本项目废水经炼油部预处理站处理之后再排入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废气达标排放，噪声厂界达标，危险废物委托有资质的单位处置。项目各污染物经治理之后对周边环境影响较小，不会改变区域的环境质量，经过预测本项目大气环境影响可接受，因此本项目基本符合环境质量底线要求。</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③资源利用上线</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消耗的主要资源为水、蒸汽和电能，项目不属于高耗能、高耗水的企业。项目所在地属于工业用地，不涉及基本农田，土地资源消耗符合要求；本项目运营期通过内部管理、设备选择、原辅材料的选用和管理、废物回收利用、污染治理等多方面采取合理可行的清洁生产措施，以“节能、降耗、减污”为目标，有效地控制资源利用。目前常德市尚未颁布资源利用上线的文件要求，本项目的建设符合资源利用上线的要求。</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④环境准入负面清单</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目前，项目区域暂未制定环境准入负面清单，同时对照《产业结构调整指导目录(2019年本)》，本项目不属于其中的限制类和禁止类项目。</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本项目符合《长江经济带发展负面清单指南（试行）》及《湖南省长江经济带发展负面清单实施细则（试行）》的相关要求。</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综上，本项目符合“三线一单”控制条件要求。</w:t>
      </w:r>
    </w:p>
    <w:p>
      <w:pPr>
        <w:adjustRightInd w:val="0"/>
        <w:snapToGrid w:val="0"/>
        <w:spacing w:line="360" w:lineRule="auto"/>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（2）与《长江经济带生态环境保护规划》及《长江保护修复攻坚战行动计划》相符性分析</w:t>
      </w:r>
    </w:p>
    <w:p>
      <w:pPr>
        <w:pStyle w:val="132"/>
        <w:rPr>
          <w:rFonts w:hint="default" w:ascii="Times New Roman" w:hAnsi="Times New Roman" w:cs="Times New Roman"/>
          <w:bCs w:val="0"/>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长江经济带生态环境保护规划》，规划要求实行负面清单管理中的除在建项目外，严禁在干流及主要支流岸线1公里范围布局新建重化工园区，严控在中上游沿岸地区新建石油化工和煤化工项目，严控下游高污染、高排放企业向上游转移。同时，《长江经济带生态环境保护规划》已明确长江主要支流为金沙江、雅砻江、大渡河、岷江、沱江、嘉陵江(含涪江、渠江)、湘江、汉江、赣江等主要支流及鄱阳湖、洞庭湖、三峡水库、丹江口水库等主要湖库。</w:t>
      </w:r>
    </w:p>
    <w:p>
      <w:pPr>
        <w:pStyle w:val="13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根据《长江保护修复攻坚战行动计划》中有关“加强工业污染治理，有效防范生态环境风险”要求，文中明确“长江干流及主要支流岸线1公里范围内不准新增化工园区，依法淘汰取缔违法违规工业园区。”</w:t>
      </w:r>
    </w:p>
    <w:p>
      <w:pPr>
        <w:pStyle w:val="13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本项目选址位于中石化巴陵石油化工有限公司炼油部厂区内，项目选址距离长江约10km，符合对化工项目距离的要求。</w:t>
      </w:r>
    </w:p>
    <w:p>
      <w:pPr>
        <w:pStyle w:val="13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因此本项目的选址符合《长江经济带生态环境保护规划》及《长江保护修复攻坚战行动计划》的要求。</w:t>
      </w:r>
    </w:p>
    <w:p>
      <w:pPr>
        <w:adjustRightInd w:val="0"/>
        <w:snapToGrid w:val="0"/>
        <w:spacing w:line="360" w:lineRule="auto"/>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（3）与《关于印发&lt;“十三五”挥发性有机物污染防治工作方案&gt;的通知》（环大气[2017]121号）的相符性</w:t>
      </w:r>
    </w:p>
    <w:p>
      <w:pPr>
        <w:pStyle w:val="132"/>
        <w:ind w:firstLine="480" w:firstLineChars="200"/>
        <w:rPr>
          <w:rStyle w:val="45"/>
          <w:rFonts w:hint="default" w:ascii="Times New Roman" w:hAnsi="Times New Roman" w:cs="Times New Roman"/>
          <w:bCs w:val="0"/>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根据《“十三五”挥发性有机物污染防治工作方案》(环大气[2017]121号)，本项目主要涉及以下内容：</w:t>
      </w:r>
    </w:p>
    <w:p>
      <w:pPr>
        <w:pStyle w:val="14"/>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Style w:val="45"/>
          <w:rFonts w:hint="eastAsia" w:eastAsia="宋体"/>
          <w:bCs w:val="0"/>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b/>
          <w:bCs/>
          <w:color w:val="000000" w:themeColor="text1"/>
          <w14:textFill>
            <w14:solidFill>
              <w14:schemeClr w14:val="tx1"/>
            </w14:solidFill>
          </w14:textFill>
        </w:rPr>
        <w:t>“十三五”挥发性有机物污染防治工作方案</w:t>
      </w:r>
      <w:r>
        <w:rPr>
          <w:rFonts w:hint="eastAsia"/>
          <w:b/>
          <w:bCs/>
          <w:color w:val="000000" w:themeColor="text1"/>
          <w:lang w:eastAsia="zh-CN"/>
          <w14:textFill>
            <w14:solidFill>
              <w14:schemeClr w14:val="tx1"/>
            </w14:solidFill>
          </w14:textFill>
        </w:rPr>
        <w:t>符合性分析</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883"/>
        <w:gridCol w:w="341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tcBorders>
              <w:top w:val="single" w:color="auto" w:sz="12" w:space="0"/>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序号</w:t>
            </w:r>
          </w:p>
        </w:tc>
        <w:tc>
          <w:tcPr>
            <w:tcW w:w="3883" w:type="dxa"/>
            <w:tcBorders>
              <w:top w:val="single" w:color="auto" w:sz="12" w:space="0"/>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firstLineChars="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要求内容</w:t>
            </w:r>
          </w:p>
        </w:tc>
        <w:tc>
          <w:tcPr>
            <w:tcW w:w="3414" w:type="dxa"/>
            <w:tcBorders>
              <w:top w:val="single" w:color="auto" w:sz="12" w:space="0"/>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firstLineChars="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本项目情况</w:t>
            </w:r>
          </w:p>
        </w:tc>
        <w:tc>
          <w:tcPr>
            <w:tcW w:w="1208" w:type="dxa"/>
            <w:tcBorders>
              <w:top w:val="single" w:color="auto" w:sz="12" w:space="0"/>
              <w:right w:val="nil"/>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firstLineChars="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1</w:t>
            </w:r>
          </w:p>
        </w:tc>
        <w:tc>
          <w:tcPr>
            <w:tcW w:w="3883" w:type="dxa"/>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严格建设项目环境准入。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3414" w:type="dxa"/>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本项目主要位于</w:t>
            </w:r>
            <w:r>
              <w:rPr>
                <w:rStyle w:val="45"/>
                <w:rFonts w:hint="eastAsia" w:cs="Times New Roman"/>
                <w:b w:val="0"/>
                <w:bCs/>
                <w:color w:val="000000" w:themeColor="text1"/>
                <w:sz w:val="21"/>
                <w:szCs w:val="21"/>
                <w:vertAlign w:val="baseline"/>
                <w:lang w:val="en-US" w:eastAsia="zh-CN"/>
                <w14:textFill>
                  <w14:solidFill>
                    <w14:schemeClr w14:val="tx1"/>
                  </w14:solidFill>
                </w14:textFill>
              </w:rPr>
              <w:t>中石化巴陵石油化工有限公司</w:t>
            </w: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炼油部厂区内建设8万吨/年粗白油精制装置，本次新建项目属于云溪区工业园</w:t>
            </w:r>
            <w:r>
              <w:rPr>
                <w:rStyle w:val="45"/>
                <w:rFonts w:hint="eastAsia" w:cs="Times New Roman"/>
                <w:b w:val="0"/>
                <w:bCs/>
                <w:color w:val="000000" w:themeColor="text1"/>
                <w:sz w:val="21"/>
                <w:szCs w:val="21"/>
                <w:vertAlign w:val="baseline"/>
                <w:lang w:val="en-US" w:eastAsia="zh-CN"/>
                <w14:textFill>
                  <w14:solidFill>
                    <w14:schemeClr w14:val="tx1"/>
                  </w14:solidFill>
                </w14:textFill>
              </w:rPr>
              <w:t>巴陵片区</w:t>
            </w: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，本项目VOCs的排放主要是装置区动静密封点泄露产生的挥发性有机废气，采取的措施主要有集气系统涵盖每个产气点，并增加系统的密封性保证足够的处理能力。本项目VOCs的排放量较小。</w:t>
            </w:r>
          </w:p>
        </w:tc>
        <w:tc>
          <w:tcPr>
            <w:tcW w:w="1208" w:type="dxa"/>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37" w:type="dxa"/>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2</w:t>
            </w:r>
          </w:p>
        </w:tc>
        <w:tc>
          <w:tcPr>
            <w:tcW w:w="38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面实施石化行业达标排放。石油炼制、石油化工、合成树脂等行业应严格按照排放标准要求，全面加强精细化管理，确保稳定达标排放。全面开展泄漏检测与修复(LDAR)，建立健全管理制度，重点加强搅拌器、泵、压缩机等动密封点，以及低点导淋、取样口、高点放空、液位计、仪表连接件等静密封点的泄漏管理。严格控制储存、装卸损失，优先采用压力罐、低温罐、高效密封的浮顶罐，采用固定顶罐的应安装顶空联通置换油气回收装置；有机液体装卸必须采取全密闭底部装载、顶部浸没式装载等方式，汽油、航空汽油、石脑油、煤油等高挥发性有机液体装卸过程采取高效油气回收措施，使用具有油气回收接口的车船。强化废水处理系统等逸散废气收集治理，废水集输、储存、处理处置过程中的集水井(池)、调节池、隔油池、曝气池、气浮池、浓缩池等高浓度VOCs逸散环节应采用密闭收集措施，并回收利用，难以利用的应安装高效治理设施。加强有组织工艺废气治理，工艺弛放气、酸性水罐工艺尾气、氧化尾气、重整催化剂再生尾气等工艺废气优先回收利用，难以利用的，应送火炬系统处理，或采用催化焚烧、热力焚烧等销毁措施。加强非正常工况排放控制。在确保安全前提下，非正常工况排放的有机废气严禁直接排放，有火炬系统的，送入火炬系统处理，禁止熄灭火炬长明灯；无火炬系统的，应采用冷凝、吸收、吸附等处理措施，降低排放。加强操作管理，减少非计划停车及事故工况发生频次；对事故工况，企业应开展事后评估并及时向当地环境保护主管部门报告。”</w:t>
            </w:r>
          </w:p>
        </w:tc>
        <w:tc>
          <w:tcPr>
            <w:tcW w:w="3414" w:type="dxa"/>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本项目已</w:t>
            </w:r>
            <w:r>
              <w:rPr>
                <w:rFonts w:hint="default" w:ascii="Times New Roman" w:hAnsi="Times New Roman" w:cs="Times New Roman"/>
                <w:b w:val="0"/>
                <w:bCs/>
                <w:color w:val="000000" w:themeColor="text1"/>
                <w:sz w:val="21"/>
                <w:szCs w:val="21"/>
                <w14:textFill>
                  <w14:solidFill>
                    <w14:schemeClr w14:val="tx1"/>
                  </w14:solidFill>
                </w14:textFill>
              </w:rPr>
              <w:t>严格按照排放标准要求，</w:t>
            </w:r>
            <w:r>
              <w:rPr>
                <w:rFonts w:hint="default" w:ascii="Times New Roman" w:hAnsi="Times New Roman" w:cs="Times New Roman"/>
                <w:b w:val="0"/>
                <w:bCs/>
                <w:color w:val="000000" w:themeColor="text1"/>
                <w:sz w:val="21"/>
                <w:szCs w:val="21"/>
                <w:lang w:eastAsia="zh-CN"/>
                <w14:textFill>
                  <w14:solidFill>
                    <w14:schemeClr w14:val="tx1"/>
                  </w14:solidFill>
                </w14:textFill>
              </w:rPr>
              <w:t>确保加强精细化管理，确保稳定达标，已要求设置管理制度，加强密封点泄露管理，废水处理设施。应急池等依托中石化巴陵石油化工有限公司炼油部现有措施，本项目塔顶的不凝气送中石化巴陵石化有限公司炼油部原有火炬系统送气柜回收轻烃，回收不完时引入火炬烧掉烃</w:t>
            </w:r>
          </w:p>
        </w:tc>
        <w:tc>
          <w:tcPr>
            <w:tcW w:w="1208" w:type="dxa"/>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tcBorders>
              <w:left w:val="nil"/>
              <w:bottom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3</w:t>
            </w:r>
          </w:p>
        </w:tc>
        <w:tc>
          <w:tcPr>
            <w:tcW w:w="3883" w:type="dxa"/>
            <w:tcBorders>
              <w:bottom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建立健全监测监控体系。将石化、化工、包装印刷、工业涂装等VOCs排放重点源纳入重点排污单位名录，主要排污口要安装污染物排放自动监测设备，并与环保部门联网，其他企业逐步配备自动监测设备或便携式VOCs检测仪。推进VOCs重点排放源厂界VOCs监测。”</w:t>
            </w:r>
          </w:p>
        </w:tc>
        <w:tc>
          <w:tcPr>
            <w:tcW w:w="3414" w:type="dxa"/>
            <w:tcBorders>
              <w:bottom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本项目属于中石化巴陵石油化工有限公司炼油部厂区内的建设项目，本项目环保设施主要依托炼油部现有措施，中石化已纳入</w:t>
            </w:r>
            <w:r>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重点源纳入重点排污单位名录</w:t>
            </w:r>
          </w:p>
        </w:tc>
        <w:tc>
          <w:tcPr>
            <w:tcW w:w="1208" w:type="dxa"/>
            <w:tcBorders>
              <w:bottom w:val="single" w:color="auto" w:sz="12" w:space="0"/>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Style w:val="45"/>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符合</w:t>
            </w:r>
          </w:p>
        </w:tc>
      </w:tr>
    </w:tbl>
    <w:p>
      <w:pPr>
        <w:pStyle w:val="135"/>
        <w:snapToGrid w:val="0"/>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属于新建涉VOCs排放的工业企业，项目选址位于中石化巴陵石油化工有限公司炼油部厂区内，项目投产运营后，本项目塔顶产生的不凝气通过火炬系统管网送气柜回收轻烃，回收不完时引入火炬焚烧；油品在加工过程中的跑、冒、滴等采用系统涵盖每个产气点，并增加系统的密封性保证足够的处理能力。</w:t>
      </w:r>
    </w:p>
    <w:p>
      <w:pPr>
        <w:pStyle w:val="17"/>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综上，在建设单位严格落实本次环评提出的各项污染防治措施后，本项目的建设符合《“十三五”挥发性有机物污染防治工作方案》(环大气[2017]121号)的相关要求。</w:t>
      </w:r>
    </w:p>
    <w:p>
      <w:pPr>
        <w:adjustRightInd w:val="0"/>
        <w:snapToGrid w:val="0"/>
        <w:spacing w:line="360" w:lineRule="auto"/>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（4）与</w:t>
      </w:r>
      <w:r>
        <w:rPr>
          <w:rStyle w:val="151"/>
          <w:rFonts w:ascii="Times New Roman" w:hAnsi="Times New Roman"/>
          <w:b/>
          <w:color w:val="000000" w:themeColor="text1"/>
          <w:u w:val="none"/>
          <w14:textFill>
            <w14:solidFill>
              <w14:schemeClr w14:val="tx1"/>
            </w14:solidFill>
          </w14:textFill>
        </w:rPr>
        <w:t>《湖南省VOCs污染防治三年实施方案》相符性分析</w:t>
      </w:r>
    </w:p>
    <w:p>
      <w:pPr>
        <w:pStyle w:val="132"/>
        <w:ind w:firstLine="480"/>
        <w:rPr>
          <w:rFonts w:hint="default" w:ascii="Times New Roman" w:hAnsi="Times New Roman" w:cs="Times New Roman"/>
          <w:bCs w:val="0"/>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根据《湖南省VOCs污染防治三年实施方案》(湘环发[2018]11号)，本项目主要涉及以下内容：</w:t>
      </w:r>
    </w:p>
    <w:p>
      <w:pPr>
        <w:pStyle w:val="14"/>
        <w:keepNext w:val="0"/>
        <w:keepLines w:val="0"/>
        <w:pageBreakBefore w:val="0"/>
        <w:widowControl w:val="0"/>
        <w:kinsoku/>
        <w:wordWrap/>
        <w:overflowPunct/>
        <w:topLinePunct w:val="0"/>
        <w:autoSpaceDE/>
        <w:autoSpaceDN/>
        <w:bidi w:val="0"/>
        <w:adjustRightInd/>
        <w:snapToGrid/>
        <w:spacing w:line="240" w:lineRule="auto"/>
        <w:ind w:firstLine="482"/>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eastAsia="宋体"/>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Style w:val="151"/>
          <w:rFonts w:ascii="Times New Roman" w:hAnsi="Times New Roman"/>
          <w:b/>
          <w:color w:val="000000" w:themeColor="text1"/>
          <w:u w:val="none"/>
          <w14:textFill>
            <w14:solidFill>
              <w14:schemeClr w14:val="tx1"/>
            </w14:solidFill>
          </w14:textFill>
        </w:rPr>
        <w:t>湖南省VOCs污染防治三年实施方案</w:t>
      </w:r>
      <w:r>
        <w:rPr>
          <w:rStyle w:val="151"/>
          <w:rFonts w:hint="eastAsia"/>
          <w:b/>
          <w:color w:val="000000" w:themeColor="text1"/>
          <w:u w:val="none"/>
          <w:lang w:eastAsia="zh-CN"/>
          <w14:textFill>
            <w14:solidFill>
              <w14:schemeClr w14:val="tx1"/>
            </w14:solidFill>
          </w14:textFill>
        </w:rPr>
        <w:t>相符性分析</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3814"/>
        <w:gridCol w:w="2311"/>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6" w:type="dxa"/>
            <w:tcBorders>
              <w:top w:val="single" w:color="auto" w:sz="12" w:space="0"/>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3814" w:type="dxa"/>
            <w:tcBorders>
              <w:top w:val="single" w:color="auto" w:sz="12" w:space="0"/>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要求内容</w:t>
            </w:r>
          </w:p>
        </w:tc>
        <w:tc>
          <w:tcPr>
            <w:tcW w:w="2311" w:type="dxa"/>
            <w:tcBorders>
              <w:top w:val="single" w:color="auto" w:sz="12" w:space="0"/>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本项目情况</w:t>
            </w:r>
          </w:p>
        </w:tc>
        <w:tc>
          <w:tcPr>
            <w:tcW w:w="2311" w:type="dxa"/>
            <w:tcBorders>
              <w:top w:val="single" w:color="auto" w:sz="12" w:space="0"/>
              <w:right w:val="nil"/>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3814" w:type="dxa"/>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严格建设项目环境准入。提高VOCs排放重点行业环保准入门槛，严格控制新增污染物排放量。要严格限制石化、化工、包装印刷、工业涂装、家具制造、制药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2311" w:type="dxa"/>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本项目主要位于</w:t>
            </w:r>
            <w:r>
              <w:rPr>
                <w:rStyle w:val="45"/>
                <w:rFonts w:hint="eastAsia" w:cs="Times New Roman"/>
                <w:b w:val="0"/>
                <w:bCs/>
                <w:color w:val="000000" w:themeColor="text1"/>
                <w:sz w:val="21"/>
                <w:szCs w:val="21"/>
                <w:vertAlign w:val="baseline"/>
                <w:lang w:val="en-US" w:eastAsia="zh-CN"/>
                <w14:textFill>
                  <w14:solidFill>
                    <w14:schemeClr w14:val="tx1"/>
                  </w14:solidFill>
                </w14:textFill>
              </w:rPr>
              <w:t>中石化巴陵石油化工有限公司炼油部</w:t>
            </w: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厂区内建设8万吨/年粗白油精制装置，本次新建项目属于云溪区工业园，本项目VOCs的排放主要是装置区动静密封点泄露产生的挥发性有机废气，采取的措施主要有集气系统涵盖每个产气点，并增加系统的密封性保证足够的处理能力。本项目VOCs的排放量较小。</w:t>
            </w:r>
          </w:p>
        </w:tc>
        <w:tc>
          <w:tcPr>
            <w:tcW w:w="2311" w:type="dxa"/>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tcBorders>
              <w:left w:val="nil"/>
              <w:bottom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3814" w:type="dxa"/>
            <w:tcBorders>
              <w:bottom w:val="single" w:color="auto" w:sz="12" w:space="0"/>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48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面实施石化行业达标排放。全面加强石化行业“管理、源头、过程控制和末端治理相结合”的全过程精细化管控方式，确保稳定达标排放。2018年底前，石油炼制、石油化工、合成树脂等行业全面开展泄漏检测与修复( LDAR)，建立健全管理制度，重点加强搅拌器、泵、压缩机等动密封点，以及低点导淋、取样口、高点放空、液位计、仪表连接件等静密封点的泄漏管理。严格控制储存、装卸损失，优先采用压力罐、低温罐、高效密封的浮顶罐，采用固定顶罐的应安装顶空联通置换油气回收装置；有机液体装卸必须采取全密闭底部装载、顶部浸没式装载等方式，汽油、航空汽油、石脑油、煤油等高挥发性有机液体装卸过程采取高效油气回收措施，使用具有油气回收接口的车船。强化废水处理系统等逸散废气收集治理，废水集输、储存、处理处置过程中的集水井(池)、调节池、隔油池、曝气池、气浮池、浓缩池等高浓度VOCs 逸散环节应采用密闭收集措施，并回收利用，难以利用的应安装高效治理设施。加强有组织工艺废气治理，工艺弛放气、酸性水罐工艺尾气、氧化尾气、重整催化剂再生尾气等工艺废气优先回收利用，难以利用的，应送火炬系统处理，或采用催化焚烧、热力焚烧等销毁措施。加强非正常工况排放控制。在确保安全前提下，非正常工况排放的有机废气严禁直接排放，有火炬系统的，送入火炬系统处理，禁止熄灭火炬长明灯；无火炬系统的，应采用冷凝、吸收、吸附等处理措施，降低排放。加强操作管理，减少非计划停车及事故工况发生频次；对事故工况，企业应开展事后评估并及时向当地环境保护主管部门报告。</w:t>
            </w:r>
          </w:p>
        </w:tc>
        <w:tc>
          <w:tcPr>
            <w:tcW w:w="2311" w:type="dxa"/>
            <w:tcBorders>
              <w:bottom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本项目已</w:t>
            </w:r>
            <w:r>
              <w:rPr>
                <w:rFonts w:hint="default" w:ascii="Times New Roman" w:hAnsi="Times New Roman" w:cs="Times New Roman"/>
                <w:b w:val="0"/>
                <w:bCs/>
                <w:color w:val="000000" w:themeColor="text1"/>
                <w:sz w:val="21"/>
                <w:szCs w:val="21"/>
                <w14:textFill>
                  <w14:solidFill>
                    <w14:schemeClr w14:val="tx1"/>
                  </w14:solidFill>
                </w14:textFill>
              </w:rPr>
              <w:t>严格按照排放标准要求，</w:t>
            </w:r>
            <w:r>
              <w:rPr>
                <w:rFonts w:hint="default" w:ascii="Times New Roman" w:hAnsi="Times New Roman" w:cs="Times New Roman"/>
                <w:b w:val="0"/>
                <w:bCs/>
                <w:color w:val="000000" w:themeColor="text1"/>
                <w:sz w:val="21"/>
                <w:szCs w:val="21"/>
                <w:lang w:eastAsia="zh-CN"/>
                <w14:textFill>
                  <w14:solidFill>
                    <w14:schemeClr w14:val="tx1"/>
                  </w14:solidFill>
                </w14:textFill>
              </w:rPr>
              <w:t>确保加强精细化管理，确保稳定达标，已要求设置管理制度，加强密封点泄露管理，废水处理设施。应急池等依托中石化巴陵石油化工有限公司炼油部现有措施，本项目塔顶的不凝气送中石化巴陵石化有限公司炼油部原有火炬系统送气柜回收轻烃，回收不完时引入火炬烧掉烃</w:t>
            </w:r>
          </w:p>
        </w:tc>
        <w:tc>
          <w:tcPr>
            <w:tcW w:w="2311" w:type="dxa"/>
            <w:tcBorders>
              <w:bottom w:val="single" w:color="auto" w:sz="12" w:space="0"/>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符合</w:t>
            </w:r>
          </w:p>
        </w:tc>
      </w:tr>
    </w:tbl>
    <w:p>
      <w:pPr>
        <w:pStyle w:val="135"/>
        <w:snapToGrid w:val="0"/>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选址位于中石化巴陵石油化工有限公司炼油部；项目投产运营后，本项目塔顶产生的不凝气通过火炬系统管网送气柜回收轻烃，回收不完时引入火炬焚烧；油品在加工过程中的跑、冒、滴等采用系统涵盖每个产气点，并增加系统的密封性保证足够的处理能力。综上，本项目建设符合《湖南省VOCs污染防治三年实施方案》(湘环发〔2018〕11号)的相关要求。</w:t>
      </w:r>
    </w:p>
    <w:p>
      <w:pPr>
        <w:pStyle w:val="132"/>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因此本项目的建设符合地方VOC</w:t>
      </w:r>
      <w:r>
        <w:rPr>
          <w:rFonts w:hint="default" w:ascii="Times New Roman" w:hAnsi="Times New Roman" w:cs="Times New Roman"/>
          <w:color w:val="000000" w:themeColor="text1"/>
          <w:vertAlign w:val="subscript"/>
          <w14:textFill>
            <w14:solidFill>
              <w14:schemeClr w14:val="tx1"/>
            </w14:solidFill>
          </w14:textFill>
        </w:rPr>
        <w:t>S</w:t>
      </w:r>
      <w:r>
        <w:rPr>
          <w:rFonts w:hint="default" w:ascii="Times New Roman" w:hAnsi="Times New Roman" w:cs="Times New Roman"/>
          <w:color w:val="000000" w:themeColor="text1"/>
          <w14:textFill>
            <w14:solidFill>
              <w14:schemeClr w14:val="tx1"/>
            </w14:solidFill>
          </w14:textFill>
        </w:rPr>
        <w:t>防治的要求。</w:t>
      </w:r>
    </w:p>
    <w:p>
      <w:pPr>
        <w:adjustRightInd w:val="0"/>
        <w:snapToGrid w:val="0"/>
        <w:spacing w:line="360" w:lineRule="auto"/>
        <w:ind w:firstLine="482"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（5）与《长江经济带发展负面清单指南（试行）》及《湖南省长江经济带发展负面清单实施细则（试行）》相符性分析</w:t>
      </w:r>
    </w:p>
    <w:p>
      <w:pPr>
        <w:pStyle w:val="17"/>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2019年1月12日，长江经济带发展领导小组办公室印发了《关于发布长江经济带发展负面清单指南（试行）的通知》。本项目与其符合性分析如下：</w:t>
      </w:r>
    </w:p>
    <w:p>
      <w:pPr>
        <w:pStyle w:val="132"/>
        <w:spacing w:line="240" w:lineRule="auto"/>
        <w:ind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 xml:space="preserve">表 </w:t>
      </w:r>
      <w:r>
        <w:rPr>
          <w:b/>
          <w:bCs w:val="0"/>
          <w:color w:val="000000" w:themeColor="text1"/>
          <w14:textFill>
            <w14:solidFill>
              <w14:schemeClr w14:val="tx1"/>
            </w14:solidFill>
          </w14:textFill>
        </w:rPr>
        <w:fldChar w:fldCharType="begin"/>
      </w:r>
      <w:r>
        <w:rPr>
          <w:b/>
          <w:bCs w:val="0"/>
          <w:color w:val="000000" w:themeColor="text1"/>
          <w14:textFill>
            <w14:solidFill>
              <w14:schemeClr w14:val="tx1"/>
            </w14:solidFill>
          </w14:textFill>
        </w:rPr>
        <w:instrText xml:space="preserve"> STYLEREF 2 \s </w:instrText>
      </w:r>
      <w:r>
        <w:rPr>
          <w:b/>
          <w:bCs w:val="0"/>
          <w:color w:val="000000" w:themeColor="text1"/>
          <w14:textFill>
            <w14:solidFill>
              <w14:schemeClr w14:val="tx1"/>
            </w14:solidFill>
          </w14:textFill>
        </w:rPr>
        <w:fldChar w:fldCharType="separate"/>
      </w:r>
      <w:r>
        <w:rPr>
          <w:b/>
          <w:bCs w:val="0"/>
          <w:color w:val="000000" w:themeColor="text1"/>
          <w14:textFill>
            <w14:solidFill>
              <w14:schemeClr w14:val="tx1"/>
            </w14:solidFill>
          </w14:textFill>
        </w:rPr>
        <w:t>1</w:t>
      </w:r>
      <w:r>
        <w:rPr>
          <w:rFonts w:hint="eastAsia"/>
          <w:b/>
          <w:bCs w:val="0"/>
          <w:color w:val="000000" w:themeColor="text1"/>
          <w:lang w:val="en-US" w:eastAsia="zh-CN"/>
          <w14:textFill>
            <w14:solidFill>
              <w14:schemeClr w14:val="tx1"/>
            </w14:solidFill>
          </w14:textFill>
        </w:rPr>
        <w:t>.</w:t>
      </w:r>
      <w:r>
        <w:rPr>
          <w:b/>
          <w:bCs w:val="0"/>
          <w:color w:val="000000" w:themeColor="text1"/>
          <w14:textFill>
            <w14:solidFill>
              <w14:schemeClr w14:val="tx1"/>
            </w14:solidFill>
          </w14:textFill>
        </w:rPr>
        <w:t>4</w:t>
      </w:r>
      <w:r>
        <w:rPr>
          <w:b/>
          <w:bCs w:val="0"/>
          <w:color w:val="000000" w:themeColor="text1"/>
          <w14:textFill>
            <w14:solidFill>
              <w14:schemeClr w14:val="tx1"/>
            </w14:solidFill>
          </w14:textFill>
        </w:rPr>
        <w:fldChar w:fldCharType="end"/>
      </w:r>
      <w:r>
        <w:rPr>
          <w:rFonts w:hint="eastAsia"/>
          <w:b/>
          <w:bCs w:val="0"/>
          <w:color w:val="000000" w:themeColor="text1"/>
          <w:lang w:eastAsia="zh-CN"/>
          <w14:textFill>
            <w14:solidFill>
              <w14:schemeClr w14:val="tx1"/>
            </w14:solidFill>
          </w14:textFill>
        </w:rPr>
        <w:t>-</w:t>
      </w:r>
      <w:r>
        <w:rPr>
          <w:b/>
          <w:bCs w:val="0"/>
          <w:color w:val="000000" w:themeColor="text1"/>
          <w14:textFill>
            <w14:solidFill>
              <w14:schemeClr w14:val="tx1"/>
            </w14:solidFill>
          </w14:textFill>
        </w:rPr>
        <w:fldChar w:fldCharType="begin"/>
      </w:r>
      <w:r>
        <w:rPr>
          <w:b/>
          <w:bCs w:val="0"/>
          <w:color w:val="000000" w:themeColor="text1"/>
          <w14:textFill>
            <w14:solidFill>
              <w14:schemeClr w14:val="tx1"/>
            </w14:solidFill>
          </w14:textFill>
        </w:rPr>
        <w:instrText xml:space="preserve"> SEQ 表 \* ARABIC \s 2 </w:instrText>
      </w:r>
      <w:r>
        <w:rPr>
          <w:b/>
          <w:bCs w:val="0"/>
          <w:color w:val="000000" w:themeColor="text1"/>
          <w14:textFill>
            <w14:solidFill>
              <w14:schemeClr w14:val="tx1"/>
            </w14:solidFill>
          </w14:textFill>
        </w:rPr>
        <w:fldChar w:fldCharType="separate"/>
      </w:r>
      <w:r>
        <w:rPr>
          <w:b/>
          <w:bCs w:val="0"/>
          <w:color w:val="000000" w:themeColor="text1"/>
          <w14:textFill>
            <w14:solidFill>
              <w14:schemeClr w14:val="tx1"/>
            </w14:solidFill>
          </w14:textFill>
        </w:rPr>
        <w:t>4</w:t>
      </w:r>
      <w:r>
        <w:rPr>
          <w:b/>
          <w:bCs w:val="0"/>
          <w:color w:val="000000" w:themeColor="text1"/>
          <w14:textFill>
            <w14:solidFill>
              <w14:schemeClr w14:val="tx1"/>
            </w14:solidFill>
          </w14:textFill>
        </w:rPr>
        <w:fldChar w:fldCharType="end"/>
      </w:r>
      <w:r>
        <w:rPr>
          <w:rFonts w:hint="eastAsia"/>
          <w:b/>
          <w:bCs w:val="0"/>
          <w:color w:val="000000" w:themeColor="text1"/>
          <w:lang w:val="en-US" w:eastAsia="zh-CN"/>
          <w14:textFill>
            <w14:solidFill>
              <w14:schemeClr w14:val="tx1"/>
            </w14:solidFill>
          </w14:textFill>
        </w:rPr>
        <w:t xml:space="preserve">  </w:t>
      </w:r>
      <w:r>
        <w:rPr>
          <w:b/>
          <w:bCs w:val="0"/>
          <w:color w:val="000000" w:themeColor="text1"/>
          <w14:textFill>
            <w14:solidFill>
              <w14:schemeClr w14:val="tx1"/>
            </w14:solidFill>
          </w14:textFill>
        </w:rPr>
        <w:t>与长江经济带发展负面清单的符合性分析</w:t>
      </w:r>
    </w:p>
    <w:tbl>
      <w:tblPr>
        <w:tblStyle w:val="41"/>
        <w:tblW w:w="0" w:type="auto"/>
        <w:tblInd w:w="8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4"/>
        <w:gridCol w:w="5066"/>
        <w:gridCol w:w="2679"/>
        <w:gridCol w:w="6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要求内容</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本项目情况</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5066" w:type="dxa"/>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项目不属于码头建设项目</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420" w:firstLineChars="20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禁止在自然保护区核心区、缓冲区的岸线和河段范围内投资建设旅游和生产经营项目。禁止在风景名胜区核心景区的岸线和河段范围内投资建设与风景名胜区保护无关的项目。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本项目位于中石化巴陵石油化工有限公司炼油部闲置用地，不在自然保护区范围内</w:t>
            </w:r>
            <w:r>
              <w:rPr>
                <w:rStyle w:val="45"/>
                <w:rFonts w:hint="default" w:ascii="Times New Roman" w:hAnsi="Times New Roman" w:cs="Times New Roman"/>
                <w:bCs w:val="0"/>
                <w:color w:val="000000" w:themeColor="text1"/>
                <w14:textFill>
                  <w14:solidFill>
                    <w14:schemeClr w14:val="tx1"/>
                  </w14:solidFill>
                </w14:textFill>
              </w:rPr>
              <w:t>，不在风景名胜区范围内</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饮用水水源一级保护区内新建、改建、扩建与供水设施和保护水源无关的建设项目，以及网箱养殖、旅游等可能污染饮用水水体的投资建设项目；禁止在饮用水水源二级保护区的岸线和河段范围内新建、改建、扩建排放污染物的投资建设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本项目位于中石化巴陵石油化工有限公司炼油部闲置用地，不在饮用水保护区内</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本项目位于中石化巴陵石油化工有限公司炼油部闲置用地，不在水产种质资源保护区内</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本项目位于中石化巴陵石油化工有限公司炼油部闲置用地，用地为工业用地，不涉及基本农田和生态红线</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禁止在长江干支流1公里范围内新建、扩建化工园区和化工项目。禁止在合规园区外新建、扩建钢铁、石化、化工、焦化、建材、有色等高污染项目。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项目距离长江10km，且位于工业园区，与园区产业定位相符</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7"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禁止新建、扩建不符合国家石化、现代煤化工等产业布局规划的项目。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本项目选址符合国家石化产业布局规划的建设项目</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禁止新建、扩建法律法规和相关政策明令禁止的落后产能项目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项目不属于落后产能</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564"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w:t>
            </w:r>
          </w:p>
        </w:tc>
        <w:tc>
          <w:tcPr>
            <w:tcW w:w="5066"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禁止新建、扩建不符合国家产能置换要求的严重过剩产能行业的项目</w:t>
            </w:r>
          </w:p>
        </w:tc>
        <w:tc>
          <w:tcPr>
            <w:tcW w:w="2679"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项目不属于产能过剩行业</w:t>
            </w:r>
          </w:p>
        </w:tc>
        <w:tc>
          <w:tcPr>
            <w:tcW w:w="69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bl>
    <w:p>
      <w:pPr>
        <w:pStyle w:val="132"/>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2019年10月31日，湖南省推动长江经济带发展领导小组办公室印发了《</w:t>
      </w:r>
      <w:r>
        <w:rPr>
          <w:rStyle w:val="151"/>
          <w:rFonts w:hint="default" w:ascii="Times New Roman" w:hAnsi="Times New Roman" w:cs="Times New Roman"/>
          <w:bCs w:val="0"/>
          <w:color w:val="000000" w:themeColor="text1"/>
          <w:u w:val="none"/>
          <w14:textFill>
            <w14:solidFill>
              <w14:schemeClr w14:val="tx1"/>
            </w14:solidFill>
          </w14:textFill>
        </w:rPr>
        <w:t>湖南省长江经济带发展负面清单实施细则（试行）</w:t>
      </w:r>
      <w:r>
        <w:rPr>
          <w:rFonts w:hint="default" w:ascii="Times New Roman" w:hAnsi="Times New Roman" w:cs="Times New Roman"/>
          <w:color w:val="000000" w:themeColor="text1"/>
          <w14:textFill>
            <w14:solidFill>
              <w14:schemeClr w14:val="tx1"/>
            </w14:solidFill>
          </w14:textFill>
        </w:rPr>
        <w:t>》，其基本内容与《长江经济带发展负面清单指南（试行）》相同，对其进行了补充和完善。现摘录部分内容如下：</w:t>
      </w:r>
    </w:p>
    <w:p>
      <w:pPr>
        <w:pStyle w:val="14"/>
        <w:spacing w:line="240" w:lineRule="auto"/>
        <w:ind w:firstLine="0"/>
        <w:jc w:val="center"/>
        <w:rPr>
          <w:rFonts w:hint="default" w:ascii="Times New Roman" w:hAnsi="Times New Roman" w:cs="Times New Roman"/>
          <w:b/>
          <w:bCs w:val="0"/>
          <w:color w:val="000000" w:themeColor="text1"/>
          <w14:textFill>
            <w14:solidFill>
              <w14:schemeClr w14:val="tx1"/>
            </w14:solidFill>
          </w14:textFill>
        </w:rPr>
      </w:pPr>
      <w:r>
        <w:rPr>
          <w:b/>
          <w:bCs w:val="0"/>
          <w:color w:val="000000" w:themeColor="text1"/>
          <w14:textFill>
            <w14:solidFill>
              <w14:schemeClr w14:val="tx1"/>
            </w14:solidFill>
          </w14:textFill>
        </w:rPr>
        <w:t>表</w:t>
      </w:r>
      <w:r>
        <w:rPr>
          <w:b/>
          <w:bCs w:val="0"/>
          <w:color w:val="000000" w:themeColor="text1"/>
          <w14:textFill>
            <w14:solidFill>
              <w14:schemeClr w14:val="tx1"/>
            </w14:solidFill>
          </w14:textFill>
        </w:rPr>
        <w:fldChar w:fldCharType="begin"/>
      </w:r>
      <w:r>
        <w:rPr>
          <w:b/>
          <w:bCs w:val="0"/>
          <w:color w:val="000000" w:themeColor="text1"/>
          <w14:textFill>
            <w14:solidFill>
              <w14:schemeClr w14:val="tx1"/>
            </w14:solidFill>
          </w14:textFill>
        </w:rPr>
        <w:instrText xml:space="preserve"> STYLEREF 2 \s </w:instrText>
      </w:r>
      <w:r>
        <w:rPr>
          <w:b/>
          <w:bCs w:val="0"/>
          <w:color w:val="000000" w:themeColor="text1"/>
          <w14:textFill>
            <w14:solidFill>
              <w14:schemeClr w14:val="tx1"/>
            </w14:solidFill>
          </w14:textFill>
        </w:rPr>
        <w:fldChar w:fldCharType="separate"/>
      </w:r>
      <w:r>
        <w:rPr>
          <w:b/>
          <w:bCs w:val="0"/>
          <w:color w:val="000000" w:themeColor="text1"/>
          <w14:textFill>
            <w14:solidFill>
              <w14:schemeClr w14:val="tx1"/>
            </w14:solidFill>
          </w14:textFill>
        </w:rPr>
        <w:t>1</w:t>
      </w:r>
      <w:r>
        <w:rPr>
          <w:rFonts w:hint="eastAsia"/>
          <w:b/>
          <w:bCs w:val="0"/>
          <w:color w:val="000000" w:themeColor="text1"/>
          <w:lang w:val="en-US" w:eastAsia="zh-CN"/>
          <w14:textFill>
            <w14:solidFill>
              <w14:schemeClr w14:val="tx1"/>
            </w14:solidFill>
          </w14:textFill>
        </w:rPr>
        <w:t>.</w:t>
      </w:r>
      <w:r>
        <w:rPr>
          <w:b/>
          <w:bCs w:val="0"/>
          <w:color w:val="000000" w:themeColor="text1"/>
          <w14:textFill>
            <w14:solidFill>
              <w14:schemeClr w14:val="tx1"/>
            </w14:solidFill>
          </w14:textFill>
        </w:rPr>
        <w:t>4</w:t>
      </w:r>
      <w:r>
        <w:rPr>
          <w:b/>
          <w:bCs w:val="0"/>
          <w:color w:val="000000" w:themeColor="text1"/>
          <w14:textFill>
            <w14:solidFill>
              <w14:schemeClr w14:val="tx1"/>
            </w14:solidFill>
          </w14:textFill>
        </w:rPr>
        <w:fldChar w:fldCharType="end"/>
      </w:r>
      <w:r>
        <w:rPr>
          <w:rFonts w:hint="eastAsia"/>
          <w:b/>
          <w:bCs w:val="0"/>
          <w:color w:val="000000" w:themeColor="text1"/>
          <w:lang w:eastAsia="zh-CN"/>
          <w14:textFill>
            <w14:solidFill>
              <w14:schemeClr w14:val="tx1"/>
            </w14:solidFill>
          </w14:textFill>
        </w:rPr>
        <w:t>-</w:t>
      </w:r>
      <w:r>
        <w:rPr>
          <w:b/>
          <w:bCs w:val="0"/>
          <w:color w:val="000000" w:themeColor="text1"/>
          <w14:textFill>
            <w14:solidFill>
              <w14:schemeClr w14:val="tx1"/>
            </w14:solidFill>
          </w14:textFill>
        </w:rPr>
        <w:fldChar w:fldCharType="begin"/>
      </w:r>
      <w:r>
        <w:rPr>
          <w:b/>
          <w:bCs w:val="0"/>
          <w:color w:val="000000" w:themeColor="text1"/>
          <w14:textFill>
            <w14:solidFill>
              <w14:schemeClr w14:val="tx1"/>
            </w14:solidFill>
          </w14:textFill>
        </w:rPr>
        <w:instrText xml:space="preserve"> SEQ 表 \* ARABIC \s 2 </w:instrText>
      </w:r>
      <w:r>
        <w:rPr>
          <w:b/>
          <w:bCs w:val="0"/>
          <w:color w:val="000000" w:themeColor="text1"/>
          <w14:textFill>
            <w14:solidFill>
              <w14:schemeClr w14:val="tx1"/>
            </w14:solidFill>
          </w14:textFill>
        </w:rPr>
        <w:fldChar w:fldCharType="separate"/>
      </w:r>
      <w:r>
        <w:rPr>
          <w:b/>
          <w:bCs w:val="0"/>
          <w:color w:val="000000" w:themeColor="text1"/>
          <w14:textFill>
            <w14:solidFill>
              <w14:schemeClr w14:val="tx1"/>
            </w14:solidFill>
          </w14:textFill>
        </w:rPr>
        <w:t>5</w:t>
      </w:r>
      <w:r>
        <w:rPr>
          <w:b/>
          <w:bCs w:val="0"/>
          <w:color w:val="000000" w:themeColor="text1"/>
          <w14:textFill>
            <w14:solidFill>
              <w14:schemeClr w14:val="tx1"/>
            </w14:solidFill>
          </w14:textFill>
        </w:rPr>
        <w:fldChar w:fldCharType="end"/>
      </w:r>
      <w:r>
        <w:rPr>
          <w:rFonts w:hint="eastAsia"/>
          <w:b/>
          <w:bCs w:val="0"/>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14:textFill>
            <w14:solidFill>
              <w14:schemeClr w14:val="tx1"/>
            </w14:solidFill>
          </w14:textFill>
        </w:rPr>
        <w:t>与</w:t>
      </w:r>
      <w:r>
        <w:rPr>
          <w:rStyle w:val="151"/>
          <w:rFonts w:hint="default" w:ascii="Times New Roman" w:hAnsi="Times New Roman" w:cs="Times New Roman"/>
          <w:b/>
          <w:bCs w:val="0"/>
          <w:color w:val="000000" w:themeColor="text1"/>
          <w:u w:val="none"/>
          <w14:textFill>
            <w14:solidFill>
              <w14:schemeClr w14:val="tx1"/>
            </w14:solidFill>
          </w14:textFill>
        </w:rPr>
        <w:t>湖南省长江经济带发展负面清单</w:t>
      </w:r>
      <w:r>
        <w:rPr>
          <w:rFonts w:hint="default" w:ascii="Times New Roman" w:hAnsi="Times New Roman" w:cs="Times New Roman"/>
          <w:b/>
          <w:bCs w:val="0"/>
          <w:color w:val="000000" w:themeColor="text1"/>
          <w14:textFill>
            <w14:solidFill>
              <w14:schemeClr w14:val="tx1"/>
            </w14:solidFill>
          </w14:textFill>
        </w:rPr>
        <w:t>的符合性分析</w:t>
      </w:r>
    </w:p>
    <w:tbl>
      <w:tblPr>
        <w:tblStyle w:val="41"/>
        <w:tblW w:w="9162" w:type="dxa"/>
        <w:tblInd w:w="8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5"/>
        <w:gridCol w:w="5902"/>
        <w:gridCol w:w="1983"/>
        <w:gridCol w:w="8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25"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590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要求内容</w:t>
            </w:r>
          </w:p>
        </w:tc>
        <w:tc>
          <w:tcPr>
            <w:tcW w:w="198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本项目情况</w:t>
            </w:r>
          </w:p>
        </w:tc>
        <w:tc>
          <w:tcPr>
            <w:tcW w:w="85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25"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590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止在长江干支流（长江干流湖南段、湘江沅江干流及洞庭湖）岸线1公里范围内新建、扩建化工园区和化工项目。禁止在《中国开发区审核公告目录》公布的园区或省人民政府批准设立的园区外新建、扩建钢铁、石化、化工、焦化、建材、有色等高污染项目。</w:t>
            </w:r>
          </w:p>
        </w:tc>
        <w:tc>
          <w:tcPr>
            <w:tcW w:w="198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项目距离长江10km；项目位于合法的工业园区</w:t>
            </w:r>
          </w:p>
        </w:tc>
        <w:tc>
          <w:tcPr>
            <w:tcW w:w="85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25"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5902" w:type="dxa"/>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建乙烯、对二甲苯（PX）、二苯基甲烷二异氰酸酯（MDI）等石化项目由省政府投资主管部门按照国家批准的石化产业规划布局方案核准。未列入国家批准的相关规划的新建乙烯、对二甲苯（PX）、二苯基甲烷二异氰酸酯（MDI）项目，禁止建设。</w:t>
            </w:r>
          </w:p>
        </w:tc>
        <w:tc>
          <w:tcPr>
            <w:tcW w:w="198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项目不属于以上石化项目</w:t>
            </w:r>
          </w:p>
        </w:tc>
        <w:tc>
          <w:tcPr>
            <w:tcW w:w="85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25"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590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新建煤制烯烃、煤制对二甲苯（PX）等煤化工项目，按程序核准。新建年产超过100万吨的煤制甲醇项目，由省政府投资主管部门核准。其余项目禁止建设。</w:t>
            </w:r>
          </w:p>
        </w:tc>
        <w:tc>
          <w:tcPr>
            <w:tcW w:w="198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项目不属于煤化工项目</w:t>
            </w:r>
          </w:p>
        </w:tc>
        <w:tc>
          <w:tcPr>
            <w:tcW w:w="85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425"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590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对最新版《产业结构调整指导目录》中限制类的新建项目，禁止投资；对淘汰类项目，禁止投资。国家级重点生态功能区，要严格执行国家重点生态功能区产业准入负面清单。</w:t>
            </w:r>
          </w:p>
        </w:tc>
        <w:tc>
          <w:tcPr>
            <w:tcW w:w="1983"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项目不属于《产业结构调整指导目录（2019）》中的限制类和淘汰类；项目所在区域不属于国家重点生态功能区</w:t>
            </w:r>
          </w:p>
        </w:tc>
        <w:tc>
          <w:tcPr>
            <w:tcW w:w="852" w:type="dxa"/>
            <w:noWrap w:val="0"/>
            <w:tcMar>
              <w:top w:w="0" w:type="dxa"/>
              <w:left w:w="28" w:type="dxa"/>
              <w:bottom w:w="0" w:type="dxa"/>
              <w:right w:w="28" w:type="dxa"/>
            </w:tcMar>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bl>
    <w:p>
      <w:pPr>
        <w:adjustRightInd w:val="0"/>
        <w:snapToGrid w:val="0"/>
        <w:spacing w:line="360" w:lineRule="auto"/>
        <w:ind w:firstLine="482" w:firstLineChars="200"/>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（6）关于</w:t>
      </w:r>
      <w:r>
        <w:rPr>
          <w:rFonts w:hint="default" w:ascii="Times New Roman" w:hAnsi="Times New Roman" w:cs="Times New Roman"/>
          <w:b/>
          <w:bCs/>
          <w:color w:val="000000" w:themeColor="text1"/>
          <w:lang w:eastAsia="zh-CN"/>
          <w14:textFill>
            <w14:solidFill>
              <w14:schemeClr w14:val="tx1"/>
            </w14:solidFill>
          </w14:textFill>
        </w:rPr>
        <w:t>《关于做好环境影响评价制度与排污许可制衔接相关工作的通知》</w:t>
      </w:r>
      <w:r>
        <w:rPr>
          <w:rFonts w:hint="default" w:ascii="Times New Roman" w:hAnsi="Times New Roman" w:cs="Times New Roman"/>
          <w:b/>
          <w:bCs/>
          <w:color w:val="000000" w:themeColor="text1"/>
          <w:lang w:val="en-US" w:eastAsia="zh-CN"/>
          <w14:textFill>
            <w14:solidFill>
              <w14:schemeClr w14:val="tx1"/>
            </w14:solidFill>
          </w14:textFill>
        </w:rPr>
        <w:t>（环办环评[2017]84 号）</w:t>
      </w:r>
      <w:r>
        <w:rPr>
          <w:rFonts w:hint="eastAsia" w:ascii="Times New Roman" w:hAnsi="Times New Roman" w:cs="Times New Roman"/>
          <w:b/>
          <w:bCs/>
          <w:color w:val="000000" w:themeColor="text1"/>
          <w:lang w:val="en-US" w:eastAsia="zh-CN"/>
          <w14:textFill>
            <w14:solidFill>
              <w14:schemeClr w14:val="tx1"/>
            </w14:solidFill>
          </w14:textFill>
        </w:rPr>
        <w:t>的相关情况分析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本项目与《关于做好环境影响评价制度与排污许可制衔接相关工作的通知》</w:t>
      </w:r>
      <w:r>
        <w:rPr>
          <w:rFonts w:hint="default" w:ascii="Times New Roman" w:hAnsi="Times New Roman" w:cs="Times New Roman"/>
          <w:color w:val="000000" w:themeColor="text1"/>
          <w:lang w:val="en-US" w:eastAsia="zh-CN"/>
          <w14:textFill>
            <w14:solidFill>
              <w14:schemeClr w14:val="tx1"/>
            </w14:solidFill>
          </w14:textFill>
        </w:rPr>
        <w:t>（环办环评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[2017]84 号</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的相关说明如下所示。</w:t>
      </w:r>
    </w:p>
    <w:p>
      <w:pPr>
        <w:keepNext w:val="0"/>
        <w:keepLines w:val="0"/>
        <w:pageBreakBefore w:val="0"/>
        <w:widowControl w:val="0"/>
        <w:suppressLineNumbers w:val="0"/>
        <w:kinsoku w:val="0"/>
        <w:wordWrap/>
        <w:overflowPunct w:val="0"/>
        <w:topLinePunct w:val="0"/>
        <w:autoSpaceDE w:val="0"/>
        <w:autoSpaceDN w:val="0"/>
        <w:bidi w:val="0"/>
        <w:adjustRightInd/>
        <w:snapToGrid/>
        <w:spacing w:line="360" w:lineRule="auto"/>
        <w:ind w:firstLine="480" w:firstLineChars="200"/>
        <w:jc w:val="left"/>
        <w:textAlignment w:val="auto"/>
        <w:rPr>
          <w:rFonts w:hint="eastAsia" w:ascii="Times New Roman" w:hAnsi="Times New Roman" w:cs="Times New Roman"/>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环办环评[2017]84 号的主要内容</w:t>
      </w:r>
      <w:r>
        <w:rPr>
          <w:rFonts w:hint="eastAsia" w:ascii="Times New Roman" w:hAnsi="Times New Roman" w:cs="Times New Roman"/>
          <w:color w:val="000000" w:themeColor="text1"/>
          <w:lang w:val="en-US" w:eastAsia="zh-CN"/>
          <w14:textFill>
            <w14:solidFill>
              <w14:schemeClr w14:val="tx1"/>
            </w14:solidFill>
          </w14:textFill>
        </w:rPr>
        <w:t>要求，“三、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本次环评结合排污许可要求和按照源强核算技术指南和环境影响评价要素导则严格核定了排污口数量、位置以及每个排污口的污染物种类、允许排放浓度和允许排放量、排放方式、排放去向、自行监测计划于污染物排放相关的主要内容。“六、建设项目发生实际排污行为之前，排污单位应当按照国家环境保护相关法律法规以及排污许可证申请与核发技术规范要求申请排污许可证，不得无证排污或不按证排污。环境影响报告书（表）2015 年 1 月 1 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 本次项目建成投产要求建设单位按照国家环境保护相关法律法规一级排污许可证申请与核发技术规范要求申请排序许可证。”</w:t>
      </w:r>
    </w:p>
    <w:p>
      <w:pPr>
        <w:pStyle w:val="101"/>
        <w:adjustRightInd w:val="0"/>
        <w:snapToGrid w:val="0"/>
        <w:spacing w:line="360" w:lineRule="auto"/>
        <w:ind w:firstLine="482"/>
        <w:rPr>
          <w:b/>
          <w:color w:val="000000" w:themeColor="text1"/>
          <w:szCs w:val="24"/>
          <w14:textFill>
            <w14:solidFill>
              <w14:schemeClr w14:val="tx1"/>
            </w14:solidFill>
          </w14:textFill>
        </w:rPr>
      </w:pP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7</w:t>
      </w:r>
      <w:r>
        <w:rPr>
          <w:b/>
          <w:bCs/>
          <w:color w:val="000000" w:themeColor="text1"/>
          <w14:textFill>
            <w14:solidFill>
              <w14:schemeClr w14:val="tx1"/>
            </w14:solidFill>
          </w14:textFill>
        </w:rPr>
        <w:t>）</w:t>
      </w:r>
      <w:r>
        <w:rPr>
          <w:b/>
          <w:color w:val="000000" w:themeColor="text1"/>
          <w:szCs w:val="24"/>
          <w14:textFill>
            <w14:solidFill>
              <w14:schemeClr w14:val="tx1"/>
            </w14:solidFill>
          </w14:textFill>
        </w:rPr>
        <w:t>与《重点行业挥发性有机物综合治理方案》（环大气[2019]53号）的符合性分析</w:t>
      </w:r>
    </w:p>
    <w:p>
      <w:pPr>
        <w:pStyle w:val="17"/>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2019年6月26日生态环境部印发了《重点行业挥发性有机物综合治理方案》（环大气[2019]53号）的通知。</w:t>
      </w:r>
      <w:r>
        <w:rPr>
          <w:rFonts w:hint="default" w:ascii="Times New Roman" w:hAnsi="Times New Roman" w:cs="Times New Roman"/>
          <w:color w:val="000000" w:themeColor="text1"/>
          <w14:textFill>
            <w14:solidFill>
              <w14:schemeClr w14:val="tx1"/>
            </w14:solidFill>
          </w14:textFill>
        </w:rPr>
        <w:t>本项目与其符合性分析如下：</w:t>
      </w:r>
    </w:p>
    <w:p>
      <w:pPr>
        <w:pStyle w:val="14"/>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eastAsia" w:eastAsia="宋体"/>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与重点行业挥发性有机物综合治理方案相符性分析</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3973"/>
        <w:gridCol w:w="3602"/>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47"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序号</w:t>
            </w:r>
          </w:p>
        </w:tc>
        <w:tc>
          <w:tcPr>
            <w:tcW w:w="3973"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要求内容</w:t>
            </w:r>
          </w:p>
        </w:tc>
        <w:tc>
          <w:tcPr>
            <w:tcW w:w="3602"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本项目情况</w:t>
            </w:r>
          </w:p>
        </w:tc>
        <w:tc>
          <w:tcPr>
            <w:tcW w:w="102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1" w:hRule="atLeast"/>
        </w:trPr>
        <w:tc>
          <w:tcPr>
            <w:tcW w:w="647"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1</w:t>
            </w:r>
          </w:p>
        </w:tc>
        <w:tc>
          <w:tcPr>
            <w:tcW w:w="3973" w:type="dxa"/>
            <w:tcBorders>
              <w:tl2br w:val="nil"/>
              <w:tr2bl w:val="nil"/>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420" w:firstLineChars="20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方案要求“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密封点大于等于2000个的，要开展LDAR工作。”“加快生产设备密闭化改造。对进出料、物料输送、搅拌、固液分离、干燥、灌装等过程，采取密闭化措施，提升工艺装备水平。加快淘汰敞口式、明流式设施。重点区域含VOCs物料输送原则上采用重力流或泵送方式，逐步淘汰真空方式；有机液体进料鼓励采用底部、浸入管给料方式，淘汰喷溅式给料；固体物料投加逐步推进采用密闭式投料装置。”</w:t>
            </w:r>
          </w:p>
        </w:tc>
        <w:tc>
          <w:tcPr>
            <w:tcW w:w="3602"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Style w:val="45"/>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本项目已</w:t>
            </w:r>
            <w:r>
              <w:rPr>
                <w:rFonts w:hint="default" w:ascii="Times New Roman" w:hAnsi="Times New Roman" w:cs="Times New Roman"/>
                <w:b w:val="0"/>
                <w:bCs/>
                <w:color w:val="000000" w:themeColor="text1"/>
                <w:sz w:val="21"/>
                <w:szCs w:val="21"/>
                <w14:textFill>
                  <w14:solidFill>
                    <w14:schemeClr w14:val="tx1"/>
                  </w14:solidFill>
                </w14:textFill>
              </w:rPr>
              <w:t>严格按照排放标准要求，</w:t>
            </w:r>
            <w:r>
              <w:rPr>
                <w:rFonts w:hint="default" w:ascii="Times New Roman" w:hAnsi="Times New Roman" w:cs="Times New Roman"/>
                <w:b w:val="0"/>
                <w:bCs/>
                <w:color w:val="000000" w:themeColor="text1"/>
                <w:sz w:val="21"/>
                <w:szCs w:val="21"/>
                <w:lang w:eastAsia="zh-CN"/>
                <w14:textFill>
                  <w14:solidFill>
                    <w14:schemeClr w14:val="tx1"/>
                  </w14:solidFill>
                </w14:textFill>
              </w:rPr>
              <w:t>确保加强精细化管理，确保稳定达标，已要求设置管理制度，加强密封点泄露管理，废水处理设施。应急池等依托中石化巴陵石油化工有限公司炼油部现有措施，本项目塔顶的不凝气送中石化巴陵石化有限公司炼油部原有火炬系统送气柜回收轻烃，回收不完时引入火炬烧掉烃</w:t>
            </w:r>
          </w:p>
        </w:tc>
        <w:tc>
          <w:tcPr>
            <w:tcW w:w="102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7"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2</w:t>
            </w:r>
          </w:p>
        </w:tc>
        <w:tc>
          <w:tcPr>
            <w:tcW w:w="3973" w:type="dxa"/>
            <w:tcBorders>
              <w:tl2br w:val="nil"/>
              <w:tr2bl w:val="nil"/>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420" w:firstLineChars="20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严格控制储存和装卸过程VOCs排放。鼓励采用压力罐、浮顶罐等替代固定顶罐。真实蒸气压大于等于27.6kPa（重点区域大于等于5.2kPa）的有机液体，利用固定顶罐储存的，应按有关规定采用气相平衡系统或收集净化处理。”</w:t>
            </w:r>
          </w:p>
        </w:tc>
        <w:tc>
          <w:tcPr>
            <w:tcW w:w="3602"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本项目建设主要是加氢装置，依托常压装置现有的储罐，不新建储罐</w:t>
            </w:r>
          </w:p>
        </w:tc>
        <w:tc>
          <w:tcPr>
            <w:tcW w:w="102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2" w:hRule="atLeast"/>
        </w:trPr>
        <w:tc>
          <w:tcPr>
            <w:tcW w:w="647"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3</w:t>
            </w:r>
          </w:p>
        </w:tc>
        <w:tc>
          <w:tcPr>
            <w:tcW w:w="3973" w:type="dxa"/>
            <w:tcBorders>
              <w:tl2br w:val="nil"/>
              <w:tr2bl w:val="nil"/>
            </w:tcBorders>
            <w:noWrap w:val="0"/>
            <w:vAlign w:val="center"/>
          </w:tcPr>
          <w:p>
            <w:pPr>
              <w:pStyle w:val="13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right="0" w:firstLine="420" w:firstLineChars="20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实施废气分类收集处理。优先选用冷凝、吸附再生等回收技术；难以回收的，宜选用燃烧、吸附浓缩+燃烧等高效治理技术。水溶性、酸碱VOCs废气宜选用多级化学吸收等处理技术。恶臭类废气还应进一步加强除臭处理。”“加强非正常工况废气排放控制。退料、吹扫、清洗等过程应加强含VOCs物料回收工作，产生的VOCs废气要加大收集处理力度。开车阶段产生的易挥发性不合格产品应收集至中间储罐等装置。重点区域化工企业应制定开停车、检维修等非正常工况VOCs治理操作规程。”</w:t>
            </w:r>
          </w:p>
        </w:tc>
        <w:tc>
          <w:tcPr>
            <w:tcW w:w="3602"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eastAsia="zh-CN"/>
                <w14:textFill>
                  <w14:solidFill>
                    <w14:schemeClr w14:val="tx1"/>
                  </w14:solidFill>
                </w14:textFill>
              </w:rPr>
              <w:t>本项目塔顶的不凝气送中石化巴陵石化有限公司炼油部原有火炬系统送气柜回收轻烃，回收不完时引入火炬烧掉烃</w:t>
            </w:r>
          </w:p>
        </w:tc>
        <w:tc>
          <w:tcPr>
            <w:tcW w:w="102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符合</w:t>
            </w:r>
          </w:p>
        </w:tc>
      </w:tr>
    </w:tbl>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工艺设备先进，密封程度较高；物料均位于密闭容器中，输送与运输通过泵和管道的方式，排放VOCs的物料采用密闭式投料；本项目塔顶产生的不凝气通过火炬系统管网送气柜回收轻烃，回收不完时引入火炬焚烧处理；油品在加工过程中的跑、冒、滴等采用系统涵盖每个产气点，并增加系统的密封性保证足够的处理能力，企业在运营后会加强环境管理，制定环保制度和规程，对非正常排放期间的操作流程予以明确。综上所述，本项目的VOCs的治理方案符合环大气[2019]53号文件的要求。</w:t>
      </w:r>
    </w:p>
    <w:p>
      <w:pPr>
        <w:pStyle w:val="4"/>
        <w:bidi w:val="0"/>
        <w:rPr>
          <w:color w:val="000000" w:themeColor="text1"/>
          <w14:textFill>
            <w14:solidFill>
              <w14:schemeClr w14:val="tx1"/>
            </w14:solidFill>
          </w14:textFill>
        </w:rPr>
      </w:pPr>
      <w:bookmarkStart w:id="18" w:name="_Toc3698"/>
      <w:r>
        <w:rPr>
          <w:color w:val="000000" w:themeColor="text1"/>
          <w14:textFill>
            <w14:solidFill>
              <w14:schemeClr w14:val="tx1"/>
            </w14:solidFill>
          </w14:textFill>
        </w:rPr>
        <w:t>关注的主要环境问题</w:t>
      </w:r>
      <w:bookmarkEnd w:id="18"/>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环评过程中关注的主要环境问题有：</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①本项目的建设是否能满足产业政策，是否符合相关政策文件的要求，是否符合园区规划及规划环评的要求。</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②能否满足“三线一单”的要求。</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③关注工程废气、废水</w:t>
      </w:r>
      <w:r>
        <w:rPr>
          <w:rFonts w:hint="default" w:ascii="Times New Roman" w:hAnsi="Times New Roman" w:cs="Times New Roman"/>
          <w:color w:val="000000" w:themeColor="text1"/>
          <w:lang w:eastAsia="zh-CN"/>
          <w14:textFill>
            <w14:solidFill>
              <w14:schemeClr w14:val="tx1"/>
            </w14:solidFill>
          </w14:textFill>
        </w:rPr>
        <w:t>、噪声、地下水和土壤</w:t>
      </w:r>
      <w:r>
        <w:rPr>
          <w:rFonts w:hint="default" w:ascii="Times New Roman" w:hAnsi="Times New Roman" w:cs="Times New Roman"/>
          <w:color w:val="000000" w:themeColor="text1"/>
          <w14:textFill>
            <w14:solidFill>
              <w14:schemeClr w14:val="tx1"/>
            </w14:solidFill>
          </w14:textFill>
        </w:rPr>
        <w:t>污染防治的可行性和可靠性论证。</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④本项目生产装置区和罐区存在环境风险，环境风险需重点关注。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⑤本项目为</w:t>
      </w:r>
      <w:r>
        <w:rPr>
          <w:rFonts w:hint="default" w:ascii="Times New Roman" w:hAnsi="Times New Roman" w:eastAsia="宋体" w:cs="Times New Roman"/>
          <w:color w:val="000000" w:themeColor="text1"/>
          <w:lang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建项目，主要关注现有项目的环境问题及整改措施</w:t>
      </w:r>
      <w:r>
        <w:rPr>
          <w:rFonts w:hint="default" w:ascii="Times New Roman" w:hAnsi="Times New Roman" w:eastAsia="宋体" w:cs="Times New Roman"/>
          <w:color w:val="000000" w:themeColor="text1"/>
          <w:lang w:eastAsia="zh-CN"/>
          <w14:textFill>
            <w14:solidFill>
              <w14:schemeClr w14:val="tx1"/>
            </w14:solidFill>
          </w14:textFill>
        </w:rPr>
        <w:t>和本</w:t>
      </w:r>
      <w:r>
        <w:rPr>
          <w:rFonts w:hint="default" w:ascii="Times New Roman" w:hAnsi="Times New Roman" w:cs="Times New Roman"/>
          <w:color w:val="000000" w:themeColor="text1"/>
          <w14:textFill>
            <w14:solidFill>
              <w14:schemeClr w14:val="tx1"/>
            </w14:solidFill>
          </w14:textFill>
        </w:rPr>
        <w:t>项目的“三本账”核算情况。</w:t>
      </w:r>
    </w:p>
    <w:p>
      <w:pPr>
        <w:pStyle w:val="4"/>
        <w:bidi w:val="0"/>
        <w:rPr>
          <w:color w:val="000000" w:themeColor="text1"/>
          <w14:textFill>
            <w14:solidFill>
              <w14:schemeClr w14:val="tx1"/>
            </w14:solidFill>
          </w14:textFill>
        </w:rPr>
      </w:pPr>
      <w:bookmarkStart w:id="19" w:name="_Toc10307"/>
      <w:r>
        <w:rPr>
          <w:color w:val="000000" w:themeColor="text1"/>
          <w14:textFill>
            <w14:solidFill>
              <w14:schemeClr w14:val="tx1"/>
            </w14:solidFill>
          </w14:textFill>
        </w:rPr>
        <w:t>环境影响报告书主要结论</w:t>
      </w:r>
      <w:bookmarkEnd w:id="19"/>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的建设符合国家的产业政策和环境保护政策要求，符合园区规划环评及其审查意见的要求，采取了污染防治、清洁生产、节水等有效措施。工程实施后废水达标排放，外排大气污染物对周围环境敏感点的影响较小，不会改变区域环境功能现状；在采取合理可行的防渗措施后，工程对地下水水质的影响较小；周边公众对本项目无反对意见。因此，项目在严格落实环评报告书提出的环境保护措施、环境风险防范及应急管理措施后，从环保角度分析，本项目建设具有可行性。</w:t>
      </w:r>
    </w:p>
    <w:p>
      <w:pPr>
        <w:adjustRightInd w:val="0"/>
        <w:snapToGrid w:val="0"/>
        <w:spacing w:line="360" w:lineRule="auto"/>
        <w:ind w:firstLine="480" w:firstLineChars="200"/>
        <w:rPr>
          <w:bCs/>
          <w:color w:val="000000" w:themeColor="text1"/>
          <w14:textFill>
            <w14:solidFill>
              <w14:schemeClr w14:val="tx1"/>
            </w14:solidFill>
          </w14:textFill>
        </w:rPr>
        <w:sectPr>
          <w:footerReference r:id="rId7" w:type="default"/>
          <w:pgSz w:w="11906" w:h="16838"/>
          <w:pgMar w:top="1440" w:right="1440" w:bottom="1440" w:left="1440" w:header="851" w:footer="680" w:gutter="0"/>
          <w:pgBorders>
            <w:top w:val="none" w:sz="0" w:space="0"/>
            <w:left w:val="none" w:sz="0" w:space="0"/>
            <w:bottom w:val="none" w:sz="0" w:space="0"/>
            <w:right w:val="none" w:sz="0" w:space="0"/>
          </w:pgBorders>
          <w:pgNumType w:start="1"/>
          <w:cols w:space="720" w:num="1"/>
          <w:docGrid w:linePitch="326" w:charSpace="0"/>
        </w:sectPr>
      </w:pPr>
    </w:p>
    <w:p>
      <w:pPr>
        <w:pStyle w:val="2"/>
        <w:keepLines/>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000000" w:themeColor="text1"/>
          <w14:textFill>
            <w14:solidFill>
              <w14:schemeClr w14:val="tx1"/>
            </w14:solidFill>
          </w14:textFill>
        </w:rPr>
      </w:pPr>
      <w:bookmarkStart w:id="20" w:name="_Toc532497594"/>
      <w:bookmarkStart w:id="21" w:name="_Toc532498722"/>
      <w:bookmarkStart w:id="22" w:name="_Toc32289"/>
      <w:bookmarkStart w:id="23" w:name="_Toc532376129"/>
      <w:bookmarkStart w:id="24" w:name="_Toc532763186"/>
      <w:r>
        <w:rPr>
          <w:rFonts w:hint="default" w:ascii="Times New Roman" w:hAnsi="Times New Roman" w:cs="Times New Roman"/>
          <w:color w:val="000000" w:themeColor="text1"/>
          <w14:textFill>
            <w14:solidFill>
              <w14:schemeClr w14:val="tx1"/>
            </w14:solidFill>
          </w14:textFill>
        </w:rPr>
        <w:t>总论</w:t>
      </w:r>
      <w:bookmarkEnd w:id="20"/>
      <w:bookmarkEnd w:id="21"/>
      <w:bookmarkEnd w:id="22"/>
      <w:bookmarkEnd w:id="23"/>
      <w:bookmarkEnd w:id="24"/>
    </w:p>
    <w:p>
      <w:pPr>
        <w:pStyle w:val="4"/>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000000" w:themeColor="text1"/>
          <w14:textFill>
            <w14:solidFill>
              <w14:schemeClr w14:val="tx1"/>
            </w14:solidFill>
          </w14:textFill>
        </w:rPr>
      </w:pPr>
      <w:bookmarkStart w:id="25" w:name="_Toc532763187"/>
      <w:bookmarkStart w:id="26" w:name="_Toc29188"/>
      <w:bookmarkStart w:id="27" w:name="_Toc532497595"/>
      <w:bookmarkStart w:id="28" w:name="_Toc532498723"/>
      <w:bookmarkStart w:id="29" w:name="_Toc532376130"/>
      <w:r>
        <w:rPr>
          <w:rFonts w:hint="default" w:ascii="Times New Roman" w:hAnsi="Times New Roman" w:cs="Times New Roman"/>
          <w:color w:val="000000" w:themeColor="text1"/>
          <w14:textFill>
            <w14:solidFill>
              <w14:schemeClr w14:val="tx1"/>
            </w14:solidFill>
          </w14:textFill>
        </w:rPr>
        <w:t>编制依据</w:t>
      </w:r>
      <w:bookmarkEnd w:id="25"/>
      <w:bookmarkEnd w:id="26"/>
      <w:bookmarkEnd w:id="27"/>
      <w:bookmarkEnd w:id="28"/>
      <w:bookmarkEnd w:id="29"/>
    </w:p>
    <w:p>
      <w:pPr>
        <w:pStyle w:val="5"/>
        <w:keepLines/>
        <w:pageBreakBefore w:val="0"/>
        <w:widowControl w:val="0"/>
        <w:kinsoku/>
        <w:wordWrap/>
        <w:overflowPunct/>
        <w:topLinePunct w:val="0"/>
        <w:autoSpaceDE/>
        <w:autoSpaceDN/>
        <w:bidi w:val="0"/>
        <w:adjustRightInd w:val="0"/>
        <w:snapToGrid w:val="0"/>
        <w:ind w:right="240"/>
        <w:textAlignment w:val="auto"/>
        <w:rPr>
          <w:rFonts w:hint="default" w:ascii="Times New Roman" w:hAnsi="Times New Roman" w:cs="Times New Roman"/>
          <w:color w:val="000000" w:themeColor="text1"/>
          <w14:textFill>
            <w14:solidFill>
              <w14:schemeClr w14:val="tx1"/>
            </w14:solidFill>
          </w14:textFill>
        </w:rPr>
      </w:pPr>
      <w:bookmarkStart w:id="30" w:name="_Toc532497596"/>
      <w:r>
        <w:rPr>
          <w:rFonts w:hint="default" w:ascii="Times New Roman" w:hAnsi="Times New Roman" w:cs="Times New Roman"/>
          <w:color w:val="000000" w:themeColor="text1"/>
          <w14:textFill>
            <w14:solidFill>
              <w14:schemeClr w14:val="tx1"/>
            </w14:solidFill>
          </w14:textFill>
        </w:rPr>
        <w:t>法律法规、政策性文件</w:t>
      </w:r>
      <w:bookmarkEnd w:id="30"/>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bookmarkStart w:id="31" w:name="_Toc378507040"/>
      <w:r>
        <w:rPr>
          <w:color w:val="000000" w:themeColor="text1"/>
          <w:szCs w:val="24"/>
          <w14:textFill>
            <w14:solidFill>
              <w14:schemeClr w14:val="tx1"/>
            </w14:solidFill>
          </w14:textFill>
        </w:rPr>
        <w:t>《中华人民共和国环境保护法》，2015年1月1日起施行；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《中华人民共和国环境影响评价法》，</w:t>
      </w:r>
      <w:r>
        <w:rPr>
          <w:color w:val="000000" w:themeColor="text1"/>
          <w:kern w:val="0"/>
          <w14:textFill>
            <w14:solidFill>
              <w14:schemeClr w14:val="tx1"/>
            </w14:solidFill>
          </w14:textFill>
        </w:rPr>
        <w:t>2018年12月29日</w:t>
      </w:r>
      <w:r>
        <w:rPr>
          <w:color w:val="000000" w:themeColor="text1"/>
          <w:szCs w:val="24"/>
          <w14:textFill>
            <w14:solidFill>
              <w14:schemeClr w14:val="tx1"/>
            </w14:solidFill>
          </w14:textFill>
        </w:rPr>
        <w:t>修订并</w:t>
      </w:r>
      <w:r>
        <w:rPr>
          <w:color w:val="000000" w:themeColor="text1"/>
          <w:kern w:val="0"/>
          <w14:textFill>
            <w14:solidFill>
              <w14:schemeClr w14:val="tx1"/>
            </w14:solidFill>
          </w14:textFill>
        </w:rPr>
        <w:t>施行</w:t>
      </w:r>
      <w:r>
        <w:rPr>
          <w:color w:val="000000" w:themeColor="text1"/>
          <w:szCs w:val="24"/>
          <w14:textFill>
            <w14:solidFill>
              <w14:schemeClr w14:val="tx1"/>
            </w14:solidFill>
          </w14:textFill>
        </w:rPr>
        <w:t>；</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《中华人民共和国大气污染防治法》，2018年10月26日修订并施行；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《中华人民共和国水污染防治法》，2018年1月1日起施行；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《中华人民共和国环境噪声污染防治法》，</w:t>
      </w:r>
      <w:r>
        <w:rPr>
          <w:color w:val="000000" w:themeColor="text1"/>
          <w:kern w:val="0"/>
          <w14:textFill>
            <w14:solidFill>
              <w14:schemeClr w14:val="tx1"/>
            </w14:solidFill>
          </w14:textFill>
        </w:rPr>
        <w:t>2018年12月29日</w:t>
      </w:r>
      <w:r>
        <w:rPr>
          <w:color w:val="000000" w:themeColor="text1"/>
          <w:szCs w:val="24"/>
          <w14:textFill>
            <w14:solidFill>
              <w14:schemeClr w14:val="tx1"/>
            </w14:solidFill>
          </w14:textFill>
        </w:rPr>
        <w:t>修订并</w:t>
      </w:r>
      <w:r>
        <w:rPr>
          <w:color w:val="000000" w:themeColor="text1"/>
          <w:kern w:val="0"/>
          <w14:textFill>
            <w14:solidFill>
              <w14:schemeClr w14:val="tx1"/>
            </w14:solidFill>
          </w14:textFill>
        </w:rPr>
        <w:t>施行</w:t>
      </w:r>
      <w:r>
        <w:rPr>
          <w:color w:val="000000" w:themeColor="text1"/>
          <w:szCs w:val="24"/>
          <w14:textFill>
            <w14:solidFill>
              <w14:schemeClr w14:val="tx1"/>
            </w14:solidFill>
          </w14:textFill>
        </w:rPr>
        <w:t>；</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《中华人民共和国土壤污染防治法》，2019年1月1日起施行；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《中华人民共和国固体废物污染环境防治法》，</w:t>
      </w:r>
      <w:r>
        <w:rPr>
          <w:color w:val="000000" w:themeColor="text1"/>
          <w14:textFill>
            <w14:solidFill>
              <w14:schemeClr w14:val="tx1"/>
            </w14:solidFill>
          </w14:textFill>
        </w:rPr>
        <w:t>2020年9月1日起施行</w:t>
      </w:r>
      <w:r>
        <w:rPr>
          <w:color w:val="000000" w:themeColor="text1"/>
          <w:szCs w:val="24"/>
          <w14:textFill>
            <w14:solidFill>
              <w14:schemeClr w14:val="tx1"/>
            </w14:solidFill>
          </w14:textFill>
        </w:rPr>
        <w:t>；</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《建设项目环境保护管理条例》(国务院令[2017]第682号)，2017年7月16日修订并施行；</w:t>
      </w:r>
      <w:bookmarkStart w:id="32" w:name="_Hlt123359101"/>
      <w:bookmarkEnd w:id="32"/>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《产业结构调整指导目录（2019年本）》(国家发展及改革委员会2019第29号令)，2019年10月30日；</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《环境影响评价公众参与办法》(生态环境部令第4号)，2019年1月1日起施行；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《关于进一步加强环境影响评价管理防范环境风险的通知》(环发[2012]77号)；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《国家危险废物名录》(</w:t>
      </w:r>
      <w:r>
        <w:rPr>
          <w:rFonts w:hint="eastAsia"/>
          <w:color w:val="000000" w:themeColor="text1"/>
          <w:szCs w:val="24"/>
          <w:u w:val="single"/>
          <w:lang w:val="en-US" w:eastAsia="zh-CN"/>
          <w14:textFill>
            <w14:solidFill>
              <w14:schemeClr w14:val="tx1"/>
            </w14:solidFill>
          </w14:textFill>
        </w:rPr>
        <w:t>2021年版</w:t>
      </w:r>
      <w:r>
        <w:rPr>
          <w:color w:val="000000" w:themeColor="text1"/>
          <w:szCs w:val="24"/>
          <w:u w:val="single"/>
          <w14:textFill>
            <w14:solidFill>
              <w14:schemeClr w14:val="tx1"/>
            </w14:solidFill>
          </w14:textFill>
        </w:rPr>
        <w:t>)，20</w:t>
      </w:r>
      <w:r>
        <w:rPr>
          <w:rFonts w:hint="eastAsia"/>
          <w:color w:val="000000" w:themeColor="text1"/>
          <w:szCs w:val="24"/>
          <w:u w:val="single"/>
          <w:lang w:val="en-US" w:eastAsia="zh-CN"/>
          <w14:textFill>
            <w14:solidFill>
              <w14:schemeClr w14:val="tx1"/>
            </w14:solidFill>
          </w14:textFill>
        </w:rPr>
        <w:t>21</w:t>
      </w:r>
      <w:r>
        <w:rPr>
          <w:color w:val="000000" w:themeColor="text1"/>
          <w:szCs w:val="24"/>
          <w:u w:val="single"/>
          <w14:textFill>
            <w14:solidFill>
              <w14:schemeClr w14:val="tx1"/>
            </w14:solidFill>
          </w14:textFill>
        </w:rPr>
        <w:t>年</w:t>
      </w:r>
      <w:r>
        <w:rPr>
          <w:rFonts w:hint="eastAsia"/>
          <w:color w:val="000000" w:themeColor="text1"/>
          <w:szCs w:val="24"/>
          <w:u w:val="single"/>
          <w:lang w:val="en-US" w:eastAsia="zh-CN"/>
          <w14:textFill>
            <w14:solidFill>
              <w14:schemeClr w14:val="tx1"/>
            </w14:solidFill>
          </w14:textFill>
        </w:rPr>
        <w:t>1</w:t>
      </w:r>
      <w:r>
        <w:rPr>
          <w:color w:val="000000" w:themeColor="text1"/>
          <w:szCs w:val="24"/>
          <w:u w:val="single"/>
          <w14:textFill>
            <w14:solidFill>
              <w14:schemeClr w14:val="tx1"/>
            </w14:solidFill>
          </w14:textFill>
        </w:rPr>
        <w:t>月1日起施行；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《危险化学品安全管理条例》(国务院第591号令)，2011年3月2日起施行；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《建设项目环境影响评价分类管理名录》20</w:t>
      </w:r>
      <w:r>
        <w:rPr>
          <w:rFonts w:hint="eastAsia"/>
          <w:color w:val="000000" w:themeColor="text1"/>
          <w:szCs w:val="24"/>
          <w:u w:val="single"/>
          <w:lang w:val="en-US" w:eastAsia="zh-CN"/>
          <w14:textFill>
            <w14:solidFill>
              <w14:schemeClr w14:val="tx1"/>
            </w14:solidFill>
          </w14:textFill>
        </w:rPr>
        <w:t>21</w:t>
      </w:r>
      <w:r>
        <w:rPr>
          <w:color w:val="000000" w:themeColor="text1"/>
          <w:szCs w:val="24"/>
          <w:u w:val="single"/>
          <w14:textFill>
            <w14:solidFill>
              <w14:schemeClr w14:val="tx1"/>
            </w14:solidFill>
          </w14:textFill>
        </w:rPr>
        <w:t>年</w:t>
      </w:r>
      <w:r>
        <w:rPr>
          <w:rFonts w:hint="eastAsia"/>
          <w:color w:val="000000" w:themeColor="text1"/>
          <w:szCs w:val="24"/>
          <w:u w:val="single"/>
          <w:lang w:val="en-US" w:eastAsia="zh-CN"/>
          <w14:textFill>
            <w14:solidFill>
              <w14:schemeClr w14:val="tx1"/>
            </w14:solidFill>
          </w14:textFill>
        </w:rPr>
        <w:t>1</w:t>
      </w:r>
      <w:r>
        <w:rPr>
          <w:color w:val="000000" w:themeColor="text1"/>
          <w:szCs w:val="24"/>
          <w:u w:val="single"/>
          <w14:textFill>
            <w14:solidFill>
              <w14:schemeClr w14:val="tx1"/>
            </w14:solidFill>
          </w14:textFill>
        </w:rPr>
        <w:t>月</w:t>
      </w:r>
      <w:r>
        <w:rPr>
          <w:rFonts w:hint="eastAsia"/>
          <w:color w:val="000000" w:themeColor="text1"/>
          <w:szCs w:val="24"/>
          <w:u w:val="single"/>
          <w:lang w:val="en-US" w:eastAsia="zh-CN"/>
          <w14:textFill>
            <w14:solidFill>
              <w14:schemeClr w14:val="tx1"/>
            </w14:solidFill>
          </w14:textFill>
        </w:rPr>
        <w:t>1</w:t>
      </w:r>
      <w:r>
        <w:rPr>
          <w:color w:val="000000" w:themeColor="text1"/>
          <w:szCs w:val="24"/>
          <w:u w:val="single"/>
          <w14:textFill>
            <w14:solidFill>
              <w14:schemeClr w14:val="tx1"/>
            </w14:solidFill>
          </w14:textFill>
        </w:rPr>
        <w:t>日起施行；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《建设项目危险废物环境影响评价指南》(环境保护部公告2017年第43号)；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《长江经济带生态环境保护规划》(环规财[2017]88号)；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《长江保护修复攻坚战行动计划》(环水体[2018]181号)；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《“十三五”挥发性有机物污染防治工作方案》(环大气[2017]121号)；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《生态环境部关于印发&lt;重点行业挥发性有机物综合治理方案&gt;的通知》（环大气[2019]53号）；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《挥发性有机物（VOCs）污染防治技术政策》，环境保护部公告2013年第31号，2013年5月24日实施；</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《关于发布计算污染物排放量的排污系数和物料衡算方法的公告》（环境保护部公告2017年第81号）；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0"/>
          <w14:textFill>
            <w14:solidFill>
              <w14:schemeClr w14:val="tx1"/>
            </w14:solidFill>
          </w14:textFill>
        </w:rPr>
        <w:t>《重点行业挥发性有机物综合治理方案》(</w:t>
      </w:r>
      <w:r>
        <w:rPr>
          <w:color w:val="000000" w:themeColor="text1"/>
          <w:szCs w:val="24"/>
          <w14:textFill>
            <w14:solidFill>
              <w14:schemeClr w14:val="tx1"/>
            </w14:solidFill>
          </w14:textFill>
        </w:rPr>
        <w:t>环大气[2019]53号</w:t>
      </w:r>
      <w:r>
        <w:rPr>
          <w:color w:val="000000" w:themeColor="text1"/>
          <w:szCs w:val="20"/>
          <w14:textFill>
            <w14:solidFill>
              <w14:schemeClr w14:val="tx1"/>
            </w14:solidFill>
          </w14:textFill>
        </w:rPr>
        <w:t>)，2019年6月26日发布；</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《工矿用地土壤环境管理办法（试行）》，2018年8月1日起实行；</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《2020年挥发性有机物治理攻坚方案》（环大气[2020]33号）；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《国务院关于印发大气污染防治行动计划的通知》(国发[2013]37号)；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《国务院关于印发水污染防治行动计划的通知》(国发[2015]17号)；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w:t>
      </w:r>
      <w:r>
        <w:rPr>
          <w:bCs/>
          <w:color w:val="000000" w:themeColor="text1"/>
          <w:szCs w:val="24"/>
          <w14:textFill>
            <w14:solidFill>
              <w14:schemeClr w14:val="tx1"/>
            </w14:solidFill>
          </w14:textFill>
        </w:rPr>
        <w:t>国务院关于印发土壤污染防治行动计划的通知</w:t>
      </w:r>
      <w:r>
        <w:rPr>
          <w:color w:val="000000" w:themeColor="text1"/>
          <w:szCs w:val="24"/>
          <w14:textFill>
            <w14:solidFill>
              <w14:schemeClr w14:val="tx1"/>
            </w14:solidFill>
          </w14:textFill>
        </w:rPr>
        <w:t>》(国发[2016]31号)；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《国务院关于印发打赢蓝天保卫战三年行动计划的通知》(国发[2018]22号)。</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lang w:eastAsia="zh-CN"/>
          <w14:textFill>
            <w14:solidFill>
              <w14:schemeClr w14:val="tx1"/>
            </w14:solidFill>
          </w14:textFill>
        </w:rPr>
        <w:t>关于印发《长江经济带生态环境保护规划》的通知，环规财</w:t>
      </w:r>
      <w:r>
        <w:rPr>
          <w:color w:val="000000" w:themeColor="text1"/>
          <w:szCs w:val="24"/>
          <w14:textFill>
            <w14:solidFill>
              <w14:schemeClr w14:val="tx1"/>
            </w14:solidFill>
          </w14:textFill>
        </w:rPr>
        <w:t>[201</w:t>
      </w:r>
      <w:r>
        <w:rPr>
          <w:rFonts w:hint="eastAsia"/>
          <w:color w:val="000000" w:themeColor="text1"/>
          <w:szCs w:val="24"/>
          <w:lang w:val="en-US" w:eastAsia="zh-CN"/>
          <w14:textFill>
            <w14:solidFill>
              <w14:schemeClr w14:val="tx1"/>
            </w14:solidFill>
          </w14:textFill>
        </w:rPr>
        <w:t>7</w:t>
      </w:r>
      <w:r>
        <w:rPr>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88号</w:t>
      </w:r>
      <w:r>
        <w:rPr>
          <w:color w:val="000000" w:themeColor="text1"/>
          <w:szCs w:val="24"/>
          <w14:textFill>
            <w14:solidFill>
              <w14:schemeClr w14:val="tx1"/>
            </w14:solidFill>
          </w14:textFill>
        </w:rPr>
        <w:t>。</w:t>
      </w:r>
    </w:p>
    <w:p>
      <w:pPr>
        <w:numPr>
          <w:ilvl w:val="0"/>
          <w:numId w:val="3"/>
        </w:numPr>
        <w:tabs>
          <w:tab w:val="left" w:pos="0"/>
        </w:tabs>
        <w:autoSpaceDE w:val="0"/>
        <w:autoSpaceDN w:val="0"/>
        <w:adjustRightInd w:val="0"/>
        <w:snapToGrid w:val="0"/>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lang w:eastAsia="zh-CN"/>
          <w14:textFill>
            <w14:solidFill>
              <w14:schemeClr w14:val="tx1"/>
            </w14:solidFill>
          </w14:textFill>
        </w:rPr>
        <w:t>关于印发《长江保护修复攻坚战行动计划》的通知，生态环境部办公厅</w:t>
      </w:r>
      <w:r>
        <w:rPr>
          <w:rFonts w:hint="eastAsia"/>
          <w:color w:val="000000" w:themeColor="text1"/>
          <w:szCs w:val="24"/>
          <w:lang w:val="en-US" w:eastAsia="zh-CN"/>
          <w14:textFill>
            <w14:solidFill>
              <w14:schemeClr w14:val="tx1"/>
            </w14:solidFill>
          </w14:textFill>
        </w:rPr>
        <w:t>2019年1月21日印发</w:t>
      </w:r>
      <w:r>
        <w:rPr>
          <w:color w:val="000000" w:themeColor="text1"/>
          <w:szCs w:val="24"/>
          <w14:textFill>
            <w14:solidFill>
              <w14:schemeClr w14:val="tx1"/>
            </w14:solidFill>
          </w14:textFill>
        </w:rPr>
        <w:t>。</w:t>
      </w:r>
    </w:p>
    <w:bookmarkEnd w:id="31"/>
    <w:p>
      <w:pPr>
        <w:pStyle w:val="5"/>
        <w:rPr>
          <w:color w:val="000000" w:themeColor="text1"/>
          <w14:textFill>
            <w14:solidFill>
              <w14:schemeClr w14:val="tx1"/>
            </w14:solidFill>
          </w14:textFill>
        </w:rPr>
      </w:pPr>
      <w:bookmarkStart w:id="33" w:name="_Toc532497597"/>
      <w:r>
        <w:rPr>
          <w:color w:val="000000" w:themeColor="text1"/>
          <w14:textFill>
            <w14:solidFill>
              <w14:schemeClr w14:val="tx1"/>
            </w14:solidFill>
          </w14:textFill>
        </w:rPr>
        <w:t>地方性法律法规、政策性文件</w:t>
      </w:r>
      <w:bookmarkEnd w:id="33"/>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《湖南省主要水系地表水环境功能区划》(DB 43/023-2005)；</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《湖南省建设项目环境保护管理办法》(湖南省人民政府令第215号)；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《湖南省环境保护条例》，2019年9月28日修订；</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《湖南省建设项目环境管理规定》(湖南省人民政府第12号令)；</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《湖南省人民政府关于印发&lt;湖南省主体功能区规划&gt;的通知》(湘政发[2012]39号)；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《湖南省环境保护厅关于印发&lt;湖南省“十三五”环境保护规划&gt;的通知》(湘环发[2016]25号)；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《湖南省土壤污染防治工作方案》(湘政发[2017]4号)；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《湖南省大气污染防治条例》，2017年6月1日起施行；</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《湖南省污染防治攻坚战三年行动计划(2018-2020年)》（湘政发</w:t>
      </w:r>
      <w:r>
        <w:rPr>
          <w:color w:val="000000" w:themeColor="text1"/>
          <w:szCs w:val="24"/>
          <w14:textFill>
            <w14:solidFill>
              <w14:schemeClr w14:val="tx1"/>
            </w14:solidFill>
          </w14:textFill>
        </w:rPr>
        <w:t>[</w:t>
      </w:r>
      <w:r>
        <w:rPr>
          <w:color w:val="000000" w:themeColor="text1"/>
          <w14:textFill>
            <w14:solidFill>
              <w14:schemeClr w14:val="tx1"/>
            </w14:solidFill>
          </w14:textFill>
        </w:rPr>
        <w:t>2018</w:t>
      </w:r>
      <w:r>
        <w:rPr>
          <w:color w:val="000000" w:themeColor="text1"/>
          <w:szCs w:val="24"/>
          <w14:textFill>
            <w14:solidFill>
              <w14:schemeClr w14:val="tx1"/>
            </w14:solidFill>
          </w14:textFill>
        </w:rPr>
        <w:t>]</w:t>
      </w:r>
      <w:r>
        <w:rPr>
          <w:color w:val="000000" w:themeColor="text1"/>
          <w14:textFill>
            <w14:solidFill>
              <w14:schemeClr w14:val="tx1"/>
            </w14:solidFill>
          </w14:textFill>
        </w:rPr>
        <w:t>17号）；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《湖南省人民政府关于实施“三线一单”生态环境分区管控的意见》（湘政发</w:t>
      </w:r>
      <w:r>
        <w:rPr>
          <w:color w:val="000000" w:themeColor="text1"/>
          <w:szCs w:val="24"/>
          <w14:textFill>
            <w14:solidFill>
              <w14:schemeClr w14:val="tx1"/>
            </w14:solidFill>
          </w14:textFill>
        </w:rPr>
        <w:t>[</w:t>
      </w:r>
      <w:r>
        <w:rPr>
          <w:color w:val="000000" w:themeColor="text1"/>
          <w14:textFill>
            <w14:solidFill>
              <w14:schemeClr w14:val="tx1"/>
            </w14:solidFill>
          </w14:textFill>
        </w:rPr>
        <w:t>2020</w:t>
      </w:r>
      <w:r>
        <w:rPr>
          <w:color w:val="000000" w:themeColor="text1"/>
          <w:szCs w:val="24"/>
          <w14:textFill>
            <w14:solidFill>
              <w14:schemeClr w14:val="tx1"/>
            </w14:solidFill>
          </w14:textFill>
        </w:rPr>
        <w:t>]</w:t>
      </w:r>
      <w:r>
        <w:rPr>
          <w:color w:val="000000" w:themeColor="text1"/>
          <w14:textFill>
            <w14:solidFill>
              <w14:schemeClr w14:val="tx1"/>
            </w14:solidFill>
          </w14:textFill>
        </w:rPr>
        <w:t>12号）；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《湖南省VOCs污染防治三年实施方案（2018-2020年）》，湘环发</w:t>
      </w:r>
      <w:r>
        <w:rPr>
          <w:color w:val="000000" w:themeColor="text1"/>
          <w:szCs w:val="24"/>
          <w14:textFill>
            <w14:solidFill>
              <w14:schemeClr w14:val="tx1"/>
            </w14:solidFill>
          </w14:textFill>
        </w:rPr>
        <w:t>[</w:t>
      </w:r>
      <w:r>
        <w:rPr>
          <w:color w:val="000000" w:themeColor="text1"/>
          <w14:textFill>
            <w14:solidFill>
              <w14:schemeClr w14:val="tx1"/>
            </w14:solidFill>
          </w14:textFill>
        </w:rPr>
        <w:t>2018</w:t>
      </w:r>
      <w:r>
        <w:rPr>
          <w:color w:val="000000" w:themeColor="text1"/>
          <w:szCs w:val="24"/>
          <w14:textFill>
            <w14:solidFill>
              <w14:schemeClr w14:val="tx1"/>
            </w14:solidFill>
          </w14:textFill>
        </w:rPr>
        <w:t>]</w:t>
      </w:r>
      <w:r>
        <w:rPr>
          <w:color w:val="000000" w:themeColor="text1"/>
          <w14:textFill>
            <w14:solidFill>
              <w14:schemeClr w14:val="tx1"/>
            </w14:solidFill>
          </w14:textFill>
        </w:rPr>
        <w:t>11号；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《关于印发〈洞庭湖生态环境专项整治三年行动计划(2018-2020年)〉的通知》(湘政办发[2017]83号)；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《岳阳市贯彻落实〈大气污染防治行动计划〉实施方案》(岳政办发〔2014〕17号)；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《关于印发〈岳阳市水环境功能区管理规定〉、〈岳阳市水环境功能区划分〉、〈岳阳市环境空气质量功能区划分〉、〈岳阳市城市区域环境噪声标准适用区域划分规定〉的通知》(岳政发〔2002〕18号)；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《岳阳市人民政府办公室关于印发〈岳阳市重要饮用水水源地名录〉的通知》(岳政办函〔2015〕21号)；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textAlignment w:val="auto"/>
        <w:rPr>
          <w:color w:val="000000" w:themeColor="text1"/>
          <w:szCs w:val="24"/>
          <w14:textFill>
            <w14:solidFill>
              <w14:schemeClr w14:val="tx1"/>
            </w14:solidFill>
          </w14:textFill>
        </w:rPr>
      </w:pPr>
      <w:r>
        <w:rPr>
          <w:color w:val="000000" w:themeColor="text1"/>
          <w:szCs w:val="24"/>
          <w14:textFill>
            <w14:solidFill>
              <w14:schemeClr w14:val="tx1"/>
            </w14:solidFill>
          </w14:textFill>
        </w:rPr>
        <w:t>《湖南省人民政府关于印发〈湖南省生态保护红线〉的通知》，(湘政〔2018〕20号)；</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textAlignment w:val="auto"/>
        <w:rPr>
          <w:color w:val="000000" w:themeColor="text1"/>
          <w:szCs w:val="24"/>
          <w14:textFill>
            <w14:solidFill>
              <w14:schemeClr w14:val="tx1"/>
            </w14:solidFill>
          </w14:textFill>
        </w:rPr>
      </w:pPr>
      <w:r>
        <w:rPr>
          <w:color w:val="000000" w:themeColor="text1"/>
          <w:szCs w:val="24"/>
          <w14:textFill>
            <w14:solidFill>
              <w14:schemeClr w14:val="tx1"/>
            </w14:solidFill>
          </w14:textFill>
        </w:rPr>
        <w:t>《岳阳市城市总体规划(2008~2030)》；</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textAlignment w:val="auto"/>
        <w:rPr>
          <w:color w:val="000000" w:themeColor="text1"/>
          <w:szCs w:val="24"/>
          <w14:textFill>
            <w14:solidFill>
              <w14:schemeClr w14:val="tx1"/>
            </w14:solidFill>
          </w14:textFill>
        </w:rPr>
      </w:pPr>
      <w:r>
        <w:rPr>
          <w:color w:val="000000" w:themeColor="text1"/>
          <w:szCs w:val="24"/>
          <w14:textFill>
            <w14:solidFill>
              <w14:schemeClr w14:val="tx1"/>
            </w14:solidFill>
          </w14:textFill>
        </w:rPr>
        <w:t>《湖南省岳阳市环境保护“十三五”规划》</w:t>
      </w:r>
      <w:r>
        <w:rPr>
          <w:rFonts w:hint="eastAsia"/>
          <w:color w:val="000000" w:themeColor="text1"/>
          <w:szCs w:val="24"/>
          <w:lang w:eastAsia="zh-CN"/>
          <w14:textFill>
            <w14:solidFill>
              <w14:schemeClr w14:val="tx1"/>
            </w14:solidFill>
          </w14:textFill>
        </w:rPr>
        <w:t>。</w:t>
      </w:r>
    </w:p>
    <w:p>
      <w:pPr>
        <w:pStyle w:val="5"/>
        <w:ind w:right="240"/>
        <w:rPr>
          <w:color w:val="000000" w:themeColor="text1"/>
          <w14:textFill>
            <w14:solidFill>
              <w14:schemeClr w14:val="tx1"/>
            </w14:solidFill>
          </w14:textFill>
        </w:rPr>
      </w:pPr>
      <w:bookmarkStart w:id="34" w:name="_Toc532497598"/>
      <w:r>
        <w:rPr>
          <w:color w:val="000000" w:themeColor="text1"/>
          <w14:textFill>
            <w14:solidFill>
              <w14:schemeClr w14:val="tx1"/>
            </w14:solidFill>
          </w14:textFill>
        </w:rPr>
        <w:t>环境影响评价技术导则与规范</w:t>
      </w:r>
      <w:bookmarkEnd w:id="34"/>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bookmarkStart w:id="35" w:name="_Toc532497599"/>
      <w:r>
        <w:rPr>
          <w:rFonts w:hint="default" w:ascii="Times New Roman" w:hAnsi="Times New Roman" w:cs="Times New Roman"/>
          <w:color w:val="000000" w:themeColor="text1"/>
          <w14:textFill>
            <w14:solidFill>
              <w14:schemeClr w14:val="tx1"/>
            </w14:solidFill>
          </w14:textFill>
        </w:rPr>
        <w:t>《环境影响评价技术导则 总纲》(HJ 2.1-2016)，2017年1月1日实施；</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《环境影响评价技术导则 大气环境》(HJ 2.2-2018)，2018年12月1日实施；</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《环境影响评价技术导则 地表水环境》(HJ 2.3-2018)，2019年3月1日实施；</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《环境影响评价技术导则 声环境》(HJ 2.4-2009)，2010年4月1日实施；</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《环境影响评价技术导则 地下水环境》(HJ/610-2016)，2016年1月7日实施；</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《环境影响评价技术导则 生态影响》(HJ 19-2011)，2011年9月1日实施</w:t>
      </w:r>
      <w:r>
        <w:rPr>
          <w:rFonts w:hint="eastAsia" w:cs="Times New Roman"/>
          <w:color w:val="000000" w:themeColor="text1"/>
          <w:lang w:eastAsia="zh-CN"/>
          <w14:textFill>
            <w14:solidFill>
              <w14:schemeClr w14:val="tx1"/>
            </w14:solidFill>
          </w14:textFill>
        </w:rPr>
        <w:t>；</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《建设项目环境风险评价技术导则》(HJ 169-2018)，2019年3月1日起实施；</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《环境影响评价技术导则 土壤环境(试行)》(HJ 964-2018)，2019年</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7月1日起实施；</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bCs/>
          <w:color w:val="000000" w:themeColor="text1"/>
          <w14:textFill>
            <w14:solidFill>
              <w14:schemeClr w14:val="tx1"/>
            </w14:solidFill>
          </w14:textFill>
        </w:rPr>
        <w:t>建设项目危险废物环境影响评价指南</w:t>
      </w:r>
      <w:r>
        <w:rPr>
          <w:rFonts w:hint="default" w:ascii="Times New Roman" w:hAnsi="Times New Roman" w:cs="Times New Roman"/>
          <w:color w:val="000000" w:themeColor="text1"/>
          <w14:textFill>
            <w14:solidFill>
              <w14:schemeClr w14:val="tx1"/>
            </w14:solidFill>
          </w14:textFill>
        </w:rPr>
        <w:t>》(环境保护部公告2017年第43号)，2017年10月1日施行；</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《危险废物贮存污染控制标准》(GB 18597-2001)，2013年6月8日修订并施行</w:t>
      </w:r>
      <w:r>
        <w:rPr>
          <w:rFonts w:hint="default" w:ascii="Times New Roman" w:hAnsi="Times New Roman" w:cs="Times New Roman"/>
          <w:color w:val="000000" w:themeColor="text1"/>
          <w14:textFill>
            <w14:solidFill>
              <w14:schemeClr w14:val="tx1"/>
            </w14:solidFill>
          </w14:textFill>
        </w:rPr>
        <w:t>；</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一般工业固体废物贮存和填埋污染控制标准</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GB18599-2020</w:t>
      </w:r>
      <w:r>
        <w:rPr>
          <w:rFonts w:hint="eastAsia" w:cs="Times New Roman"/>
          <w:color w:val="000000" w:themeColor="text1"/>
          <w:lang w:eastAsia="zh-CN"/>
          <w14:textFill>
            <w14:solidFill>
              <w14:schemeClr w14:val="tx1"/>
            </w14:solidFill>
          </w14:textFill>
        </w:rPr>
        <w:t>）；</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《污染源源强核算技术指南准则》(HJ 884-2018)</w:t>
      </w:r>
      <w:r>
        <w:rPr>
          <w:rFonts w:hint="default" w:ascii="Times New Roman" w:hAnsi="Times New Roman" w:cs="Times New Roman"/>
          <w:color w:val="000000" w:themeColor="text1"/>
          <w14:textFill>
            <w14:solidFill>
              <w14:schemeClr w14:val="tx1"/>
            </w14:solidFill>
          </w14:textFill>
        </w:rPr>
        <w:t>；</w:t>
      </w:r>
    </w:p>
    <w:p>
      <w:pPr>
        <w:numPr>
          <w:ilvl w:val="0"/>
          <w:numId w:val="5"/>
        </w:numPr>
        <w:adjustRightInd w:val="0"/>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《排污单位自行监测技术指南总则》(HJ 819-2017)</w:t>
      </w:r>
      <w:r>
        <w:rPr>
          <w:rFonts w:hint="default" w:ascii="Times New Roman" w:hAnsi="Times New Roman" w:cs="Times New Roman"/>
          <w:color w:val="000000" w:themeColor="text1"/>
          <w14:textFill>
            <w14:solidFill>
              <w14:schemeClr w14:val="tx1"/>
            </w14:solidFill>
          </w14:textFill>
        </w:rPr>
        <w:t>。</w:t>
      </w:r>
    </w:p>
    <w:bookmarkEnd w:id="35"/>
    <w:p>
      <w:pPr>
        <w:pStyle w:val="4"/>
        <w:rPr>
          <w:color w:val="000000" w:themeColor="text1"/>
          <w14:textFill>
            <w14:solidFill>
              <w14:schemeClr w14:val="tx1"/>
            </w14:solidFill>
          </w14:textFill>
        </w:rPr>
      </w:pPr>
      <w:bookmarkStart w:id="36" w:name="_Toc22422"/>
      <w:bookmarkStart w:id="37" w:name="_Toc532763188"/>
      <w:bookmarkStart w:id="38" w:name="_Toc532497600"/>
      <w:bookmarkStart w:id="39" w:name="_Toc532498724"/>
      <w:bookmarkStart w:id="40" w:name="_Toc532376131"/>
      <w:r>
        <w:rPr>
          <w:color w:val="000000" w:themeColor="text1"/>
          <w14:textFill>
            <w14:solidFill>
              <w14:schemeClr w14:val="tx1"/>
            </w14:solidFill>
          </w14:textFill>
        </w:rPr>
        <w:t>评价目的及原则</w:t>
      </w:r>
      <w:bookmarkEnd w:id="36"/>
      <w:bookmarkEnd w:id="37"/>
      <w:bookmarkEnd w:id="38"/>
      <w:bookmarkEnd w:id="39"/>
      <w:bookmarkEnd w:id="40"/>
    </w:p>
    <w:p>
      <w:pPr>
        <w:pStyle w:val="5"/>
        <w:ind w:right="240"/>
        <w:rPr>
          <w:color w:val="000000" w:themeColor="text1"/>
          <w14:textFill>
            <w14:solidFill>
              <w14:schemeClr w14:val="tx1"/>
            </w14:solidFill>
          </w14:textFill>
        </w:rPr>
      </w:pPr>
      <w:bookmarkStart w:id="41" w:name="_Toc532497601"/>
      <w:r>
        <w:rPr>
          <w:color w:val="000000" w:themeColor="text1"/>
          <w14:textFill>
            <w14:solidFill>
              <w14:schemeClr w14:val="tx1"/>
            </w14:solidFill>
          </w14:textFill>
        </w:rPr>
        <w:t>评价目的</w:t>
      </w:r>
      <w:bookmarkEnd w:id="41"/>
    </w:p>
    <w:p>
      <w:pPr>
        <w:pStyle w:val="101"/>
        <w:adjustRightInd w:val="0"/>
        <w:snapToGrid w:val="0"/>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开展环境影响评价的目的就是通过查清环境背景、工程存在的环境问题，明确环境保护目标，对项目环境问题进行剖析，提出环保措施，确保项目所有污染物均能达标排放，以求将不利的环境影响减小到最低程度，促使项目运行过程中取得最佳的社会、环境和经济综合效益。</w:t>
      </w:r>
    </w:p>
    <w:p>
      <w:pPr>
        <w:pStyle w:val="5"/>
        <w:rPr>
          <w:color w:val="000000" w:themeColor="text1"/>
          <w14:textFill>
            <w14:solidFill>
              <w14:schemeClr w14:val="tx1"/>
            </w14:solidFill>
          </w14:textFill>
        </w:rPr>
      </w:pPr>
      <w:bookmarkStart w:id="42" w:name="_Toc532497602"/>
      <w:r>
        <w:rPr>
          <w:color w:val="000000" w:themeColor="text1"/>
          <w14:textFill>
            <w14:solidFill>
              <w14:schemeClr w14:val="tx1"/>
            </w14:solidFill>
          </w14:textFill>
        </w:rPr>
        <w:t>评价原则</w:t>
      </w:r>
      <w:bookmarkEnd w:id="42"/>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本评价将遵循以下原则：</w:t>
      </w:r>
    </w:p>
    <w:p>
      <w:pPr>
        <w:adjustRightInd w:val="0"/>
        <w:snapToGrid w:val="0"/>
        <w:spacing w:line="36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突出环境影响评价的源头预防作用，坚持保护和改善环境质量</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（1）依法评价：贯彻执行我国环境保护相关法律法规、标准、政策和规划等，优化项目建设，服务环境管理。</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（2）科学评价：规范环境评价方法、科学分析项目建设对环境质量的影响。</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adjustRightInd w:val="0"/>
        <w:snapToGrid w:val="0"/>
        <w:rPr>
          <w:color w:val="000000" w:themeColor="text1"/>
          <w14:textFill>
            <w14:solidFill>
              <w14:schemeClr w14:val="tx1"/>
            </w14:solidFill>
          </w14:textFill>
        </w:rPr>
      </w:pPr>
      <w:bookmarkStart w:id="43" w:name="_Toc532763189"/>
      <w:bookmarkStart w:id="44" w:name="_Toc532498725"/>
      <w:bookmarkStart w:id="45" w:name="_Toc15906"/>
      <w:bookmarkStart w:id="46" w:name="_Toc532497603"/>
      <w:bookmarkStart w:id="47" w:name="_Toc532376132"/>
      <w:r>
        <w:rPr>
          <w:color w:val="000000" w:themeColor="text1"/>
          <w14:textFill>
            <w14:solidFill>
              <w14:schemeClr w14:val="tx1"/>
            </w14:solidFill>
          </w14:textFill>
        </w:rPr>
        <w:t>评价时段</w:t>
      </w:r>
      <w:bookmarkEnd w:id="43"/>
      <w:bookmarkEnd w:id="44"/>
      <w:bookmarkEnd w:id="45"/>
      <w:bookmarkEnd w:id="46"/>
      <w:bookmarkEnd w:id="47"/>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本项目属</w:t>
      </w:r>
      <w:r>
        <w:rPr>
          <w:rFonts w:hint="eastAsia" w:eastAsia="宋体"/>
          <w:color w:val="000000" w:themeColor="text1"/>
          <w:lang w:eastAsia="zh-CN"/>
          <w14:textFill>
            <w14:solidFill>
              <w14:schemeClr w14:val="tx1"/>
            </w14:solidFill>
          </w14:textFill>
        </w:rPr>
        <w:t>新</w:t>
      </w:r>
      <w:r>
        <w:rPr>
          <w:color w:val="000000" w:themeColor="text1"/>
          <w14:textFill>
            <w14:solidFill>
              <w14:schemeClr w14:val="tx1"/>
            </w14:solidFill>
          </w14:textFill>
        </w:rPr>
        <w:t>建项目，评价时段主要有施工期和营运期，施工期主要评价构筑物施工、主体设备安装和配套工程施工等，营运期主要评价项目生产过程产生的污染。</w:t>
      </w:r>
    </w:p>
    <w:p>
      <w:pPr>
        <w:pStyle w:val="4"/>
        <w:rPr>
          <w:color w:val="000000" w:themeColor="text1"/>
          <w14:textFill>
            <w14:solidFill>
              <w14:schemeClr w14:val="tx1"/>
            </w14:solidFill>
          </w14:textFill>
        </w:rPr>
      </w:pPr>
      <w:bookmarkStart w:id="48" w:name="_Toc532763191"/>
      <w:bookmarkStart w:id="49" w:name="_Toc29671"/>
      <w:bookmarkStart w:id="50" w:name="_Toc532497607"/>
      <w:bookmarkStart w:id="51" w:name="_Toc532498727"/>
      <w:bookmarkStart w:id="52" w:name="_Toc532376134"/>
      <w:r>
        <w:rPr>
          <w:color w:val="000000" w:themeColor="text1"/>
          <w14:textFill>
            <w14:solidFill>
              <w14:schemeClr w14:val="tx1"/>
            </w14:solidFill>
          </w14:textFill>
        </w:rPr>
        <w:t>评价重点</w:t>
      </w:r>
      <w:bookmarkEnd w:id="48"/>
      <w:bookmarkEnd w:id="49"/>
      <w:bookmarkEnd w:id="50"/>
      <w:bookmarkEnd w:id="51"/>
      <w:bookmarkEnd w:id="52"/>
    </w:p>
    <w:p>
      <w:pPr>
        <w:adjustRightInd w:val="0"/>
        <w:snapToGrid w:val="0"/>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bookmarkStart w:id="53" w:name="_Toc532498726"/>
      <w:bookmarkStart w:id="54" w:name="_Toc532376133"/>
      <w:bookmarkStart w:id="55" w:name="_Toc532497604"/>
      <w:bookmarkStart w:id="56" w:name="_Toc532763190"/>
      <w:r>
        <w:rPr>
          <w:rFonts w:hint="default" w:ascii="Times New Roman" w:hAnsi="Times New Roman" w:cs="Times New Roman"/>
          <w:bCs/>
          <w:color w:val="000000" w:themeColor="text1"/>
          <w14:textFill>
            <w14:solidFill>
              <w14:schemeClr w14:val="tx1"/>
            </w14:solidFill>
          </w14:textFill>
        </w:rPr>
        <w:t>本次评价的主要内容有：</w:t>
      </w:r>
    </w:p>
    <w:p>
      <w:pPr>
        <w:adjustRightInd w:val="0"/>
        <w:snapToGrid w:val="0"/>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①通过对建设地区社会、经济、自然等环境特征的调研、资料收集及环境质量的现状调查及监测，摸清建设地区环境质量现状，同时掌握评价区域的环境敏感点、环境保护目标、环境污染现状等特征，确定项目主要环境影响要素和环境保护目标；通过对原有项目的回顾性评价，明确原有项目污染物产排情况并指出存在的环保问题及整改措施。</w:t>
      </w:r>
    </w:p>
    <w:p>
      <w:pPr>
        <w:adjustRightInd w:val="0"/>
        <w:snapToGrid w:val="0"/>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②通过物料衡算、经验系数、类比调查等工程分析手段，评价项目工艺技术的先进性，确定项目主要污染因子、排放方式、排放强度和排放规律；之后根据环境特征和工程污染物排放特征，采用适宜的模式和方法，预测工程建成投产后对周围环境的影响程度和范围；</w:t>
      </w:r>
    </w:p>
    <w:p>
      <w:pPr>
        <w:adjustRightInd w:val="0"/>
        <w:snapToGrid w:val="0"/>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③在达标排放和总量控制的前提下，提出清洁生产措施，并根据项目建设内容提出切实可行的污染防治对策，拟定环境管理和监测计划；</w:t>
      </w:r>
    </w:p>
    <w:p>
      <w:pPr>
        <w:adjustRightInd w:val="0"/>
        <w:snapToGrid w:val="0"/>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④通过环境经济损益分析，论证项目在经济、社会和环境三方面效益的统一性；通过公众参与，了解公众对当地环境现状、本项目的态度以及对本项目环境保护的要求。</w:t>
      </w:r>
    </w:p>
    <w:p>
      <w:pPr>
        <w:adjustRightInd w:val="0"/>
        <w:snapToGrid w:val="0"/>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⑤最终在上述工作的基础上，论证项目在环境方面的可行性，并给出环境影响评价结论。</w:t>
      </w:r>
    </w:p>
    <w:p>
      <w:pPr>
        <w:adjustRightInd w:val="0"/>
        <w:snapToGrid w:val="0"/>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本评价的重点是项目的工程分析、环境影响预测以及提出相应的污染防治对策，其中环境影响预测重点考虑大气环境影响预测、土壤环境影响预测、地下水环境影响预测。</w:t>
      </w:r>
    </w:p>
    <w:p>
      <w:pPr>
        <w:pStyle w:val="4"/>
        <w:adjustRightInd w:val="0"/>
        <w:snapToGrid w:val="0"/>
        <w:rPr>
          <w:color w:val="000000" w:themeColor="text1"/>
          <w14:textFill>
            <w14:solidFill>
              <w14:schemeClr w14:val="tx1"/>
            </w14:solidFill>
          </w14:textFill>
        </w:rPr>
      </w:pPr>
      <w:bookmarkStart w:id="57" w:name="_Toc18634"/>
      <w:r>
        <w:rPr>
          <w:color w:val="000000" w:themeColor="text1"/>
          <w14:textFill>
            <w14:solidFill>
              <w14:schemeClr w14:val="tx1"/>
            </w14:solidFill>
          </w14:textFill>
        </w:rPr>
        <w:t>环境影响因素识别和评价因子筛选</w:t>
      </w:r>
      <w:bookmarkEnd w:id="53"/>
      <w:bookmarkEnd w:id="54"/>
      <w:bookmarkEnd w:id="55"/>
      <w:bookmarkEnd w:id="56"/>
      <w:bookmarkEnd w:id="57"/>
    </w:p>
    <w:p>
      <w:pPr>
        <w:pStyle w:val="5"/>
        <w:rPr>
          <w:color w:val="000000" w:themeColor="text1"/>
          <w14:textFill>
            <w14:solidFill>
              <w14:schemeClr w14:val="tx1"/>
            </w14:solidFill>
          </w14:textFill>
        </w:rPr>
      </w:pPr>
      <w:bookmarkStart w:id="58" w:name="_Toc532497605"/>
      <w:r>
        <w:rPr>
          <w:color w:val="000000" w:themeColor="text1"/>
          <w14:textFill>
            <w14:solidFill>
              <w14:schemeClr w14:val="tx1"/>
            </w14:solidFill>
          </w14:textFill>
        </w:rPr>
        <w:t>环境影响因素识别</w:t>
      </w:r>
      <w:bookmarkEnd w:id="58"/>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经过对项目建设、运行特点的初步分析，结合项目当地的环境特征，对可能受项目开发、运行影响的环境因素进行了识别，确定了项目建设、运营期对各方面环境可能带来的影响，详见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_Ref23426867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bookmarkStart w:id="59" w:name="_Ref23426867"/>
    </w:p>
    <w:p>
      <w:pPr>
        <w:pStyle w:val="14"/>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bookmarkEnd w:id="59"/>
      <w:r>
        <w:rPr>
          <w:rFonts w:hint="default" w:ascii="Times New Roman" w:hAnsi="Times New Roman" w:cs="Times New Roman"/>
          <w:color w:val="000000" w:themeColor="text1"/>
          <w14:textFill>
            <w14:solidFill>
              <w14:schemeClr w14:val="tx1"/>
            </w14:solidFill>
          </w14:textFill>
        </w:rPr>
        <w:t xml:space="preserve">  主要环境要素影响识别矩阵</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833"/>
        <w:gridCol w:w="1029"/>
        <w:gridCol w:w="1030"/>
        <w:gridCol w:w="1030"/>
        <w:gridCol w:w="1030"/>
        <w:gridCol w:w="1030"/>
        <w:gridCol w:w="1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项目阶段</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影响分析环境要素</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短期影响</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长期影响</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直接影响</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间接影响</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可逆影响</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不可逆影响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建设期</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环境空气</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地表水环境</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声环境</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生态环境</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景观</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人群健康</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运营期</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环境空气</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地表水环境</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地下水环境</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声环境</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生态环境</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人群健康</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r>
    </w:tbl>
    <w:p>
      <w:pPr>
        <w:pStyle w:val="5"/>
        <w:keepNext/>
        <w:keepLines/>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eastAsia="宋体" w:cs="Times New Roman"/>
          <w:b w:val="0"/>
          <w:bCs/>
          <w:color w:val="000000" w:themeColor="text1"/>
          <w:lang w:eastAsia="zh-CN"/>
          <w14:textFill>
            <w14:solidFill>
              <w14:schemeClr w14:val="tx1"/>
            </w14:solidFill>
          </w14:textFill>
        </w:rPr>
      </w:pPr>
      <w:bookmarkStart w:id="60" w:name="_Toc532497606"/>
      <w:r>
        <w:rPr>
          <w:rFonts w:hint="default" w:ascii="Times New Roman" w:hAnsi="Times New Roman" w:cs="Times New Roman"/>
          <w:b w:val="0"/>
          <w:bCs/>
          <w:color w:val="000000" w:themeColor="text1"/>
          <w:lang w:eastAsia="zh-CN"/>
          <w14:textFill>
            <w14:solidFill>
              <w14:schemeClr w14:val="tx1"/>
            </w14:solidFill>
          </w14:textFill>
        </w:rPr>
        <w:t>根据上表可知，本工程的建设对环境的影响是多方面的，即存在短期影响、长期影响、直接与间接影响、可逆影响和不可逆影响。施工期主要表现在对自然要素产生一定程度的负面影响，主要环境影响因素为环境空气、声环境及地表水环境等，随着施工期的结束而消失；营运期对环境的不利影响是长期存在的，在生产过程总，主要影响因素表现在环境空气、水环境和声环境等方面。</w:t>
      </w:r>
    </w:p>
    <w:p>
      <w:pPr>
        <w:pStyle w:val="5"/>
        <w:rPr>
          <w:color w:val="000000" w:themeColor="text1"/>
          <w14:textFill>
            <w14:solidFill>
              <w14:schemeClr w14:val="tx1"/>
            </w14:solidFill>
          </w14:textFill>
        </w:rPr>
      </w:pPr>
      <w:r>
        <w:rPr>
          <w:color w:val="000000" w:themeColor="text1"/>
          <w14:textFill>
            <w14:solidFill>
              <w14:schemeClr w14:val="tx1"/>
            </w14:solidFill>
          </w14:textFill>
        </w:rPr>
        <w:t>评价因为筛选</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根据项目工程分析和环境影响因子识别结果，结合当地环境特征和本工程情况，筛选出本次评价因子见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_Ref493597934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keepNext/>
        <w:ind w:firstLine="482" w:firstLineChars="200"/>
        <w:jc w:val="center"/>
        <w:rPr>
          <w:b/>
          <w:color w:val="000000" w:themeColor="text1"/>
          <w14:textFill>
            <w14:solidFill>
              <w14:schemeClr w14:val="tx1"/>
            </w14:solidFill>
          </w14:textFill>
        </w:rPr>
      </w:pPr>
      <w:bookmarkStart w:id="61" w:name="_Ref493597934"/>
      <w:r>
        <w:rPr>
          <w:b/>
          <w:color w:val="000000" w:themeColor="text1"/>
          <w14:textFill>
            <w14:solidFill>
              <w14:schemeClr w14:val="tx1"/>
            </w14:solidFill>
          </w14:textFill>
        </w:rPr>
        <w:br w:type="page"/>
      </w: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bookmarkEnd w:id="61"/>
      <w:r>
        <w:rPr>
          <w:b/>
          <w:color w:val="000000" w:themeColor="text1"/>
          <w14:textFill>
            <w14:solidFill>
              <w14:schemeClr w14:val="tx1"/>
            </w14:solidFill>
          </w14:textFill>
        </w:rPr>
        <w:t xml:space="preserve">  评价因子识别结果表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45"/>
        <w:gridCol w:w="4401"/>
        <w:gridCol w:w="1803"/>
        <w:gridCol w:w="20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465" w:type="pct"/>
            <w:vMerge w:val="restar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环境要素</w:t>
            </w:r>
          </w:p>
        </w:tc>
        <w:tc>
          <w:tcPr>
            <w:tcW w:w="2422" w:type="pct"/>
            <w:vMerge w:val="restar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现状评价</w:t>
            </w:r>
          </w:p>
        </w:tc>
        <w:tc>
          <w:tcPr>
            <w:tcW w:w="2111" w:type="pct"/>
            <w:gridSpan w:val="2"/>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影响预测与分析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465" w:type="pct"/>
            <w:vMerge w:val="continue"/>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p>
        </w:tc>
        <w:tc>
          <w:tcPr>
            <w:tcW w:w="2422" w:type="pct"/>
            <w:vMerge w:val="continue"/>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p>
        </w:tc>
        <w:tc>
          <w:tcPr>
            <w:tcW w:w="99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建设期</w:t>
            </w:r>
          </w:p>
        </w:tc>
        <w:tc>
          <w:tcPr>
            <w:tcW w:w="1118"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运营期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5"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w:t>
            </w:r>
          </w:p>
        </w:tc>
        <w:tc>
          <w:tcPr>
            <w:tcW w:w="242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、CO、O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、TVOC、非甲烷总烃</w:t>
            </w:r>
          </w:p>
        </w:tc>
        <w:tc>
          <w:tcPr>
            <w:tcW w:w="99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TSP、PM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118"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VOCs</w:t>
            </w:r>
            <w:r>
              <w:rPr>
                <w:rStyle w:val="45"/>
                <w:rFonts w:hint="default" w:ascii="Times New Roman" w:hAnsi="Times New Roman" w:cs="Times New Roman"/>
                <w:snapToGrid/>
                <w:color w:val="000000" w:themeColor="text1"/>
                <w:kern w:val="2"/>
                <w:sz w:val="21"/>
                <w:szCs w:val="21"/>
                <w14:textFill>
                  <w14:solidFill>
                    <w14:schemeClr w14:val="tx1"/>
                  </w14:solidFill>
                </w14:textFill>
              </w:rPr>
              <w:t>、非甲烷总烃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465"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w:t>
            </w:r>
          </w:p>
        </w:tc>
        <w:tc>
          <w:tcPr>
            <w:tcW w:w="242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pH、高锰酸盐指数、COD、BOD</w:t>
            </w:r>
            <w:r>
              <w:rPr>
                <w:rFonts w:hint="default" w:ascii="Times New Roman" w:hAnsi="Times New Roman" w:cs="Times New Roman"/>
                <w:color w:val="000000" w:themeColor="text1"/>
                <w:sz w:val="21"/>
                <w:szCs w:val="21"/>
                <w:vertAlign w:val="subscript"/>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-N、TP、铜、锌、氟化物、硒、砷、汞、镉、砷、汞、镉、砷、汞、六价铬、铅、氰化物、挥发酚、石油类、阴离子表面活性剂、硫化物</w:t>
            </w:r>
          </w:p>
        </w:tc>
        <w:tc>
          <w:tcPr>
            <w:tcW w:w="99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pH、SS、石油类</w:t>
            </w:r>
          </w:p>
        </w:tc>
        <w:tc>
          <w:tcPr>
            <w:tcW w:w="1118"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Style w:val="45"/>
                <w:rFonts w:hint="default" w:ascii="Times New Roman" w:hAnsi="Times New Roman" w:cs="Times New Roman"/>
                <w:color w:val="000000" w:themeColor="text1"/>
                <w:kern w:val="2"/>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5"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w:t>
            </w:r>
          </w:p>
        </w:tc>
        <w:tc>
          <w:tcPr>
            <w:tcW w:w="242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(钾)、Na</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(钠)、Ca</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(钙)、Mg</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(镁)、CO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(碳酸根)、HCO</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(碳酸氢根)、Cl</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(氯化物)、SO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(硫酸盐)、pH、氨氮、NO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(硝酸盐)、NO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(亚硝酸盐)、挥发性酚类、氰化物、As(砷)、Hg(汞)、Cr</w:t>
            </w:r>
            <w:r>
              <w:rPr>
                <w:rFonts w:hint="default" w:ascii="Times New Roman" w:hAnsi="Times New Roman" w:cs="Times New Roman"/>
                <w:color w:val="000000" w:themeColor="text1"/>
                <w:sz w:val="21"/>
                <w:szCs w:val="21"/>
                <w:vertAlign w:val="superscript"/>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(六价铬)、总硬度、Pb(铅)、F</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(氟化物)、镉、Fe(铁)、Mn(锰)、溶解性总固体、高锰酸盐指数、总大肠菌群、细菌总数、石油类、甲苯、苯、二氯丙烷</w:t>
            </w:r>
          </w:p>
        </w:tc>
        <w:tc>
          <w:tcPr>
            <w:tcW w:w="992"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定性分析</w:t>
            </w:r>
          </w:p>
        </w:tc>
        <w:tc>
          <w:tcPr>
            <w:tcW w:w="1118" w:type="pct"/>
            <w:noWrap w:val="0"/>
            <w:tcMar>
              <w:left w:w="28" w:type="dxa"/>
              <w:right w:w="28" w:type="dxa"/>
            </w:tcMar>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石油类、COD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Mn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465"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highlight w:val="yellow"/>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w:t>
            </w:r>
          </w:p>
        </w:tc>
        <w:tc>
          <w:tcPr>
            <w:tcW w:w="2422"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《土壤环境质量 建设用地土壤污染风险管控标准(试行)》(GB 36600-2018)中45项基本项目；石油烃（C10~C40）</w:t>
            </w:r>
          </w:p>
        </w:tc>
        <w:tc>
          <w:tcPr>
            <w:tcW w:w="992"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定性分析</w:t>
            </w:r>
          </w:p>
        </w:tc>
        <w:tc>
          <w:tcPr>
            <w:tcW w:w="1118"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石油烃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5"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242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环境噪声(Leq(A))</w:t>
            </w:r>
          </w:p>
        </w:tc>
        <w:tc>
          <w:tcPr>
            <w:tcW w:w="99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施工噪声(Leq(A))</w:t>
            </w:r>
          </w:p>
        </w:tc>
        <w:tc>
          <w:tcPr>
            <w:tcW w:w="1118"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厂界噪声(Leq(A))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5"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w:t>
            </w:r>
          </w:p>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废物</w:t>
            </w:r>
          </w:p>
        </w:tc>
        <w:tc>
          <w:tcPr>
            <w:tcW w:w="2422"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92"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一般固体废物排放量</w:t>
            </w:r>
          </w:p>
        </w:tc>
        <w:tc>
          <w:tcPr>
            <w:tcW w:w="1118" w:type="pct"/>
            <w:noWrap w:val="0"/>
            <w:tcMar>
              <w:left w:w="28" w:type="dxa"/>
              <w:right w:w="28" w:type="dxa"/>
            </w:tcMar>
            <w:vAlign w:val="center"/>
          </w:tcPr>
          <w:p>
            <w:pPr>
              <w:pStyle w:val="112"/>
              <w:keepNext w:val="0"/>
              <w:keepLines w:val="0"/>
              <w:suppressLineNumbers w:val="0"/>
              <w:kinsoku w:val="0"/>
              <w:overflowPunct w:val="0"/>
              <w:adjustRightIn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一般固体废物排放量、危险废物排放量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65"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总量</w:t>
            </w:r>
          </w:p>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控制</w:t>
            </w:r>
          </w:p>
        </w:tc>
        <w:tc>
          <w:tcPr>
            <w:tcW w:w="242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92"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18" w:type="pct"/>
            <w:noWrap w:val="0"/>
            <w:tcMar>
              <w:left w:w="28" w:type="dxa"/>
              <w:right w:w="28" w:type="dxa"/>
            </w:tcMar>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-N、VOC</w:t>
            </w:r>
            <w:r>
              <w:rPr>
                <w:rFonts w:hint="default" w:ascii="Times New Roman" w:hAnsi="Times New Roman" w:cs="Times New Roman"/>
                <w:color w:val="000000" w:themeColor="text1"/>
                <w:sz w:val="21"/>
                <w:szCs w:val="21"/>
                <w:vertAlign w:val="subscript"/>
                <w14:textFill>
                  <w14:solidFill>
                    <w14:schemeClr w14:val="tx1"/>
                  </w14:solidFill>
                </w14:textFill>
              </w:rPr>
              <w:t>s</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环境功能区划</w:t>
      </w:r>
    </w:p>
    <w:p>
      <w:pPr>
        <w:pStyle w:val="64"/>
        <w:keepNext w:val="0"/>
        <w:keepLines w:val="0"/>
        <w:pageBreakBefore w:val="0"/>
        <w:kinsoku/>
        <w:wordWrap/>
        <w:overflowPunct/>
        <w:topLinePunct w:val="0"/>
        <w:autoSpaceDE/>
        <w:autoSpaceDN/>
        <w:bidi w:val="0"/>
        <w:adjustRightInd w:val="0"/>
        <w:snapToGrid w:val="0"/>
        <w:spacing w:before="0"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（1）地表水环境</w:t>
      </w:r>
    </w:p>
    <w:p>
      <w:pPr>
        <w:pStyle w:val="107"/>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长江：长江道仁矶江段执行《地表水环境质量标准》（GB3838-2002）中Ⅲ类标准。松阳湖：一般景观用水区，执行《地表水环境质量标准》（GB3838-2002）标准中Ⅳ类标准。</w:t>
      </w:r>
    </w:p>
    <w:p>
      <w:pPr>
        <w:pStyle w:val="64"/>
        <w:keepNext w:val="0"/>
        <w:keepLines w:val="0"/>
        <w:pageBreakBefore w:val="0"/>
        <w:kinsoku/>
        <w:wordWrap/>
        <w:overflowPunct/>
        <w:topLinePunct w:val="0"/>
        <w:autoSpaceDE/>
        <w:autoSpaceDN/>
        <w:bidi w:val="0"/>
        <w:adjustRightInd w:val="0"/>
        <w:snapToGrid w:val="0"/>
        <w:spacing w:before="0"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（2）大气环境</w:t>
      </w:r>
    </w:p>
    <w:p>
      <w:pPr>
        <w:pStyle w:val="64"/>
        <w:keepNext w:val="0"/>
        <w:keepLines w:val="0"/>
        <w:pageBreakBefore w:val="0"/>
        <w:kinsoku/>
        <w:wordWrap/>
        <w:overflowPunct/>
        <w:topLinePunct w:val="0"/>
        <w:autoSpaceDE/>
        <w:autoSpaceDN/>
        <w:bidi w:val="0"/>
        <w:adjustRightInd w:val="0"/>
        <w:snapToGrid w:val="0"/>
        <w:spacing w:before="0"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本项目评价区环境空气功能属于二类功能区，执行《环境空气质量标准》（GB3095-2012）中的二级标准。</w:t>
      </w:r>
    </w:p>
    <w:p>
      <w:pPr>
        <w:pStyle w:val="64"/>
        <w:keepNext w:val="0"/>
        <w:keepLines w:val="0"/>
        <w:pageBreakBefore w:val="0"/>
        <w:kinsoku/>
        <w:wordWrap/>
        <w:overflowPunct/>
        <w:topLinePunct w:val="0"/>
        <w:autoSpaceDE/>
        <w:autoSpaceDN/>
        <w:bidi w:val="0"/>
        <w:adjustRightInd w:val="0"/>
        <w:snapToGrid w:val="0"/>
        <w:spacing w:before="0"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（3）声环境</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本项目所处区域声环境执行《声环境质量标准》（GB3096-2008）中3类功能区标准。</w:t>
      </w:r>
    </w:p>
    <w:p>
      <w:pPr>
        <w:pStyle w:val="64"/>
        <w:keepNext w:val="0"/>
        <w:keepLines w:val="0"/>
        <w:pageBreakBefore w:val="0"/>
        <w:kinsoku/>
        <w:wordWrap/>
        <w:overflowPunct/>
        <w:topLinePunct w:val="0"/>
        <w:autoSpaceDE/>
        <w:autoSpaceDN/>
        <w:bidi w:val="0"/>
        <w:adjustRightInd w:val="0"/>
        <w:snapToGrid w:val="0"/>
        <w:spacing w:before="0"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（4）地下水环境</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本项目所在地的地下水执行《地下水环境质量标准》（GB14848-2017）中的Ⅲ类标准。</w:t>
      </w:r>
    </w:p>
    <w:p>
      <w:pPr>
        <w:pStyle w:val="64"/>
        <w:keepNext w:val="0"/>
        <w:keepLines w:val="0"/>
        <w:pageBreakBefore w:val="0"/>
        <w:kinsoku/>
        <w:wordWrap/>
        <w:overflowPunct/>
        <w:topLinePunct w:val="0"/>
        <w:autoSpaceDE/>
        <w:autoSpaceDN/>
        <w:bidi w:val="0"/>
        <w:adjustRightInd w:val="0"/>
        <w:snapToGrid w:val="0"/>
        <w:spacing w:before="0" w:line="360" w:lineRule="auto"/>
        <w:ind w:firstLine="480"/>
        <w:textAlignment w:val="auto"/>
        <w:rPr>
          <w:color w:val="000000" w:themeColor="text1"/>
          <w14:textFill>
            <w14:solidFill>
              <w14:schemeClr w14:val="tx1"/>
            </w14:solidFill>
          </w14:textFill>
        </w:rPr>
      </w:pPr>
      <w:r>
        <w:rPr>
          <w:color w:val="000000" w:themeColor="text1"/>
          <w14:textFill>
            <w14:solidFill>
              <w14:schemeClr w14:val="tx1"/>
            </w14:solidFill>
          </w14:textFill>
        </w:rPr>
        <w:t>（5）土壤环境</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项目拟建地土壤环境执行《土壤环境质量建设用地土壤污染风险管控标准（试行）》（GB36600-2018）中第二类用地筛选值标准要求，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项目所在区域环境功能属性汇总</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项目所在区的功能属性见下</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REF _Ref13737984 \h</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表所示</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482" w:firstLineChars="200"/>
        <w:jc w:val="center"/>
        <w:textAlignment w:val="auto"/>
        <w:rPr>
          <w:color w:val="000000" w:themeColor="text1"/>
          <w14:textFill>
            <w14:solidFill>
              <w14:schemeClr w14:val="tx1"/>
            </w14:solidFill>
          </w14:textFill>
        </w:rPr>
      </w:pPr>
      <w:bookmarkStart w:id="62" w:name="_Ref13737984"/>
      <w:r>
        <w:rPr>
          <w:b/>
          <w:bCs/>
          <w:color w:val="000000" w:themeColor="text1"/>
          <w14:textFill>
            <w14:solidFill>
              <w14:schemeClr w14:val="tx1"/>
            </w14:solidFill>
          </w14:textFill>
        </w:rPr>
        <w:t>表</w:t>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STYLEREF 2 \s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w:t>
      </w:r>
      <w:r>
        <w:rPr>
          <w:b/>
          <w:bCs/>
          <w:color w:val="000000" w:themeColor="text1"/>
          <w14:textFill>
            <w14:solidFill>
              <w14:schemeClr w14:val="tx1"/>
            </w14:solidFill>
          </w14:textFill>
        </w:rPr>
        <w:t>5</w:t>
      </w:r>
      <w:r>
        <w:rPr>
          <w:b/>
          <w:bCs/>
          <w:color w:val="000000" w:themeColor="text1"/>
          <w14:textFill>
            <w14:solidFill>
              <w14:schemeClr w14:val="tx1"/>
            </w14:solidFill>
          </w14:textFill>
        </w:rPr>
        <w:fldChar w:fldCharType="end"/>
      </w:r>
      <w:r>
        <w:rPr>
          <w:b/>
          <w:bCs/>
          <w:color w:val="000000" w:themeColor="text1"/>
          <w14:textFill>
            <w14:solidFill>
              <w14:schemeClr w14:val="tx1"/>
            </w14:solidFill>
          </w14:textFill>
        </w:rPr>
        <w:noBreakHyphen/>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SEQ 表 \* ARABIC \s 2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3</w:t>
      </w:r>
      <w:r>
        <w:rPr>
          <w:b/>
          <w:bCs/>
          <w:color w:val="000000" w:themeColor="text1"/>
          <w14:textFill>
            <w14:solidFill>
              <w14:schemeClr w14:val="tx1"/>
            </w14:solidFill>
          </w14:textFill>
        </w:rPr>
        <w:fldChar w:fldCharType="end"/>
      </w:r>
      <w:bookmarkEnd w:id="62"/>
      <w:r>
        <w:rPr>
          <w:b/>
          <w:bCs/>
          <w:color w:val="000000" w:themeColor="text1"/>
          <w14:textFill>
            <w14:solidFill>
              <w14:schemeClr w14:val="tx1"/>
            </w14:solidFill>
          </w14:textFill>
        </w:rPr>
        <w:t xml:space="preserve"> 项目拟选环境功能属性</w:t>
      </w:r>
    </w:p>
    <w:tbl>
      <w:tblPr>
        <w:tblStyle w:val="41"/>
        <w:tblW w:w="93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78"/>
        <w:gridCol w:w="1769"/>
        <w:gridCol w:w="6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tblHeader/>
          <w:jc w:val="center"/>
        </w:trPr>
        <w:tc>
          <w:tcPr>
            <w:tcW w:w="678" w:type="dxa"/>
            <w:tcBorders>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序号</w:t>
            </w:r>
          </w:p>
        </w:tc>
        <w:tc>
          <w:tcPr>
            <w:tcW w:w="1769" w:type="dxa"/>
            <w:tcBorders>
              <w:left w:val="single" w:color="auto" w:sz="4" w:space="0"/>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环境要素</w:t>
            </w:r>
          </w:p>
        </w:tc>
        <w:tc>
          <w:tcPr>
            <w:tcW w:w="6877" w:type="dxa"/>
            <w:tcBorders>
              <w:left w:val="single" w:color="auto" w:sz="4" w:space="0"/>
              <w:bottom w:val="single" w:color="auto" w:sz="4" w:space="0"/>
              <w:right w:val="nil"/>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功能区划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1</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环境空气功能区</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项目所在地为《环境空气质量标准》（GB 3095-2012）二类区。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2</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地表水</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长江：长江道仁矶江段执行《地表水环境质量标准》（GB3838-2002）中Ⅲ类标准。</w:t>
            </w:r>
          </w:p>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松阳湖：一般景观用水区，执行《地表水环境质量标准》（GB3838-2002）标准中Ⅳ类标准。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3</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地下水</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本项目位于工业园内，评价范围内无分散式饮用水源，评价区域地下水执行《地下水质量标准（GBT 14848-2017）》Ⅲ类水质标准。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4</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szCs w:val="21"/>
                <w14:textFill>
                  <w14:solidFill>
                    <w14:schemeClr w14:val="tx1"/>
                  </w14:solidFill>
                </w14:textFill>
              </w:rPr>
              <w:t>环境噪声功能区</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本项目位于中石化巴陵石油化工有限公司炼油部厂区内，所在区域属于声环境功能3类区，执行《声环境质量标准》（GB3096-2008）中的3类标准。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5</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生态</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本项目位于中石化巴陵石油化工有限公司炼油部厂区内，均为人工环境，生态环境不敏感，不涉及生态红线</w:t>
            </w:r>
            <w:r>
              <w:rPr>
                <w:rStyle w:val="45"/>
                <w:rFonts w:hint="default" w:ascii="Times New Roman" w:hAnsi="Times New Roman" w:eastAsia="宋体" w:cs="Times New Roman"/>
                <w:color w:val="000000" w:themeColor="text1"/>
                <w:kern w:val="2"/>
                <w14:textFill>
                  <w14:solidFill>
                    <w14:schemeClr w14:val="tx1"/>
                  </w14:solidFill>
                </w14:textFill>
              </w:rPr>
              <w:t>，本项目所在地不涉及东洞庭湖自然保护区和长江江豚自然保护区。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6</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是否占用基本农田保护区</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7</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是否在自然保护区</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8</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是否在风景名胜保护区</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9</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是否有文物保护单位</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10</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是否在市政污水处理厂集水范围</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是，属于中国石油化工股份有限公司污水处理站服务范围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11</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pStyle w:val="114"/>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Autospacing="0" w:line="24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是否生态功能保护区</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pStyle w:val="114"/>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Autospacing="0" w:line="24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 w:hRule="atLeast"/>
          <w:jc w:val="center"/>
        </w:trPr>
        <w:tc>
          <w:tcPr>
            <w:tcW w:w="678" w:type="dxa"/>
            <w:tcBorders>
              <w:top w:val="single" w:color="auto" w:sz="4" w:space="0"/>
              <w:left w:val="nil"/>
              <w:bottom w:val="single" w:color="auto" w:sz="4" w:space="0"/>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12</w:t>
            </w:r>
          </w:p>
        </w:tc>
        <w:tc>
          <w:tcPr>
            <w:tcW w:w="1769" w:type="dxa"/>
            <w:tcBorders>
              <w:top w:val="single" w:color="auto" w:sz="4" w:space="0"/>
              <w:left w:val="single" w:color="auto" w:sz="4" w:space="0"/>
              <w:bottom w:val="single" w:color="auto" w:sz="4" w:space="0"/>
              <w:right w:val="single" w:color="auto" w:sz="4" w:space="0"/>
            </w:tcBorders>
            <w:noWrap w:val="0"/>
            <w:tcMar>
              <w:top w:w="57" w:type="dxa"/>
              <w:bottom w:w="57" w:type="dxa"/>
            </w:tcMar>
            <w:vAlign w:val="center"/>
          </w:tcPr>
          <w:p>
            <w:pPr>
              <w:pStyle w:val="114"/>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Autospacing="0" w:line="24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是否三河、三湖、两控区</w:t>
            </w:r>
          </w:p>
        </w:tc>
        <w:tc>
          <w:tcPr>
            <w:tcW w:w="6877" w:type="dxa"/>
            <w:tcBorders>
              <w:top w:val="single" w:color="auto" w:sz="4" w:space="0"/>
              <w:left w:val="single" w:color="auto" w:sz="4" w:space="0"/>
              <w:bottom w:val="single" w:color="auto" w:sz="4" w:space="0"/>
              <w:right w:val="nil"/>
            </w:tcBorders>
            <w:noWrap w:val="0"/>
            <w:tcMar>
              <w:top w:w="57" w:type="dxa"/>
              <w:bottom w:w="57" w:type="dxa"/>
            </w:tcMar>
            <w:vAlign w:val="center"/>
          </w:tcPr>
          <w:p>
            <w:pPr>
              <w:pStyle w:val="114"/>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Autospacing="0" w:line="24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两控区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678" w:type="dxa"/>
            <w:tcBorders>
              <w:top w:val="single" w:color="auto" w:sz="4" w:space="0"/>
              <w:left w:val="nil"/>
              <w:right w:val="single" w:color="auto" w:sz="4" w:space="0"/>
            </w:tcBorders>
            <w:noWrap w:val="0"/>
            <w:tcMar>
              <w:top w:w="57" w:type="dxa"/>
              <w:bottom w:w="57" w:type="dxa"/>
            </w:tcMar>
            <w:vAlign w:val="center"/>
          </w:tcPr>
          <w:p>
            <w:pPr>
              <w:pStyle w:val="107"/>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13</w:t>
            </w:r>
          </w:p>
        </w:tc>
        <w:tc>
          <w:tcPr>
            <w:tcW w:w="1769" w:type="dxa"/>
            <w:tcBorders>
              <w:top w:val="single" w:color="auto" w:sz="4" w:space="0"/>
              <w:left w:val="single" w:color="auto" w:sz="4" w:space="0"/>
              <w:right w:val="single" w:color="auto" w:sz="4" w:space="0"/>
            </w:tcBorders>
            <w:noWrap w:val="0"/>
            <w:tcMar>
              <w:top w:w="57" w:type="dxa"/>
              <w:bottom w:w="57" w:type="dxa"/>
            </w:tcMar>
            <w:vAlign w:val="center"/>
          </w:tcPr>
          <w:p>
            <w:pPr>
              <w:pStyle w:val="114"/>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Autospacing="0" w:line="24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是否水库库区</w:t>
            </w:r>
          </w:p>
        </w:tc>
        <w:tc>
          <w:tcPr>
            <w:tcW w:w="6877" w:type="dxa"/>
            <w:tcBorders>
              <w:top w:val="single" w:color="auto" w:sz="4" w:space="0"/>
              <w:left w:val="single" w:color="auto" w:sz="4" w:space="0"/>
              <w:right w:val="nil"/>
            </w:tcBorders>
            <w:noWrap w:val="0"/>
            <w:tcMar>
              <w:top w:w="57" w:type="dxa"/>
              <w:bottom w:w="57" w:type="dxa"/>
            </w:tcMar>
            <w:vAlign w:val="center"/>
          </w:tcPr>
          <w:p>
            <w:pPr>
              <w:pStyle w:val="114"/>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Autospacing="0" w:line="240" w:lineRule="auto"/>
              <w:ind w:left="0" w:right="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否</w:t>
            </w:r>
          </w:p>
        </w:tc>
      </w:tr>
      <w:bookmarkEnd w:id="60"/>
    </w:tbl>
    <w:p>
      <w:pPr>
        <w:pStyle w:val="4"/>
        <w:adjustRightInd w:val="0"/>
        <w:snapToGrid w:val="0"/>
        <w:rPr>
          <w:color w:val="000000" w:themeColor="text1"/>
          <w14:textFill>
            <w14:solidFill>
              <w14:schemeClr w14:val="tx1"/>
            </w14:solidFill>
          </w14:textFill>
        </w:rPr>
      </w:pPr>
      <w:bookmarkStart w:id="63" w:name="_Toc4154"/>
      <w:bookmarkStart w:id="64" w:name="_Toc532376135"/>
      <w:bookmarkStart w:id="65" w:name="_Toc532763192"/>
      <w:bookmarkStart w:id="66" w:name="_Toc532497608"/>
      <w:bookmarkStart w:id="67" w:name="_Toc532498728"/>
      <w:r>
        <w:rPr>
          <w:color w:val="000000" w:themeColor="text1"/>
          <w14:textFill>
            <w14:solidFill>
              <w14:schemeClr w14:val="tx1"/>
            </w14:solidFill>
          </w14:textFill>
        </w:rPr>
        <w:t>评价标准</w:t>
      </w:r>
      <w:bookmarkEnd w:id="63"/>
      <w:bookmarkEnd w:id="64"/>
      <w:bookmarkEnd w:id="65"/>
      <w:bookmarkEnd w:id="66"/>
      <w:bookmarkEnd w:id="67"/>
    </w:p>
    <w:p>
      <w:pPr>
        <w:adjustRightInd w:val="0"/>
        <w:snapToGrid w:val="0"/>
        <w:spacing w:line="360" w:lineRule="auto"/>
        <w:ind w:firstLine="480" w:firstLineChars="200"/>
        <w:rPr>
          <w:color w:val="000000" w:themeColor="text1"/>
          <w14:textFill>
            <w14:solidFill>
              <w14:schemeClr w14:val="tx1"/>
            </w14:solidFill>
          </w14:textFill>
        </w:rPr>
      </w:pPr>
      <w:bookmarkStart w:id="68" w:name="_Ref229931109"/>
      <w:bookmarkStart w:id="69" w:name="_Ref229931098"/>
      <w:bookmarkStart w:id="70" w:name="_Toc532497609"/>
      <w:r>
        <w:rPr>
          <w:color w:val="000000" w:themeColor="text1"/>
          <w14:textFill>
            <w14:solidFill>
              <w14:schemeClr w14:val="tx1"/>
            </w14:solidFill>
          </w14:textFill>
        </w:rPr>
        <w:t>根据本项目的排污特点和区域环境功能区划要求，本次评价拟执行标准如下：</w:t>
      </w:r>
      <w:bookmarkEnd w:id="68"/>
      <w:bookmarkEnd w:id="69"/>
    </w:p>
    <w:p>
      <w:pPr>
        <w:pStyle w:val="5"/>
        <w:rPr>
          <w:color w:val="000000" w:themeColor="text1"/>
          <w14:textFill>
            <w14:solidFill>
              <w14:schemeClr w14:val="tx1"/>
            </w14:solidFill>
          </w14:textFill>
        </w:rPr>
      </w:pPr>
      <w:r>
        <w:rPr>
          <w:color w:val="000000" w:themeColor="text1"/>
          <w14:textFill>
            <w14:solidFill>
              <w14:schemeClr w14:val="tx1"/>
            </w14:solidFill>
          </w14:textFill>
        </w:rPr>
        <w:t>环境质量标准</w:t>
      </w:r>
      <w:bookmarkEnd w:id="70"/>
      <w:r>
        <w:rPr>
          <w:rFonts w:hint="eastAsia"/>
          <w:color w:val="000000" w:themeColor="text1"/>
          <w:lang w:val="en-US" w:eastAsia="zh-CN"/>
          <w14:textFill>
            <w14:solidFill>
              <w14:schemeClr w14:val="tx1"/>
            </w14:solidFill>
          </w14:textFill>
        </w:rPr>
        <w:tab/>
      </w:r>
    </w:p>
    <w:p>
      <w:pPr>
        <w:pStyle w:val="93"/>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大气环境</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10"/>
          <w14:textFill>
            <w14:solidFill>
              <w14:schemeClr w14:val="tx1"/>
            </w14:solidFill>
          </w14:textFill>
        </w:rPr>
        <w:t>项目厂区所在地区属二类环境空气质量功能区，环境空气质量执行《环境空气质量标准》(GB3095-2012)的二级标准及其修改单；对于《环境空气质量标准》中无规定的TVOC、硫化氢和氨参照执行《环境影响评价技术导则 大气环境》(HJ 2.2-2018)附录D浓度参考限值</w:t>
      </w:r>
      <w:r>
        <w:rPr>
          <w:rFonts w:hint="default" w:ascii="Times New Roman" w:hAnsi="Times New Roman" w:cs="Times New Roman"/>
          <w:color w:val="000000" w:themeColor="text1"/>
          <w14:textFill>
            <w14:solidFill>
              <w14:schemeClr w14:val="tx1"/>
            </w14:solidFill>
          </w14:textFill>
        </w:rPr>
        <w:t>，非甲烷总烃参照执行《大气综合污染综合排放标准详解》中推荐标准。具体标准限值详见下表所示。</w:t>
      </w:r>
    </w:p>
    <w:p>
      <w:pPr>
        <w:jc w:val="center"/>
        <w:rPr>
          <w:color w:val="000000" w:themeColor="text1"/>
          <w14:textFill>
            <w14:solidFill>
              <w14:schemeClr w14:val="tx1"/>
            </w14:solidFill>
          </w14:textFill>
        </w:rPr>
      </w:pPr>
      <w:r>
        <w:rPr>
          <w:b/>
          <w:bCs/>
          <w:color w:val="000000" w:themeColor="text1"/>
          <w14:textFill>
            <w14:solidFill>
              <w14:schemeClr w14:val="tx1"/>
            </w14:solidFill>
          </w14:textFill>
        </w:rPr>
        <w:t>表</w:t>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STYLEREF 2 \s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w:t>
      </w:r>
      <w:r>
        <w:rPr>
          <w:b/>
          <w:bCs/>
          <w:color w:val="000000" w:themeColor="text1"/>
          <w14:textFill>
            <w14:solidFill>
              <w14:schemeClr w14:val="tx1"/>
            </w14:solidFill>
          </w14:textFill>
        </w:rPr>
        <w:t>6</w:t>
      </w:r>
      <w:r>
        <w:rPr>
          <w:b/>
          <w:bCs/>
          <w:color w:val="000000" w:themeColor="text1"/>
          <w14:textFill>
            <w14:solidFill>
              <w14:schemeClr w14:val="tx1"/>
            </w14:solidFill>
          </w14:textFill>
        </w:rPr>
        <w:fldChar w:fldCharType="end"/>
      </w:r>
      <w:r>
        <w:rPr>
          <w:b/>
          <w:bCs/>
          <w:color w:val="000000" w:themeColor="text1"/>
          <w14:textFill>
            <w14:solidFill>
              <w14:schemeClr w14:val="tx1"/>
            </w14:solidFill>
          </w14:textFill>
        </w:rPr>
        <w:noBreakHyphen/>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SEQ 表 \* ARABIC \s 2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1</w:t>
      </w:r>
      <w:r>
        <w:rPr>
          <w:b/>
          <w:bCs/>
          <w:color w:val="000000" w:themeColor="text1"/>
          <w14:textFill>
            <w14:solidFill>
              <w14:schemeClr w14:val="tx1"/>
            </w14:solidFill>
          </w14:textFill>
        </w:rPr>
        <w:fldChar w:fldCharType="end"/>
      </w:r>
      <w:r>
        <w:rPr>
          <w:b/>
          <w:bCs/>
          <w:color w:val="000000" w:themeColor="text1"/>
          <w14:textFill>
            <w14:solidFill>
              <w14:schemeClr w14:val="tx1"/>
            </w14:solidFill>
          </w14:textFill>
        </w:rPr>
        <w:t xml:space="preserve">  环境空气质量浓度限值</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58"/>
        <w:gridCol w:w="1139"/>
        <w:gridCol w:w="770"/>
        <w:gridCol w:w="2272"/>
        <w:gridCol w:w="1592"/>
        <w:gridCol w:w="255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restart"/>
            <w:tcBorders>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序号</w:t>
            </w:r>
          </w:p>
        </w:tc>
        <w:tc>
          <w:tcPr>
            <w:tcW w:w="627" w:type="pct"/>
            <w:vMerge w:val="restart"/>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项目</w:t>
            </w:r>
          </w:p>
        </w:tc>
        <w:tc>
          <w:tcPr>
            <w:tcW w:w="2550" w:type="pct"/>
            <w:gridSpan w:val="3"/>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标准值</w:t>
            </w:r>
          </w:p>
        </w:tc>
        <w:tc>
          <w:tcPr>
            <w:tcW w:w="1404" w:type="pct"/>
            <w:vMerge w:val="restart"/>
            <w:tcBorders>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标准名称及类别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单位</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统计值</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数值</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restar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w:t>
            </w:r>
          </w:p>
        </w:tc>
        <w:tc>
          <w:tcPr>
            <w:tcW w:w="627"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PM</w:t>
            </w:r>
            <w:r>
              <w:rPr>
                <w:rFonts w:hint="default" w:ascii="Times New Roman" w:hAnsi="Times New Roman" w:eastAsia="宋体" w:cs="Times New Roman"/>
                <w:color w:val="000000" w:themeColor="text1"/>
                <w:kern w:val="0"/>
                <w:sz w:val="21"/>
                <w:vertAlign w:val="subscript"/>
                <w14:textFill>
                  <w14:solidFill>
                    <w14:schemeClr w14:val="tx1"/>
                  </w14:solidFill>
                </w14:textFill>
              </w:rPr>
              <w:t>10</w:t>
            </w:r>
          </w:p>
        </w:tc>
        <w:tc>
          <w:tcPr>
            <w:tcW w:w="424"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24小时平均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150</w:t>
            </w:r>
          </w:p>
        </w:tc>
        <w:tc>
          <w:tcPr>
            <w:tcW w:w="1404" w:type="pct"/>
            <w:vMerge w:val="restart"/>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《环境空气质量标准》(GB3095-2012)中的二级标准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年平均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restar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w:t>
            </w:r>
          </w:p>
        </w:tc>
        <w:tc>
          <w:tcPr>
            <w:tcW w:w="627"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PM</w:t>
            </w:r>
            <w:r>
              <w:rPr>
                <w:rFonts w:hint="default" w:ascii="Times New Roman" w:hAnsi="Times New Roman" w:eastAsia="宋体" w:cs="Times New Roman"/>
                <w:color w:val="000000" w:themeColor="text1"/>
                <w:kern w:val="0"/>
                <w:sz w:val="21"/>
                <w:vertAlign w:val="subscript"/>
                <w14:textFill>
                  <w14:solidFill>
                    <w14:schemeClr w14:val="tx1"/>
                  </w14:solidFill>
                </w14:textFill>
              </w:rPr>
              <w:t>2.5</w:t>
            </w:r>
          </w:p>
        </w:tc>
        <w:tc>
          <w:tcPr>
            <w:tcW w:w="424"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24小时平均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75</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年平均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35</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restar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w:t>
            </w:r>
          </w:p>
        </w:tc>
        <w:tc>
          <w:tcPr>
            <w:tcW w:w="627"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CO</w:t>
            </w:r>
          </w:p>
        </w:tc>
        <w:tc>
          <w:tcPr>
            <w:tcW w:w="424"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mg/m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24小时平均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restar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w:t>
            </w:r>
          </w:p>
        </w:tc>
        <w:tc>
          <w:tcPr>
            <w:tcW w:w="627"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O</w:t>
            </w:r>
            <w:r>
              <w:rPr>
                <w:rFonts w:hint="default" w:ascii="Times New Roman" w:hAnsi="Times New Roman" w:eastAsia="宋体" w:cs="Times New Roman"/>
                <w:color w:val="000000" w:themeColor="text1"/>
                <w:kern w:val="0"/>
                <w:sz w:val="21"/>
                <w:vertAlign w:val="subscript"/>
                <w14:textFill>
                  <w14:solidFill>
                    <w14:schemeClr w14:val="tx1"/>
                  </w14:solidFill>
                </w14:textFill>
              </w:rPr>
              <w:t>3</w:t>
            </w:r>
          </w:p>
        </w:tc>
        <w:tc>
          <w:tcPr>
            <w:tcW w:w="424"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日最大8小时平均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160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restar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w:t>
            </w:r>
          </w:p>
        </w:tc>
        <w:tc>
          <w:tcPr>
            <w:tcW w:w="627"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SO</w:t>
            </w:r>
            <w:r>
              <w:rPr>
                <w:rFonts w:hint="default" w:ascii="Times New Roman" w:hAnsi="Times New Roman" w:eastAsia="宋体" w:cs="Times New Roman"/>
                <w:color w:val="000000" w:themeColor="text1"/>
                <w:kern w:val="0"/>
                <w:sz w:val="21"/>
                <w:vertAlign w:val="subscript"/>
                <w14:textFill>
                  <w14:solidFill>
                    <w14:schemeClr w14:val="tx1"/>
                  </w14:solidFill>
                </w14:textFill>
              </w:rPr>
              <w:t>2</w:t>
            </w:r>
          </w:p>
        </w:tc>
        <w:tc>
          <w:tcPr>
            <w:tcW w:w="424"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500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24小时平均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年平均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restar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w:t>
            </w:r>
          </w:p>
        </w:tc>
        <w:tc>
          <w:tcPr>
            <w:tcW w:w="627"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NO</w:t>
            </w:r>
            <w:r>
              <w:rPr>
                <w:rFonts w:hint="default" w:ascii="Times New Roman" w:hAnsi="Times New Roman" w:eastAsia="宋体" w:cs="Times New Roman"/>
                <w:color w:val="000000" w:themeColor="text1"/>
                <w:kern w:val="0"/>
                <w:sz w:val="21"/>
                <w:vertAlign w:val="subscript"/>
                <w14:textFill>
                  <w14:solidFill>
                    <w14:schemeClr w14:val="tx1"/>
                  </w14:solidFill>
                </w14:textFill>
              </w:rPr>
              <w:t>2</w:t>
            </w:r>
          </w:p>
        </w:tc>
        <w:tc>
          <w:tcPr>
            <w:tcW w:w="424" w:type="pct"/>
            <w:vMerge w:val="restar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24小时平均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vMerge w:val="continue"/>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627"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424" w:type="pct"/>
            <w:vMerge w:val="continue"/>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年平均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w:t>
            </w:r>
          </w:p>
        </w:tc>
        <w:tc>
          <w:tcPr>
            <w:tcW w:w="627"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TVOC</w:t>
            </w:r>
          </w:p>
        </w:tc>
        <w:tc>
          <w:tcPr>
            <w:tcW w:w="424"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600</w:t>
            </w:r>
          </w:p>
        </w:tc>
        <w:tc>
          <w:tcPr>
            <w:tcW w:w="1404" w:type="pct"/>
            <w:vMerge w:val="restart"/>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《环境影响评价技术导则大气环境》(HJ 2.2-2018)附录D</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w:t>
            </w:r>
          </w:p>
        </w:tc>
        <w:tc>
          <w:tcPr>
            <w:tcW w:w="627"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氨</w:t>
            </w:r>
          </w:p>
        </w:tc>
        <w:tc>
          <w:tcPr>
            <w:tcW w:w="424"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w:t>
            </w:r>
          </w:p>
        </w:tc>
        <w:tc>
          <w:tcPr>
            <w:tcW w:w="627"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硫化氢</w:t>
            </w:r>
          </w:p>
        </w:tc>
        <w:tc>
          <w:tcPr>
            <w:tcW w:w="424"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μg/m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1小时平均</w:t>
            </w:r>
          </w:p>
        </w:tc>
        <w:tc>
          <w:tcPr>
            <w:tcW w:w="875" w:type="pct"/>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c>
          <w:tcPr>
            <w:tcW w:w="1404" w:type="pct"/>
            <w:vMerge w:val="continue"/>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17" w:type="pct"/>
            <w:tcBorders>
              <w:top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c>
          <w:tcPr>
            <w:tcW w:w="627" w:type="pct"/>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非甲烷总烃（NMHC）</w:t>
            </w:r>
          </w:p>
        </w:tc>
        <w:tc>
          <w:tcPr>
            <w:tcW w:w="424" w:type="pct"/>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mg/m</w:t>
            </w:r>
            <w:r>
              <w:rPr>
                <w:rFonts w:hint="default" w:ascii="Times New Roman" w:hAnsi="Times New Roman" w:eastAsia="宋体" w:cs="Times New Roman"/>
                <w:color w:val="000000" w:themeColor="text1"/>
                <w:kern w:val="0"/>
                <w:sz w:val="21"/>
                <w:vertAlign w:val="superscript"/>
                <w14:textFill>
                  <w14:solidFill>
                    <w14:schemeClr w14:val="tx1"/>
                  </w14:solidFill>
                </w14:textFill>
              </w:rPr>
              <w:t>3</w:t>
            </w:r>
          </w:p>
        </w:tc>
        <w:tc>
          <w:tcPr>
            <w:tcW w:w="1250" w:type="pct"/>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一次值</w:t>
            </w:r>
          </w:p>
        </w:tc>
        <w:tc>
          <w:tcPr>
            <w:tcW w:w="875" w:type="pct"/>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w:t>
            </w:r>
          </w:p>
        </w:tc>
        <w:tc>
          <w:tcPr>
            <w:tcW w:w="1404" w:type="pct"/>
            <w:tcBorders>
              <w:top w:val="single" w:color="000000" w:sz="4" w:space="0"/>
              <w:left w:val="single" w:color="000000" w:sz="4"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《大气污染物综合排放标准详解》244页</w:t>
            </w:r>
          </w:p>
        </w:tc>
      </w:tr>
    </w:tbl>
    <w:p>
      <w:pPr>
        <w:pStyle w:val="93"/>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地表水</w:t>
      </w:r>
    </w:p>
    <w:p>
      <w:pPr>
        <w:pStyle w:val="93"/>
        <w:numPr>
          <w:ilvl w:val="0"/>
          <w:numId w:val="0"/>
        </w:numPr>
        <w:adjustRightInd w:val="0"/>
        <w:snapToGrid w:val="0"/>
        <w:ind w:firstLine="480" w:firstLineChars="200"/>
        <w:outlineLvl w:val="9"/>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项目废水拟依托巴陵石化水务部云溪生化装置处理达标后排入长江，长江城陵矶至陆城段水体功能区类型为一般渔业用水，执行《地表水环境质量标准》（GB3838-2002）Ⅲ类标准，松阳湖执行《地表水质量标准》（GB3838-2002）Ⅳ类标准。标准值具体见下表所示。</w:t>
      </w:r>
    </w:p>
    <w:p>
      <w:pPr>
        <w:rPr>
          <w:color w:val="000000" w:themeColor="text1"/>
          <w:kern w:val="0"/>
          <w14:textFill>
            <w14:solidFill>
              <w14:schemeClr w14:val="tx1"/>
            </w14:solidFill>
          </w14:textFill>
        </w:rPr>
      </w:pPr>
      <w:r>
        <w:rPr>
          <w:color w:val="000000" w:themeColor="text1"/>
          <w:kern w:val="0"/>
          <w14:textFill>
            <w14:solidFill>
              <w14:schemeClr w14:val="tx1"/>
            </w14:solidFill>
          </w14:textFill>
        </w:rPr>
        <w:br w:type="page"/>
      </w:r>
    </w:p>
    <w:p>
      <w:pPr>
        <w:pStyle w:val="93"/>
        <w:numPr>
          <w:ilvl w:val="0"/>
          <w:numId w:val="0"/>
        </w:numPr>
        <w:adjustRightInd w:val="0"/>
        <w:snapToGrid w:val="0"/>
        <w:spacing w:line="240" w:lineRule="auto"/>
        <w:ind w:firstLine="482" w:firstLineChars="200"/>
        <w:jc w:val="center"/>
        <w:outlineLvl w:val="9"/>
        <w:rPr>
          <w:color w:val="000000" w:themeColor="text1"/>
          <w14:textFill>
            <w14:solidFill>
              <w14:schemeClr w14:val="tx1"/>
            </w14:solidFill>
          </w14:textFill>
        </w:rPr>
      </w:pPr>
      <w:r>
        <w:rPr>
          <w:color w:val="000000" w:themeColor="text1"/>
          <w:kern w:val="0"/>
          <w14:textFill>
            <w14:solidFill>
              <w14:schemeClr w14:val="tx1"/>
            </w14:solidFill>
          </w14:textFill>
        </w:rPr>
        <w:t>表</w:t>
      </w:r>
      <w:r>
        <w:rPr>
          <w:color w:val="000000" w:themeColor="text1"/>
          <w:kern w:val="0"/>
          <w14:textFill>
            <w14:solidFill>
              <w14:schemeClr w14:val="tx1"/>
            </w14:solidFill>
          </w14:textFill>
        </w:rPr>
        <w:fldChar w:fldCharType="begin"/>
      </w:r>
      <w:r>
        <w:rPr>
          <w:color w:val="000000" w:themeColor="text1"/>
          <w:kern w:val="0"/>
          <w14:textFill>
            <w14:solidFill>
              <w14:schemeClr w14:val="tx1"/>
            </w14:solidFill>
          </w14:textFill>
        </w:rPr>
        <w:instrText xml:space="preserve"> STYLEREF 2 \s </w:instrText>
      </w:r>
      <w:r>
        <w:rPr>
          <w:color w:val="000000" w:themeColor="text1"/>
          <w:kern w:val="0"/>
          <w14:textFill>
            <w14:solidFill>
              <w14:schemeClr w14:val="tx1"/>
            </w14:solidFill>
          </w14:textFill>
        </w:rPr>
        <w:fldChar w:fldCharType="separate"/>
      </w:r>
      <w:r>
        <w:rPr>
          <w:color w:val="000000" w:themeColor="text1"/>
          <w:kern w:val="0"/>
          <w14:textFill>
            <w14:solidFill>
              <w14:schemeClr w14:val="tx1"/>
            </w14:solidFill>
          </w14:textFill>
        </w:rPr>
        <w:t>2</w:t>
      </w:r>
      <w:r>
        <w:rPr>
          <w:rFonts w:hint="eastAsia"/>
          <w:color w:val="000000" w:themeColor="text1"/>
          <w:kern w:val="0"/>
          <w:lang w:val="en-US" w:eastAsia="zh-CN"/>
          <w14:textFill>
            <w14:solidFill>
              <w14:schemeClr w14:val="tx1"/>
            </w14:solidFill>
          </w14:textFill>
        </w:rPr>
        <w:t>.</w:t>
      </w:r>
      <w:r>
        <w:rPr>
          <w:color w:val="000000" w:themeColor="text1"/>
          <w:kern w:val="0"/>
          <w14:textFill>
            <w14:solidFill>
              <w14:schemeClr w14:val="tx1"/>
            </w14:solidFill>
          </w14:textFill>
        </w:rPr>
        <w:t>6</w:t>
      </w:r>
      <w:r>
        <w:rPr>
          <w:color w:val="000000" w:themeColor="text1"/>
          <w:kern w:val="0"/>
          <w14:textFill>
            <w14:solidFill>
              <w14:schemeClr w14:val="tx1"/>
            </w14:solidFill>
          </w14:textFill>
        </w:rPr>
        <w:fldChar w:fldCharType="end"/>
      </w:r>
      <w:r>
        <w:rPr>
          <w:color w:val="000000" w:themeColor="text1"/>
          <w:kern w:val="0"/>
          <w14:textFill>
            <w14:solidFill>
              <w14:schemeClr w14:val="tx1"/>
            </w14:solidFill>
          </w14:textFill>
        </w:rPr>
        <w:noBreakHyphen/>
      </w:r>
      <w:r>
        <w:rPr>
          <w:color w:val="000000" w:themeColor="text1"/>
          <w:kern w:val="0"/>
          <w14:textFill>
            <w14:solidFill>
              <w14:schemeClr w14:val="tx1"/>
            </w14:solidFill>
          </w14:textFill>
        </w:rPr>
        <w:fldChar w:fldCharType="begin"/>
      </w:r>
      <w:r>
        <w:rPr>
          <w:color w:val="000000" w:themeColor="text1"/>
          <w:kern w:val="0"/>
          <w14:textFill>
            <w14:solidFill>
              <w14:schemeClr w14:val="tx1"/>
            </w14:solidFill>
          </w14:textFill>
        </w:rPr>
        <w:instrText xml:space="preserve"> SEQ 表 \* ARABIC \s 2 </w:instrText>
      </w:r>
      <w:r>
        <w:rPr>
          <w:color w:val="000000" w:themeColor="text1"/>
          <w:kern w:val="0"/>
          <w14:textFill>
            <w14:solidFill>
              <w14:schemeClr w14:val="tx1"/>
            </w14:solidFill>
          </w14:textFill>
        </w:rPr>
        <w:fldChar w:fldCharType="separate"/>
      </w:r>
      <w:r>
        <w:rPr>
          <w:color w:val="000000" w:themeColor="text1"/>
          <w:kern w:val="0"/>
          <w14:textFill>
            <w14:solidFill>
              <w14:schemeClr w14:val="tx1"/>
            </w14:solidFill>
          </w14:textFill>
        </w:rPr>
        <w:t>2</w:t>
      </w:r>
      <w:r>
        <w:rPr>
          <w:color w:val="000000" w:themeColor="text1"/>
          <w:kern w:val="0"/>
          <w14:textFill>
            <w14:solidFill>
              <w14:schemeClr w14:val="tx1"/>
            </w14:solidFill>
          </w14:textFill>
        </w:rPr>
        <w:fldChar w:fldCharType="end"/>
      </w:r>
      <w:r>
        <w:rPr>
          <w:color w:val="000000" w:themeColor="text1"/>
          <w:kern w:val="0"/>
          <w14:textFill>
            <w14:solidFill>
              <w14:schemeClr w14:val="tx1"/>
            </w14:solidFill>
          </w14:textFill>
        </w:rPr>
        <w:t xml:space="preserve"> </w:t>
      </w:r>
      <w:r>
        <w:rPr>
          <w:color w:val="000000" w:themeColor="text1"/>
          <w14:textFill>
            <w14:solidFill>
              <w14:schemeClr w14:val="tx1"/>
            </w14:solidFill>
          </w14:textFill>
        </w:rPr>
        <w:t>地表水环境质量标准  单位：mg/L(pH除外)</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808"/>
        <w:gridCol w:w="1484"/>
        <w:gridCol w:w="2091"/>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13" w:type="pct"/>
            <w:tcBorders>
              <w:top w:val="single" w:color="auto" w:sz="12" w:space="0"/>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519" w:type="pct"/>
            <w:tcBorders>
              <w:top w:val="single" w:color="auto" w:sz="12" w:space="0"/>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污染物名称</w:t>
            </w:r>
          </w:p>
        </w:tc>
        <w:tc>
          <w:tcPr>
            <w:tcW w:w="803" w:type="pct"/>
            <w:tcBorders>
              <w:top w:val="single" w:color="auto" w:sz="12" w:space="0"/>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1131" w:type="pct"/>
            <w:tcBorders>
              <w:top w:val="single" w:color="auto" w:sz="12" w:space="0"/>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标准限值（</w:t>
            </w:r>
            <w:r>
              <w:rPr>
                <w:rFonts w:hint="default" w:ascii="Times New Roman" w:hAnsi="Times New Roman" w:cs="Times New Roman"/>
                <w:color w:val="000000" w:themeColor="text1"/>
                <w:sz w:val="21"/>
                <w:szCs w:val="21"/>
                <w14:textFill>
                  <w14:solidFill>
                    <w14:schemeClr w14:val="tx1"/>
                  </w14:solidFill>
                </w14:textFill>
              </w:rPr>
              <w:t>Ⅲ</w:t>
            </w:r>
            <w:r>
              <w:rPr>
                <w:rFonts w:hint="default" w:ascii="Times New Roman" w:hAnsi="Times New Roman" w:eastAsia="宋体" w:cs="Times New Roman"/>
                <w:color w:val="000000" w:themeColor="text1"/>
                <w:sz w:val="21"/>
                <w:szCs w:val="21"/>
                <w14:textFill>
                  <w14:solidFill>
                    <w14:schemeClr w14:val="tx1"/>
                  </w14:solidFill>
                </w14:textFill>
              </w:rPr>
              <w:t>类）</w:t>
            </w:r>
          </w:p>
        </w:tc>
        <w:tc>
          <w:tcPr>
            <w:tcW w:w="1131" w:type="pct"/>
            <w:tcBorders>
              <w:top w:val="single" w:color="auto" w:sz="12" w:space="0"/>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标准限值（Ⅳ类）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无量纲</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溶解氧</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高锰酸盐指数</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化学需氧量（COD）</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五日生化需氧量（BOD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挥发酚</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石油类</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汞</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≤0.0001</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铅</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总磷</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铜</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锌</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氟化物</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砷</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镉</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六价铬</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氰化物</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1519"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阴离子表面活性剂</w:t>
            </w:r>
          </w:p>
        </w:tc>
        <w:tc>
          <w:tcPr>
            <w:tcW w:w="803" w:type="pct"/>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1131" w:type="pct"/>
            <w:tcBorders>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tcBorders>
              <w:left w:val="nil"/>
              <w:bottom w:val="single" w:color="auto" w:sz="12" w:space="0"/>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1519" w:type="pct"/>
            <w:tcBorders>
              <w:bottom w:val="single" w:color="auto" w:sz="12" w:space="0"/>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硫化物</w:t>
            </w:r>
          </w:p>
        </w:tc>
        <w:tc>
          <w:tcPr>
            <w:tcW w:w="803" w:type="pct"/>
            <w:tcBorders>
              <w:bottom w:val="single" w:color="auto" w:sz="12" w:space="0"/>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mg/L</w:t>
            </w:r>
          </w:p>
        </w:tc>
        <w:tc>
          <w:tcPr>
            <w:tcW w:w="1131" w:type="pct"/>
            <w:tcBorders>
              <w:bottom w:val="single" w:color="auto" w:sz="12" w:space="0"/>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c>
          <w:tcPr>
            <w:tcW w:w="1131" w:type="pct"/>
            <w:tcBorders>
              <w:bottom w:val="single" w:color="auto" w:sz="12" w:space="0"/>
              <w:right w:val="nil"/>
            </w:tcBorders>
            <w:noWrap w:val="0"/>
            <w:vAlign w:val="center"/>
          </w:tcPr>
          <w:p>
            <w:pPr>
              <w:pStyle w:val="84"/>
              <w:keepNext w:val="0"/>
              <w:keepLines w:val="0"/>
              <w:widowControl/>
              <w:suppressLineNumbers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bl>
    <w:p>
      <w:pPr>
        <w:pStyle w:val="93"/>
        <w:rPr>
          <w:color w:val="000000" w:themeColor="text1"/>
          <w14:textFill>
            <w14:solidFill>
              <w14:schemeClr w14:val="tx1"/>
            </w14:solidFill>
          </w14:textFill>
        </w:rPr>
      </w:pPr>
      <w:r>
        <w:rPr>
          <w:color w:val="000000" w:themeColor="text1"/>
          <w14:textFill>
            <w14:solidFill>
              <w14:schemeClr w14:val="tx1"/>
            </w14:solidFill>
          </w14:textFill>
        </w:rPr>
        <w:t>地下水</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地下水执行《地下水质量标准》（GB/T14848-2017）Ⅲ类水质标准。</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地下水环境标准限值   </w:t>
      </w:r>
      <w:r>
        <w:rPr>
          <w:color w:val="000000" w:themeColor="text1"/>
          <w:kern w:val="0"/>
          <w:szCs w:val="24"/>
          <w14:textFill>
            <w14:solidFill>
              <w14:schemeClr w14:val="tx1"/>
            </w14:solidFill>
          </w14:textFill>
        </w:rPr>
        <w:t>单位：mg/L，pH值除外</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21"/>
        <w:gridCol w:w="2416"/>
        <w:gridCol w:w="1513"/>
        <w:gridCol w:w="754"/>
        <w:gridCol w:w="2265"/>
        <w:gridCol w:w="141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tcBorders>
              <w:top w:val="single" w:color="000000" w:sz="12" w:space="0"/>
              <w:left w:val="nil"/>
              <w:bottom w:val="single" w:color="000000" w:sz="2" w:space="0"/>
              <w:right w:val="single" w:color="000000" w:sz="2"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序号</w:t>
            </w:r>
          </w:p>
        </w:tc>
        <w:tc>
          <w:tcPr>
            <w:tcW w:w="1330" w:type="pct"/>
            <w:tcBorders>
              <w:top w:val="single" w:color="000000" w:sz="12" w:space="0"/>
              <w:bottom w:val="single" w:color="000000" w:sz="2" w:space="0"/>
              <w:right w:val="single" w:color="000000" w:sz="2"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项目</w:t>
            </w:r>
          </w:p>
        </w:tc>
        <w:tc>
          <w:tcPr>
            <w:tcW w:w="833" w:type="pct"/>
            <w:tcBorders>
              <w:top w:val="single" w:color="000000" w:sz="12" w:space="0"/>
              <w:bottom w:val="single" w:color="000000" w:sz="2" w:space="0"/>
              <w:right w:val="single" w:color="000000" w:sz="2"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Ⅲ类标准</w:t>
            </w:r>
          </w:p>
        </w:tc>
        <w:tc>
          <w:tcPr>
            <w:tcW w:w="415" w:type="pct"/>
            <w:tcBorders>
              <w:top w:val="single" w:color="000000" w:sz="12" w:space="0"/>
              <w:bottom w:val="single" w:color="000000" w:sz="2" w:space="0"/>
              <w:right w:val="single" w:color="000000" w:sz="2"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序号</w:t>
            </w:r>
          </w:p>
        </w:tc>
        <w:tc>
          <w:tcPr>
            <w:tcW w:w="1247" w:type="pct"/>
            <w:tcBorders>
              <w:top w:val="single" w:color="000000" w:sz="12" w:space="0"/>
              <w:bottom w:val="single" w:color="000000" w:sz="2" w:space="0"/>
              <w:right w:val="single" w:color="000000" w:sz="2" w:space="0"/>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项目</w:t>
            </w:r>
          </w:p>
        </w:tc>
        <w:tc>
          <w:tcPr>
            <w:tcW w:w="778" w:type="pct"/>
            <w:tcBorders>
              <w:top w:val="single" w:color="000000" w:sz="12" w:space="0"/>
              <w:bottom w:val="single" w:color="000000" w:sz="2" w:space="0"/>
              <w:right w:val="nil"/>
            </w:tcBorders>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Ⅲ类标准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pH(无量纲)</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6.5~8.5</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硝酸盐(以N计)</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总硬度(以CaCO</w:t>
            </w:r>
            <w:r>
              <w:rPr>
                <w:rFonts w:hint="default" w:ascii="Times New Roman" w:hAnsi="Times New Roman" w:eastAsia="宋体" w:cs="Times New Roman"/>
                <w:color w:val="000000" w:themeColor="text1"/>
                <w:kern w:val="0"/>
                <w:sz w:val="21"/>
                <w:vertAlign w:val="subscript"/>
                <w14:textFill>
                  <w14:solidFill>
                    <w14:schemeClr w14:val="tx1"/>
                  </w14:solidFill>
                </w14:textFill>
              </w:rPr>
              <w:t>3</w:t>
            </w:r>
            <w:r>
              <w:rPr>
                <w:rFonts w:hint="default" w:ascii="Times New Roman" w:hAnsi="Times New Roman" w:eastAsia="宋体" w:cs="Times New Roman"/>
                <w:color w:val="000000" w:themeColor="text1"/>
                <w:kern w:val="0"/>
                <w:sz w:val="21"/>
                <w14:textFill>
                  <w14:solidFill>
                    <w14:schemeClr w14:val="tx1"/>
                  </w14:solidFill>
                </w14:textFill>
              </w:rPr>
              <w:t>计)</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≤450</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13</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亚硝酸盐(以N计)</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溶解性总固体</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≤1000</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14</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氨氮(以N计)</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硫酸盐</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≤250</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氟化物</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氯化物</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≤250</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16</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汞</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铁</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≤0.3</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17</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砷</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锰</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≤0.1</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18</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镉</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钠</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19</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铬(六价)</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细菌总数</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铅</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挥发性酚类(以苯酚计)</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≤0.002</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21</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氰化物</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w:t>
            </w:r>
          </w:p>
        </w:tc>
        <w:tc>
          <w:tcPr>
            <w:tcW w:w="1330"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高锰酸盐指数</w:t>
            </w:r>
          </w:p>
        </w:tc>
        <w:tc>
          <w:tcPr>
            <w:tcW w:w="83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≤3.0</w:t>
            </w:r>
          </w:p>
        </w:tc>
        <w:tc>
          <w:tcPr>
            <w:tcW w:w="415"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22</w:t>
            </w:r>
          </w:p>
        </w:tc>
        <w:tc>
          <w:tcPr>
            <w:tcW w:w="124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总大肠杆菌群(个/L)</w:t>
            </w:r>
          </w:p>
        </w:tc>
        <w:tc>
          <w:tcPr>
            <w:tcW w:w="778"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≤3.0</w:t>
            </w:r>
          </w:p>
        </w:tc>
      </w:tr>
    </w:tbl>
    <w:p>
      <w:pPr>
        <w:pStyle w:val="93"/>
        <w:rPr>
          <w:color w:val="000000" w:themeColor="text1"/>
          <w14:textFill>
            <w14:solidFill>
              <w14:schemeClr w14:val="tx1"/>
            </w14:solidFill>
          </w14:textFill>
        </w:rPr>
      </w:pPr>
      <w:r>
        <w:rPr>
          <w:color w:val="000000" w:themeColor="text1"/>
          <w14:textFill>
            <w14:solidFill>
              <w14:schemeClr w14:val="tx1"/>
            </w14:solidFill>
          </w14:textFill>
        </w:rPr>
        <w:t>声环境</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项目所在区域执行《声环境质量标准》（GB3096-2008）中3类区标准。</w:t>
      </w:r>
    </w:p>
    <w:p>
      <w:pPr>
        <w:pStyle w:val="93"/>
        <w:numPr>
          <w:ilvl w:val="0"/>
          <w:numId w:val="0"/>
        </w:numPr>
        <w:spacing w:line="240" w:lineRule="auto"/>
        <w:ind w:firstLine="482" w:firstLineChars="200"/>
        <w:jc w:val="center"/>
        <w:outlineLvl w:val="9"/>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93"/>
        <w:numPr>
          <w:ilvl w:val="0"/>
          <w:numId w:val="0"/>
        </w:numPr>
        <w:spacing w:line="240" w:lineRule="auto"/>
        <w:ind w:firstLine="482" w:firstLineChars="200"/>
        <w:jc w:val="center"/>
        <w:outlineLvl w:val="9"/>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声环境质量标准  单位:dB（A）</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90"/>
        <w:gridCol w:w="2591"/>
        <w:gridCol w:w="2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pct"/>
            <w:noWrap w:val="0"/>
            <w:vAlign w:val="center"/>
          </w:tcPr>
          <w:p>
            <w:pPr>
              <w:keepNext w:val="0"/>
              <w:keepLines w:val="0"/>
              <w:suppressLineNumbers w:val="0"/>
              <w:tabs>
                <w:tab w:val="left" w:pos="360"/>
              </w:tabs>
              <w:spacing w:before="0" w:beforeAutospacing="0" w:after="0" w:afterAutospacing="0"/>
              <w:ind w:left="0" w:right="0" w:firstLine="42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类别</w:t>
            </w:r>
          </w:p>
        </w:tc>
        <w:tc>
          <w:tcPr>
            <w:tcW w:w="1402" w:type="pct"/>
            <w:noWrap w:val="0"/>
            <w:vAlign w:val="center"/>
          </w:tcPr>
          <w:p>
            <w:pPr>
              <w:keepNext w:val="0"/>
              <w:keepLines w:val="0"/>
              <w:suppressLineNumbers w:val="0"/>
              <w:tabs>
                <w:tab w:val="left" w:pos="36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昼间</w:t>
            </w:r>
          </w:p>
        </w:tc>
        <w:tc>
          <w:tcPr>
            <w:tcW w:w="1277" w:type="pct"/>
            <w:noWrap w:val="0"/>
            <w:vAlign w:val="center"/>
          </w:tcPr>
          <w:p>
            <w:pPr>
              <w:keepNext w:val="0"/>
              <w:keepLines w:val="0"/>
              <w:suppressLineNumbers w:val="0"/>
              <w:tabs>
                <w:tab w:val="left" w:pos="36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pct"/>
            <w:noWrap w:val="0"/>
            <w:vAlign w:val="center"/>
          </w:tcPr>
          <w:p>
            <w:pPr>
              <w:keepNext w:val="0"/>
              <w:keepLines w:val="0"/>
              <w:suppressLineNumbers w:val="0"/>
              <w:tabs>
                <w:tab w:val="left" w:pos="360"/>
              </w:tabs>
              <w:spacing w:before="0" w:beforeAutospacing="0" w:after="0" w:afterAutospacing="0"/>
              <w:ind w:left="0" w:right="0" w:firstLine="42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GB3096-2008 中3类区标准</w:t>
            </w:r>
          </w:p>
        </w:tc>
        <w:tc>
          <w:tcPr>
            <w:tcW w:w="1402" w:type="pct"/>
            <w:noWrap w:val="0"/>
            <w:vAlign w:val="center"/>
          </w:tcPr>
          <w:p>
            <w:pPr>
              <w:keepNext w:val="0"/>
              <w:keepLines w:val="0"/>
              <w:suppressLineNumbers w:val="0"/>
              <w:tabs>
                <w:tab w:val="left" w:pos="36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65</w:t>
            </w:r>
          </w:p>
        </w:tc>
        <w:tc>
          <w:tcPr>
            <w:tcW w:w="1277" w:type="pct"/>
            <w:noWrap w:val="0"/>
            <w:vAlign w:val="center"/>
          </w:tcPr>
          <w:p>
            <w:pPr>
              <w:keepNext w:val="0"/>
              <w:keepLines w:val="0"/>
              <w:suppressLineNumbers w:val="0"/>
              <w:tabs>
                <w:tab w:val="left" w:pos="36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55</w:t>
            </w:r>
          </w:p>
        </w:tc>
      </w:tr>
    </w:tbl>
    <w:p>
      <w:pPr>
        <w:pStyle w:val="93"/>
        <w:rPr>
          <w:color w:val="000000" w:themeColor="text1"/>
          <w14:textFill>
            <w14:solidFill>
              <w14:schemeClr w14:val="tx1"/>
            </w14:solidFill>
          </w14:textFill>
        </w:rPr>
      </w:pPr>
      <w:bookmarkStart w:id="71" w:name="_Toc532497610"/>
      <w:r>
        <w:rPr>
          <w:color w:val="000000" w:themeColor="text1"/>
          <w14:textFill>
            <w14:solidFill>
              <w14:schemeClr w14:val="tx1"/>
            </w14:solidFill>
          </w14:textFill>
        </w:rPr>
        <w:t>土壤标准</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项目区域土壤质量执行《土壤环境质量 建设用地土壤污染风险管控标准(试行)》(GB36600-2018)标准中第二类用地风险筛选值和管制值要求。</w:t>
      </w:r>
    </w:p>
    <w:p>
      <w:pPr>
        <w:jc w:val="center"/>
        <w:rPr>
          <w:color w:val="000000" w:themeColor="text1"/>
          <w14:textFill>
            <w14:solidFill>
              <w14:schemeClr w14:val="tx1"/>
            </w14:solidFill>
          </w14:textFill>
        </w:rPr>
      </w:pPr>
      <w:r>
        <w:rPr>
          <w:b/>
          <w:bCs/>
          <w:color w:val="000000" w:themeColor="text1"/>
          <w14:textFill>
            <w14:solidFill>
              <w14:schemeClr w14:val="tx1"/>
            </w14:solidFill>
          </w14:textFill>
        </w:rPr>
        <w:t>表</w:t>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STYLEREF 2 \s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w:t>
      </w:r>
      <w:r>
        <w:rPr>
          <w:b/>
          <w:bCs/>
          <w:color w:val="000000" w:themeColor="text1"/>
          <w14:textFill>
            <w14:solidFill>
              <w14:schemeClr w14:val="tx1"/>
            </w14:solidFill>
          </w14:textFill>
        </w:rPr>
        <w:t>6</w:t>
      </w:r>
      <w:r>
        <w:rPr>
          <w:b/>
          <w:bCs/>
          <w:color w:val="000000" w:themeColor="text1"/>
          <w14:textFill>
            <w14:solidFill>
              <w14:schemeClr w14:val="tx1"/>
            </w14:solidFill>
          </w14:textFill>
        </w:rPr>
        <w:fldChar w:fldCharType="end"/>
      </w:r>
      <w:r>
        <w:rPr>
          <w:b/>
          <w:bCs/>
          <w:color w:val="000000" w:themeColor="text1"/>
          <w14:textFill>
            <w14:solidFill>
              <w14:schemeClr w14:val="tx1"/>
            </w14:solidFill>
          </w14:textFill>
        </w:rPr>
        <w:noBreakHyphen/>
      </w:r>
      <w:r>
        <w:rPr>
          <w:b/>
          <w:bCs/>
          <w:color w:val="000000" w:themeColor="text1"/>
          <w14:textFill>
            <w14:solidFill>
              <w14:schemeClr w14:val="tx1"/>
            </w14:solidFill>
          </w14:textFill>
        </w:rPr>
        <w:fldChar w:fldCharType="begin"/>
      </w:r>
      <w:r>
        <w:rPr>
          <w:b/>
          <w:bCs/>
          <w:color w:val="000000" w:themeColor="text1"/>
          <w14:textFill>
            <w14:solidFill>
              <w14:schemeClr w14:val="tx1"/>
            </w14:solidFill>
          </w14:textFill>
        </w:rPr>
        <w:instrText xml:space="preserve"> SEQ 表 \* ARABIC \s 2 </w:instrText>
      </w:r>
      <w:r>
        <w:rPr>
          <w:b/>
          <w:bCs/>
          <w:color w:val="000000" w:themeColor="text1"/>
          <w14:textFill>
            <w14:solidFill>
              <w14:schemeClr w14:val="tx1"/>
            </w14:solidFill>
          </w14:textFill>
        </w:rPr>
        <w:fldChar w:fldCharType="separate"/>
      </w:r>
      <w:r>
        <w:rPr>
          <w:b/>
          <w:bCs/>
          <w:color w:val="000000" w:themeColor="text1"/>
          <w14:textFill>
            <w14:solidFill>
              <w14:schemeClr w14:val="tx1"/>
            </w14:solidFill>
          </w14:textFill>
        </w:rPr>
        <w:t>5</w:t>
      </w:r>
      <w:r>
        <w:rPr>
          <w:b/>
          <w:bCs/>
          <w:color w:val="000000" w:themeColor="text1"/>
          <w14:textFill>
            <w14:solidFill>
              <w14:schemeClr w14:val="tx1"/>
            </w14:solidFill>
          </w14:textFill>
        </w:rPr>
        <w:fldChar w:fldCharType="end"/>
      </w:r>
      <w:r>
        <w:rPr>
          <w:b/>
          <w:bCs/>
          <w:color w:val="000000" w:themeColor="text1"/>
          <w14:textFill>
            <w14:solidFill>
              <w14:schemeClr w14:val="tx1"/>
            </w14:solidFill>
          </w14:textFill>
        </w:rPr>
        <w:t xml:space="preserve">  土壤环境质量标准限值 （</w:t>
      </w:r>
      <w:r>
        <w:rPr>
          <w:b/>
          <w:bCs/>
          <w:color w:val="000000" w:themeColor="text1"/>
          <w:szCs w:val="24"/>
          <w14:textFill>
            <w14:solidFill>
              <w14:schemeClr w14:val="tx1"/>
            </w14:solidFill>
          </w14:textFill>
        </w:rPr>
        <w:t>单位：mg/kg，PH为无量纲</w:t>
      </w:r>
      <w:r>
        <w:rPr>
          <w:b/>
          <w:bCs/>
          <w:color w:val="000000" w:themeColor="text1"/>
          <w14:textFill>
            <w14:solidFill>
              <w14:schemeClr w14:val="tx1"/>
            </w14:solidFill>
          </w14:textFill>
        </w:rPr>
        <w:t>）</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22"/>
        <w:gridCol w:w="2705"/>
        <w:gridCol w:w="2011"/>
        <w:gridCol w:w="1766"/>
        <w:gridCol w:w="177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vMerge w:val="restar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bookmarkStart w:id="72" w:name="RANGE!H10"/>
            <w:r>
              <w:rPr>
                <w:rFonts w:hint="default" w:ascii="Times New Roman" w:hAnsi="Times New Roman" w:eastAsia="宋体" w:cs="Times New Roman"/>
                <w:color w:val="000000" w:themeColor="text1"/>
                <w:kern w:val="0"/>
                <w:sz w:val="21"/>
                <w14:textFill>
                  <w14:solidFill>
                    <w14:schemeClr w14:val="tx1"/>
                  </w14:solidFill>
                </w14:textFill>
              </w:rPr>
              <w:t>序号</w:t>
            </w:r>
            <w:bookmarkEnd w:id="72"/>
          </w:p>
        </w:tc>
        <w:tc>
          <w:tcPr>
            <w:tcW w:w="1489" w:type="pct"/>
            <w:vMerge w:val="restar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污染物项目</w:t>
            </w:r>
          </w:p>
        </w:tc>
        <w:tc>
          <w:tcPr>
            <w:tcW w:w="1107" w:type="pct"/>
            <w:vMerge w:val="restar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CAS编号</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筛选值(mg/kg)</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管制值(mg/kg)</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vMerge w:val="continue"/>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489" w:type="pct"/>
            <w:vMerge w:val="continue"/>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1107" w:type="pct"/>
            <w:vMerge w:val="continue"/>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第二类用地</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第二类用地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5"/>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重金属和无机物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7440-38-2</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60①</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镉</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7440-43-9</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172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铬(六价)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18540-29-9</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5.7</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铜</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7440-50-8</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18000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36000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铅</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7439-92-1</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800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2500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汞</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7439-97-6</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38</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镍</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7440-02-0</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900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5"/>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挥发性有机物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四氯化碳</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56-23-5</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2.8</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氯仿</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67-66-3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0.9</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氯甲烷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74-87-3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37</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1,1-二氯乙烷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75-34-3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1,2-二氯乙烷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107-06-2</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13</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1,1-二氯乙烯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75-35-4</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66</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14</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顺-1,2-二氯乙烯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156-59-2</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596</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反-1,2-二氯乙烯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156-60-5</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54</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163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16</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二氯甲烷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1975/9/2</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616</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17</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1,2-二氯丙烷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78-87-5</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18</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1,1,1,2-四氯乙烷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630-20-6</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19</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1,1,2,2-四氯乙烷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79-34-5</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6.8</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四氯乙烯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127-18-4</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53</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183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21</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1,1,1-三氯乙烷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71-55-6</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840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22</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1,1,2-三氯乙烷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79-00-5</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2.8</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23</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三氯乙烯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1979/1/6</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2.8</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24</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1,2,3-三氯丙烷</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96-18-4</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25</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氯乙烯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1975/1/4</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0.43</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26</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71-43-2</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27</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氯苯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108-90-7</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270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28</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1,2-二氯苯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95-50-1</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560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29</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1,4-二氯苯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106-46-7</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30</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乙苯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100-41-4</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28</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280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31</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苯乙烯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100-42-5</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1290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1290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32</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甲苯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108-88-3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1200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33</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间二甲苯+对二甲苯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108-38-3,106-42-3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570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570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34</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邻二甲苯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95-47-6</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640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5"/>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半挥发性有机物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35</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硝基苯</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98-95-3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76</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36</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苯胺</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62-53-3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260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663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37</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2-氯酚</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95-57-8</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2256</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4500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38</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苯并[a]蒽</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56-55-3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39</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苯并[a]芘</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50-32-8</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40</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苯并[b]荧蒽</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205-99-2</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41</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苯并[k]荧蒽</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207-08-9</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151</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42</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䓛</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218-01-9</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1293</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12900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43</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二苯并[a,h]蒽</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53-70-3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44</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茚并[1,2,3-cd]芘</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193-39-5</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3"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45</w:t>
            </w:r>
          </w:p>
        </w:tc>
        <w:tc>
          <w:tcPr>
            <w:tcW w:w="1489"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萘</w:t>
            </w:r>
          </w:p>
        </w:tc>
        <w:tc>
          <w:tcPr>
            <w:tcW w:w="110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91-20-3</w:t>
            </w:r>
          </w:p>
        </w:tc>
        <w:tc>
          <w:tcPr>
            <w:tcW w:w="972"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70</w:t>
            </w:r>
          </w:p>
        </w:tc>
        <w:tc>
          <w:tcPr>
            <w:tcW w:w="977" w:type="pct"/>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5"/>
            <w:noWrap w:val="0"/>
            <w:tcMar>
              <w:left w:w="28" w:type="dxa"/>
              <w:right w:w="28" w:type="dxa"/>
            </w:tcMar>
            <w:vAlign w:val="center"/>
          </w:tcPr>
          <w:p>
            <w:pPr>
              <w:keepNext w:val="0"/>
              <w:keepLines w:val="0"/>
              <w:widowControl/>
              <w:suppressLineNumbers w:val="0"/>
              <w:adjustRightInd w:val="0"/>
              <w:spacing w:before="0" w:beforeAutospacing="0" w:after="0" w:afterAutospacing="0"/>
              <w:ind w:left="0" w:right="0"/>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注：①具体地块土壤中污染物检测含量超过筛选值，但等于或者低于土壤环境背景值水平的，不纳入污染地块管理。土壤环境背景值可参见GB36600-2018附录A。</w:t>
            </w:r>
          </w:p>
        </w:tc>
      </w:tr>
    </w:tbl>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评价区域土壤环境质量标准（其他项目）</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2316"/>
        <w:gridCol w:w="1848"/>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restart"/>
            <w:tcBorders>
              <w:top w:val="single" w:color="auto" w:sz="12" w:space="0"/>
              <w:left w:val="nil"/>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序号</w:t>
            </w:r>
          </w:p>
        </w:tc>
        <w:tc>
          <w:tcPr>
            <w:tcW w:w="2316" w:type="dxa"/>
            <w:vMerge w:val="restart"/>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污染物项目</w:t>
            </w:r>
          </w:p>
        </w:tc>
        <w:tc>
          <w:tcPr>
            <w:tcW w:w="1848" w:type="dxa"/>
            <w:vMerge w:val="restart"/>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CAS编号</w:t>
            </w:r>
          </w:p>
        </w:tc>
        <w:tc>
          <w:tcPr>
            <w:tcW w:w="1849" w:type="dxa"/>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筛选值（mg/kg）</w:t>
            </w:r>
          </w:p>
        </w:tc>
        <w:tc>
          <w:tcPr>
            <w:tcW w:w="1849" w:type="dxa"/>
            <w:tcBorders>
              <w:top w:val="single" w:color="auto" w:sz="12" w:space="0"/>
              <w:right w:val="nil"/>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管制值（mg/kg）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vMerge w:val="continue"/>
            <w:tcBorders>
              <w:left w:val="nil"/>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p>
        </w:tc>
        <w:tc>
          <w:tcPr>
            <w:tcW w:w="2316" w:type="dxa"/>
            <w:vMerge w:val="continue"/>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p>
        </w:tc>
        <w:tc>
          <w:tcPr>
            <w:tcW w:w="1848" w:type="dxa"/>
            <w:vMerge w:val="continue"/>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p>
        </w:tc>
        <w:tc>
          <w:tcPr>
            <w:tcW w:w="1849" w:type="dxa"/>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第二类用地</w:t>
            </w:r>
          </w:p>
        </w:tc>
        <w:tc>
          <w:tcPr>
            <w:tcW w:w="1849" w:type="dxa"/>
            <w:tcBorders>
              <w:right w:val="nil"/>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5"/>
            <w:tcBorders>
              <w:left w:val="nil"/>
              <w:right w:val="nil"/>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石油烃类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tcBorders>
              <w:left w:val="nil"/>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1</w:t>
            </w:r>
          </w:p>
        </w:tc>
        <w:tc>
          <w:tcPr>
            <w:tcW w:w="2316" w:type="dxa"/>
            <w:tcBorders>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石油烃（C</w:t>
            </w:r>
            <w:r>
              <w:rPr>
                <w:b w:val="0"/>
                <w:color w:val="000000" w:themeColor="text1"/>
                <w:sz w:val="21"/>
                <w:szCs w:val="21"/>
                <w:vertAlign w:val="subscript"/>
                <w14:textFill>
                  <w14:solidFill>
                    <w14:schemeClr w14:val="tx1"/>
                  </w14:solidFill>
                </w14:textFill>
              </w:rPr>
              <w:t>10</w:t>
            </w:r>
            <w:r>
              <w:rPr>
                <w:b w:val="0"/>
                <w:color w:val="000000" w:themeColor="text1"/>
                <w:sz w:val="21"/>
                <w:szCs w:val="21"/>
                <w14:textFill>
                  <w14:solidFill>
                    <w14:schemeClr w14:val="tx1"/>
                  </w14:solidFill>
                </w14:textFill>
              </w:rPr>
              <w:t>~C</w:t>
            </w:r>
            <w:r>
              <w:rPr>
                <w:b w:val="0"/>
                <w:color w:val="000000" w:themeColor="text1"/>
                <w:sz w:val="21"/>
                <w:szCs w:val="21"/>
                <w:vertAlign w:val="subscript"/>
                <w14:textFill>
                  <w14:solidFill>
                    <w14:schemeClr w14:val="tx1"/>
                  </w14:solidFill>
                </w14:textFill>
              </w:rPr>
              <w:t>40</w:t>
            </w:r>
            <w:r>
              <w:rPr>
                <w:b w:val="0"/>
                <w:color w:val="000000" w:themeColor="text1"/>
                <w:sz w:val="21"/>
                <w:szCs w:val="21"/>
                <w14:textFill>
                  <w14:solidFill>
                    <w14:schemeClr w14:val="tx1"/>
                  </w14:solidFill>
                </w14:textFill>
              </w:rPr>
              <w:t>）</w:t>
            </w:r>
          </w:p>
        </w:tc>
        <w:tc>
          <w:tcPr>
            <w:tcW w:w="1848" w:type="dxa"/>
            <w:tcBorders>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w:t>
            </w:r>
          </w:p>
        </w:tc>
        <w:tc>
          <w:tcPr>
            <w:tcW w:w="1849" w:type="dxa"/>
            <w:tcBorders>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4500</w:t>
            </w:r>
          </w:p>
        </w:tc>
        <w:tc>
          <w:tcPr>
            <w:tcW w:w="1849" w:type="dxa"/>
            <w:tcBorders>
              <w:bottom w:val="single" w:color="auto" w:sz="12" w:space="0"/>
              <w:right w:val="nil"/>
            </w:tcBorders>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9000</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污染物排放标准</w:t>
      </w:r>
      <w:bookmarkEnd w:id="71"/>
    </w:p>
    <w:p>
      <w:pPr>
        <w:pStyle w:val="93"/>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废气</w:t>
      </w:r>
    </w:p>
    <w:p>
      <w:pPr>
        <w:pStyle w:val="3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cs="Times New Roman"/>
          <w:bCs/>
          <w:color w:val="000000" w:themeColor="text1"/>
          <w:kern w:val="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施工期废气颗粒物执行《大气污染物综合排放标准》（GB16297-1996）中表2无组织排放监控浓度限值标准；营运期</w:t>
      </w:r>
      <w:r>
        <w:rPr>
          <w:rFonts w:hint="eastAsia" w:ascii="Times New Roman" w:hAnsi="Times New Roman" w:cs="Times New Roman"/>
          <w:color w:val="000000" w:themeColor="text1"/>
          <w:lang w:eastAsia="zh-CN"/>
          <w14:textFill>
            <w14:solidFill>
              <w14:schemeClr w14:val="tx1"/>
            </w14:solidFill>
          </w14:textFill>
        </w:rPr>
        <w:t>企业边界</w:t>
      </w:r>
      <w:r>
        <w:rPr>
          <w:rFonts w:hint="default" w:ascii="Times New Roman" w:hAnsi="Times New Roman" w:cs="Times New Roman"/>
          <w:color w:val="000000" w:themeColor="text1"/>
          <w14:textFill>
            <w14:solidFill>
              <w14:schemeClr w14:val="tx1"/>
            </w14:solidFill>
          </w14:textFill>
        </w:rPr>
        <w:t>无组织形式排放</w:t>
      </w:r>
      <w:r>
        <w:rPr>
          <w:rFonts w:hint="default" w:ascii="Times New Roman" w:hAnsi="Times New Roman" w:cs="Times New Roman"/>
          <w:bCs/>
          <w:color w:val="000000" w:themeColor="text1"/>
          <w:kern w:val="2"/>
          <w14:textFill>
            <w14:solidFill>
              <w14:schemeClr w14:val="tx1"/>
            </w14:solidFill>
          </w14:textFill>
        </w:rPr>
        <w:t>挥发性有机物（以非甲烷总烃表征）浓度执行《</w:t>
      </w:r>
      <w:r>
        <w:rPr>
          <w:rFonts w:hint="default" w:ascii="Times New Roman" w:hAnsi="Times New Roman" w:cs="Times New Roman"/>
          <w:bCs/>
          <w:color w:val="000000" w:themeColor="text1"/>
          <w:kern w:val="2"/>
          <w:lang w:eastAsia="zh-CN"/>
          <w14:textFill>
            <w14:solidFill>
              <w14:schemeClr w14:val="tx1"/>
            </w14:solidFill>
          </w14:textFill>
        </w:rPr>
        <w:t>石油炼制工业污染物排放标准</w:t>
      </w:r>
      <w:r>
        <w:rPr>
          <w:rFonts w:hint="default" w:ascii="Times New Roman" w:hAnsi="Times New Roman" w:cs="Times New Roman"/>
          <w:bCs/>
          <w:color w:val="000000" w:themeColor="text1"/>
          <w:kern w:val="2"/>
          <w14:textFill>
            <w14:solidFill>
              <w14:schemeClr w14:val="tx1"/>
            </w14:solidFill>
          </w14:textFill>
        </w:rPr>
        <w:t>》（GB3157</w:t>
      </w:r>
      <w:r>
        <w:rPr>
          <w:rFonts w:hint="default" w:ascii="Times New Roman" w:hAnsi="Times New Roman" w:cs="Times New Roman"/>
          <w:bCs/>
          <w:color w:val="000000" w:themeColor="text1"/>
          <w:kern w:val="2"/>
          <w:lang w:val="en-US" w:eastAsia="zh-CN"/>
          <w14:textFill>
            <w14:solidFill>
              <w14:schemeClr w14:val="tx1"/>
            </w14:solidFill>
          </w14:textFill>
        </w:rPr>
        <w:t>0</w:t>
      </w:r>
      <w:r>
        <w:rPr>
          <w:rFonts w:hint="default" w:ascii="Times New Roman" w:hAnsi="Times New Roman" w:cs="Times New Roman"/>
          <w:bCs/>
          <w:color w:val="000000" w:themeColor="text1"/>
          <w:kern w:val="2"/>
          <w14:textFill>
            <w14:solidFill>
              <w14:schemeClr w14:val="tx1"/>
            </w14:solidFill>
          </w14:textFill>
        </w:rPr>
        <w:t>-2015）表</w:t>
      </w:r>
      <w:r>
        <w:rPr>
          <w:rFonts w:hint="default" w:ascii="Times New Roman" w:hAnsi="Times New Roman" w:cs="Times New Roman"/>
          <w:bCs/>
          <w:color w:val="000000" w:themeColor="text1"/>
          <w:kern w:val="2"/>
          <w:lang w:val="en-US" w:eastAsia="zh-CN"/>
          <w14:textFill>
            <w14:solidFill>
              <w14:schemeClr w14:val="tx1"/>
            </w14:solidFill>
          </w14:textFill>
        </w:rPr>
        <w:t>5</w:t>
      </w:r>
      <w:r>
        <w:rPr>
          <w:rFonts w:hint="default" w:ascii="Times New Roman" w:hAnsi="Times New Roman" w:cs="Times New Roman"/>
          <w:bCs/>
          <w:color w:val="000000" w:themeColor="text1"/>
          <w:kern w:val="2"/>
          <w14:textFill>
            <w14:solidFill>
              <w14:schemeClr w14:val="tx1"/>
            </w14:solidFill>
          </w14:textFill>
        </w:rPr>
        <w:t>中标准限值</w:t>
      </w:r>
      <w:r>
        <w:rPr>
          <w:rFonts w:hint="default" w:ascii="Times New Roman" w:hAnsi="Times New Roman" w:cs="Times New Roman"/>
          <w:bCs/>
          <w:color w:val="000000" w:themeColor="text1"/>
          <w:kern w:val="2"/>
          <w:lang w:eastAsia="zh-CN"/>
          <w14:textFill>
            <w14:solidFill>
              <w14:schemeClr w14:val="tx1"/>
            </w14:solidFill>
          </w14:textFill>
        </w:rPr>
        <w:t>，</w:t>
      </w:r>
      <w:r>
        <w:rPr>
          <w:rFonts w:hint="default" w:ascii="Times New Roman" w:hAnsi="Times New Roman" w:cs="Times New Roman"/>
          <w:bCs/>
          <w:color w:val="000000" w:themeColor="text1"/>
          <w:kern w:val="2"/>
          <w14:textFill>
            <w14:solidFill>
              <w14:schemeClr w14:val="tx1"/>
            </w14:solidFill>
          </w14:textFill>
        </w:rPr>
        <w:t>厂区内挥发性有机物无组织排放执行《挥发性有机物无组织排放控控制标准》（GB37822-2019）表A.1中标准限值。硫化氢和氨参照《恶臭污染物排放标准》（GB14554-93）表1中二级标准要求。标准值详见下表所示。</w:t>
      </w:r>
    </w:p>
    <w:p>
      <w:pPr>
        <w:jc w:val="center"/>
        <w:rPr>
          <w:rFonts w:hint="default" w:ascii="Times New Roman" w:hAnsi="Times New Roman" w:cs="Times New Roman"/>
          <w:color w:val="000000" w:themeColor="text1"/>
          <w14:textFill>
            <w14:solidFill>
              <w14:schemeClr w14:val="tx1"/>
            </w14:solidFill>
          </w14:textFill>
        </w:rPr>
      </w:pPr>
      <w:bookmarkStart w:id="73" w:name="_Ref494179845"/>
      <w:bookmarkStart w:id="74" w:name="_Ref493601444"/>
      <w:r>
        <w:rPr>
          <w:rFonts w:hint="default" w:ascii="Times New Roman" w:hAnsi="Times New Roman" w:cs="Times New Roman"/>
          <w:b/>
          <w:bCs/>
          <w:color w:val="000000" w:themeColor="text1"/>
          <w14:textFill>
            <w14:solidFill>
              <w14:schemeClr w14:val="tx1"/>
            </w14:solidFill>
          </w14:textFill>
        </w:rPr>
        <w:t>表</w:t>
      </w: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STYLEREF 2 \s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6</w:t>
      </w:r>
      <w:r>
        <w:rPr>
          <w:rFonts w:hint="default" w:ascii="Times New Roman" w:hAnsi="Times New Roman" w:cs="Times New Roman"/>
          <w:b/>
          <w:bCs/>
          <w:color w:val="000000" w:themeColor="text1"/>
          <w14:textFill>
            <w14:solidFill>
              <w14:schemeClr w14:val="tx1"/>
            </w14:solidFill>
          </w14:textFill>
        </w:rPr>
        <w:fldChar w:fldCharType="end"/>
      </w:r>
      <w:r>
        <w:rPr>
          <w:rFonts w:hint="default" w:ascii="Times New Roman" w:hAnsi="Times New Roman" w:cs="Times New Roman"/>
          <w:b/>
          <w:bCs/>
          <w:color w:val="000000" w:themeColor="text1"/>
          <w14:textFill>
            <w14:solidFill>
              <w14:schemeClr w14:val="tx1"/>
            </w14:solidFill>
          </w14:textFill>
        </w:rPr>
        <w:noBreakHyphen/>
      </w:r>
      <w:r>
        <w:rPr>
          <w:rFonts w:hint="default" w:ascii="Times New Roman" w:hAnsi="Times New Roman" w:cs="Times New Roman"/>
          <w:b/>
          <w:bCs/>
          <w:color w:val="000000" w:themeColor="text1"/>
          <w14:textFill>
            <w14:solidFill>
              <w14:schemeClr w14:val="tx1"/>
            </w14:solidFill>
          </w14:textFill>
        </w:rPr>
        <w:fldChar w:fldCharType="begin"/>
      </w:r>
      <w:r>
        <w:rPr>
          <w:rFonts w:hint="default" w:ascii="Times New Roman" w:hAnsi="Times New Roman" w:cs="Times New Roman"/>
          <w:b/>
          <w:bCs/>
          <w:color w:val="000000" w:themeColor="text1"/>
          <w14:textFill>
            <w14:solidFill>
              <w14:schemeClr w14:val="tx1"/>
            </w14:solidFill>
          </w14:textFill>
        </w:rPr>
        <w:instrText xml:space="preserve"> SEQ 表 \* ARABIC \s 2 </w:instrText>
      </w:r>
      <w:r>
        <w:rPr>
          <w:rFonts w:hint="default" w:ascii="Times New Roman" w:hAnsi="Times New Roman" w:cs="Times New Roman"/>
          <w:b/>
          <w:bCs/>
          <w:color w:val="000000" w:themeColor="text1"/>
          <w14:textFill>
            <w14:solidFill>
              <w14:schemeClr w14:val="tx1"/>
            </w14:solidFill>
          </w14:textFill>
        </w:rPr>
        <w:fldChar w:fldCharType="separate"/>
      </w:r>
      <w:r>
        <w:rPr>
          <w:rFonts w:hint="default" w:ascii="Times New Roman" w:hAnsi="Times New Roman" w:cs="Times New Roman"/>
          <w:b/>
          <w:bCs/>
          <w:color w:val="000000" w:themeColor="text1"/>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fldChar w:fldCharType="end"/>
      </w:r>
      <w:bookmarkEnd w:id="73"/>
      <w:bookmarkEnd w:id="74"/>
      <w:r>
        <w:rPr>
          <w:rFonts w:hint="default" w:ascii="Times New Roman" w:hAnsi="Times New Roman" w:cs="Times New Roman"/>
          <w:b/>
          <w:bCs/>
          <w:color w:val="000000" w:themeColor="text1"/>
          <w14:textFill>
            <w14:solidFill>
              <w14:schemeClr w14:val="tx1"/>
            </w14:solidFill>
          </w14:textFill>
        </w:rPr>
        <w:t xml:space="preserve"> 《</w:t>
      </w:r>
      <w:r>
        <w:rPr>
          <w:rFonts w:hint="default" w:ascii="Times New Roman" w:hAnsi="Times New Roman" w:cs="Times New Roman"/>
          <w:b/>
          <w:bCs/>
          <w:color w:val="000000" w:themeColor="text1"/>
          <w:lang w:eastAsia="zh-CN"/>
          <w14:textFill>
            <w14:solidFill>
              <w14:schemeClr w14:val="tx1"/>
            </w14:solidFill>
          </w14:textFill>
        </w:rPr>
        <w:t>石油炼制工业污染物排放标准</w:t>
      </w:r>
      <w:r>
        <w:rPr>
          <w:rFonts w:hint="default" w:ascii="Times New Roman" w:hAnsi="Times New Roman" w:cs="Times New Roman"/>
          <w:b/>
          <w:bCs/>
          <w:color w:val="000000" w:themeColor="text1"/>
          <w14:textFill>
            <w14:solidFill>
              <w14:schemeClr w14:val="tx1"/>
            </w14:solidFill>
          </w14:textFill>
        </w:rPr>
        <w:t>》 单位：mg/m</w:t>
      </w:r>
      <w:r>
        <w:rPr>
          <w:rFonts w:hint="default" w:ascii="Times New Roman" w:hAnsi="Times New Roman" w:cs="Times New Roman"/>
          <w:b/>
          <w:bCs/>
          <w:color w:val="000000" w:themeColor="text1"/>
          <w:vertAlign w:val="superscript"/>
          <w14:textFill>
            <w14:solidFill>
              <w14:schemeClr w14:val="tx1"/>
            </w14:solidFill>
          </w14:textFill>
        </w:rPr>
        <w:t>3</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800"/>
        <w:gridCol w:w="1428"/>
        <w:gridCol w:w="51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75" w:type="dxa"/>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序号</w:t>
            </w:r>
          </w:p>
        </w:tc>
        <w:tc>
          <w:tcPr>
            <w:tcW w:w="1800" w:type="dxa"/>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污染物项目</w:t>
            </w:r>
          </w:p>
        </w:tc>
        <w:tc>
          <w:tcPr>
            <w:tcW w:w="1428" w:type="dxa"/>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限值</w:t>
            </w:r>
          </w:p>
        </w:tc>
        <w:tc>
          <w:tcPr>
            <w:tcW w:w="5139" w:type="dxa"/>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5" w:type="dxa"/>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w:t>
            </w:r>
          </w:p>
        </w:tc>
        <w:tc>
          <w:tcPr>
            <w:tcW w:w="1800" w:type="dxa"/>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非甲烷总烃</w:t>
            </w:r>
          </w:p>
        </w:tc>
        <w:tc>
          <w:tcPr>
            <w:tcW w:w="1428" w:type="dxa"/>
            <w:noWrap w:val="0"/>
            <w:vAlign w:val="center"/>
          </w:tcPr>
          <w:p>
            <w:pPr>
              <w:pStyle w:val="14"/>
              <w:keepNext w:val="0"/>
              <w:keepLines w:val="0"/>
              <w:suppressLineNumbers w:val="0"/>
              <w:spacing w:before="0" w:beforeAutospacing="0" w:after="0" w:afterAutospacing="0"/>
              <w:ind w:left="0" w:right="0"/>
              <w:jc w:val="center"/>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4.0</w:t>
            </w:r>
          </w:p>
        </w:tc>
        <w:tc>
          <w:tcPr>
            <w:tcW w:w="5139" w:type="dxa"/>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lang w:eastAsia="zh-CN"/>
                <w14:textFill>
                  <w14:solidFill>
                    <w14:schemeClr w14:val="tx1"/>
                  </w14:solidFill>
                </w14:textFill>
              </w:rPr>
              <w:t>石油炼制工业污染物排放标准</w:t>
            </w:r>
            <w:r>
              <w:rPr>
                <w:rFonts w:hint="default" w:ascii="Times New Roman" w:hAnsi="Times New Roman" w:cs="Times New Roman"/>
                <w:b w:val="0"/>
                <w:color w:val="000000" w:themeColor="text1"/>
                <w:sz w:val="21"/>
                <w:szCs w:val="21"/>
                <w14:textFill>
                  <w14:solidFill>
                    <w14:schemeClr w14:val="tx1"/>
                  </w14:solidFill>
                </w14:textFill>
              </w:rPr>
              <w:t>》（GB3157</w:t>
            </w:r>
            <w:r>
              <w:rPr>
                <w:rFonts w:hint="default" w:ascii="Times New Roman" w:hAnsi="Times New Roman" w:cs="Times New Roman"/>
                <w:b w:val="0"/>
                <w:color w:val="000000" w:themeColor="text1"/>
                <w:sz w:val="21"/>
                <w:szCs w:val="21"/>
                <w:lang w:val="en-US" w:eastAsia="zh-CN"/>
                <w14:textFill>
                  <w14:solidFill>
                    <w14:schemeClr w14:val="tx1"/>
                  </w14:solidFill>
                </w14:textFill>
              </w:rPr>
              <w:t>0</w:t>
            </w:r>
            <w:r>
              <w:rPr>
                <w:rFonts w:hint="default" w:ascii="Times New Roman" w:hAnsi="Times New Roman" w:cs="Times New Roman"/>
                <w:b w:val="0"/>
                <w:color w:val="000000" w:themeColor="text1"/>
                <w:sz w:val="21"/>
                <w:szCs w:val="21"/>
                <w14:textFill>
                  <w14:solidFill>
                    <w14:schemeClr w14:val="tx1"/>
                  </w14:solidFill>
                </w14:textFill>
              </w:rPr>
              <w:t>-2015）表</w:t>
            </w:r>
            <w:r>
              <w:rPr>
                <w:rFonts w:hint="default" w:ascii="Times New Roman" w:hAnsi="Times New Roman" w:cs="Times New Roman"/>
                <w:b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color w:val="000000" w:themeColor="text1"/>
                <w:sz w:val="21"/>
                <w:szCs w:val="21"/>
                <w14:textFill>
                  <w14:solidFill>
                    <w14:schemeClr w14:val="tx1"/>
                  </w14:solidFill>
                </w14:textFill>
              </w:rPr>
              <w:t>企业边界大气污染物浓度限值（任何1小时）</w:t>
            </w:r>
          </w:p>
        </w:tc>
      </w:tr>
    </w:tbl>
    <w:p>
      <w:pPr>
        <w:pStyle w:val="14"/>
        <w:spacing w:line="240" w:lineRule="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表 </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《挥发性有机物无组织排放控制标准》  单位：mg/m</w:t>
      </w:r>
      <w:r>
        <w:rPr>
          <w:rFonts w:hint="default" w:ascii="Times New Roman" w:hAnsi="Times New Roman" w:cs="Times New Roman"/>
          <w:color w:val="000000" w:themeColor="text1"/>
          <w:vertAlign w:val="superscript"/>
          <w14:textFill>
            <w14:solidFill>
              <w14:schemeClr w14:val="tx1"/>
            </w14:solidFill>
          </w14:textFill>
        </w:rPr>
        <w:t>3</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900"/>
        <w:gridCol w:w="930"/>
        <w:gridCol w:w="1357"/>
        <w:gridCol w:w="1422"/>
        <w:gridCol w:w="32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36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污染物项目</w:t>
            </w:r>
          </w:p>
        </w:tc>
        <w:tc>
          <w:tcPr>
            <w:tcW w:w="90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排放限值</w:t>
            </w:r>
          </w:p>
        </w:tc>
        <w:tc>
          <w:tcPr>
            <w:tcW w:w="93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特别排放限值</w:t>
            </w:r>
          </w:p>
        </w:tc>
        <w:tc>
          <w:tcPr>
            <w:tcW w:w="1357"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限值含义</w:t>
            </w:r>
          </w:p>
        </w:tc>
        <w:tc>
          <w:tcPr>
            <w:tcW w:w="1422"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无组织排放监控位置</w:t>
            </w:r>
          </w:p>
        </w:tc>
        <w:tc>
          <w:tcPr>
            <w:tcW w:w="3267"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6"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非甲烷总烃（NMCH）</w:t>
            </w:r>
          </w:p>
        </w:tc>
        <w:tc>
          <w:tcPr>
            <w:tcW w:w="90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10</w:t>
            </w:r>
          </w:p>
        </w:tc>
        <w:tc>
          <w:tcPr>
            <w:tcW w:w="93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6</w:t>
            </w:r>
          </w:p>
        </w:tc>
        <w:tc>
          <w:tcPr>
            <w:tcW w:w="1357"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监控点处1h平均浓度</w:t>
            </w:r>
          </w:p>
        </w:tc>
        <w:tc>
          <w:tcPr>
            <w:tcW w:w="1422"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在厂房外设置监控点</w:t>
            </w:r>
          </w:p>
        </w:tc>
        <w:tc>
          <w:tcPr>
            <w:tcW w:w="3267"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《挥发性有机物无组织排放控制标准》（GB37822-2019）附录A厂区内VOCs无组织排放限值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6"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90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30</w:t>
            </w:r>
          </w:p>
        </w:tc>
        <w:tc>
          <w:tcPr>
            <w:tcW w:w="93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20</w:t>
            </w:r>
          </w:p>
        </w:tc>
        <w:tc>
          <w:tcPr>
            <w:tcW w:w="1357"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监控点处任意一次浓度值</w:t>
            </w:r>
          </w:p>
        </w:tc>
        <w:tc>
          <w:tcPr>
            <w:tcW w:w="1422"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267"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r>
    </w:tbl>
    <w:p>
      <w:pPr>
        <w:pStyle w:val="14"/>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表 </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 xml:space="preserve">  《恶臭污染物排放标准》（GB14554-93）单位：mg/m</w:t>
      </w:r>
      <w:r>
        <w:rPr>
          <w:rFonts w:hint="default" w:ascii="Times New Roman" w:hAnsi="Times New Roman" w:cs="Times New Roman"/>
          <w:color w:val="000000" w:themeColor="text1"/>
          <w:vertAlign w:val="superscript"/>
          <w14:textFill>
            <w14:solidFill>
              <w14:schemeClr w14:val="tx1"/>
            </w14:solidFill>
          </w14:textFill>
        </w:rPr>
        <w:t>3</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433"/>
        <w:gridCol w:w="1239"/>
        <w:gridCol w:w="950"/>
        <w:gridCol w:w="1902"/>
        <w:gridCol w:w="2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61"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序号</w:t>
            </w:r>
          </w:p>
        </w:tc>
        <w:tc>
          <w:tcPr>
            <w:tcW w:w="775"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污染物项目</w:t>
            </w:r>
          </w:p>
        </w:tc>
        <w:tc>
          <w:tcPr>
            <w:tcW w:w="670"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限值</w:t>
            </w:r>
          </w:p>
        </w:tc>
        <w:tc>
          <w:tcPr>
            <w:tcW w:w="514"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单位</w:t>
            </w:r>
          </w:p>
        </w:tc>
        <w:tc>
          <w:tcPr>
            <w:tcW w:w="1029"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监控位置</w:t>
            </w:r>
          </w:p>
        </w:tc>
        <w:tc>
          <w:tcPr>
            <w:tcW w:w="1548"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61" w:type="pct"/>
            <w:vMerge w:val="restar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75"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670"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514"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029" w:type="pct"/>
            <w:vMerge w:val="restar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厂界</w:t>
            </w:r>
          </w:p>
        </w:tc>
        <w:tc>
          <w:tcPr>
            <w:tcW w:w="1548" w:type="pct"/>
            <w:vMerge w:val="restar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《恶臭污染物排放标准》（GB 14554-1993）表1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61" w:type="pct"/>
            <w:vMerge w:val="continue"/>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75"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670"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0.06</w:t>
            </w:r>
          </w:p>
        </w:tc>
        <w:tc>
          <w:tcPr>
            <w:tcW w:w="514" w:type="pct"/>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029" w:type="pct"/>
            <w:vMerge w:val="continue"/>
            <w:noWrap w:val="0"/>
            <w:vAlign w:val="center"/>
          </w:tcPr>
          <w:p>
            <w:pPr>
              <w:keepNext w:val="0"/>
              <w:keepLines w:val="0"/>
              <w:suppressLineNumbers w:val="0"/>
              <w:spacing w:before="48" w:beforeLines="20" w:beforeAutospacing="0" w:after="48" w:afterLines="20" w:afterAutospacing="0"/>
              <w:ind w:left="0" w:right="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p>
        </w:tc>
        <w:tc>
          <w:tcPr>
            <w:tcW w:w="1548" w:type="pct"/>
            <w:vMerge w:val="continue"/>
            <w:noWrap w:val="0"/>
            <w:vAlign w:val="center"/>
          </w:tcPr>
          <w:p>
            <w:pPr>
              <w:keepNext w:val="0"/>
              <w:keepLines w:val="0"/>
              <w:suppressLineNumbers w:val="0"/>
              <w:spacing w:before="48" w:beforeLines="20" w:beforeAutospacing="0" w:after="48" w:afterLines="20" w:afterAutospacing="0"/>
              <w:ind w:left="0" w:right="0" w:firstLine="420"/>
              <w:jc w:val="center"/>
              <w:rPr>
                <w:rFonts w:hint="default" w:ascii="Times New Roman" w:hAnsi="Times New Roman" w:eastAsia="宋体" w:cs="Times New Roman"/>
                <w:snapToGrid w:val="0"/>
                <w:color w:val="000000" w:themeColor="text1"/>
                <w:sz w:val="21"/>
                <w:szCs w:val="21"/>
                <w14:textFill>
                  <w14:solidFill>
                    <w14:schemeClr w14:val="tx1"/>
                  </w14:solidFill>
                </w14:textFill>
              </w:rPr>
            </w:pPr>
          </w:p>
        </w:tc>
      </w:tr>
    </w:tbl>
    <w:p>
      <w:pPr>
        <w:pStyle w:val="93"/>
        <w:keepNext w:val="0"/>
        <w:keepLines w:val="0"/>
        <w:rPr>
          <w:color w:val="000000" w:themeColor="text1"/>
          <w14:textFill>
            <w14:solidFill>
              <w14:schemeClr w14:val="tx1"/>
            </w14:solidFill>
          </w14:textFill>
        </w:rPr>
      </w:pPr>
      <w:r>
        <w:rPr>
          <w:color w:val="000000" w:themeColor="text1"/>
          <w14:textFill>
            <w14:solidFill>
              <w14:schemeClr w14:val="tx1"/>
            </w14:solidFill>
          </w14:textFill>
        </w:rPr>
        <w:t>废水</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项目废水排放执行《</w:t>
      </w:r>
      <w:r>
        <w:rPr>
          <w:rFonts w:hint="eastAsia" w:cs="Times New Roman"/>
          <w:color w:val="000000" w:themeColor="text1"/>
          <w:lang w:eastAsia="zh-CN"/>
          <w14:textFill>
            <w14:solidFill>
              <w14:schemeClr w14:val="tx1"/>
            </w14:solidFill>
          </w14:textFill>
        </w:rPr>
        <w:t>石油炼制工业污染物排放标准</w:t>
      </w:r>
      <w:r>
        <w:rPr>
          <w:rFonts w:hint="default" w:ascii="Times New Roman" w:hAnsi="Times New Roman" w:cs="Times New Roman"/>
          <w:color w:val="000000" w:themeColor="text1"/>
          <w14:textFill>
            <w14:solidFill>
              <w14:schemeClr w14:val="tx1"/>
            </w14:solidFill>
          </w14:textFill>
        </w:rPr>
        <w:t>》（GB3157</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-2015）表2水污染物特别排放限值中的间接排放限值，且满足巴陵石化水务部云溪生化装置进水水质标准；巴陵石化水务部云溪生化装置外排废水污染物中COD、TP、TN、NH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-N执行《</w:t>
      </w:r>
      <w:r>
        <w:rPr>
          <w:rFonts w:hint="eastAsia" w:cs="Times New Roman"/>
          <w:color w:val="000000" w:themeColor="text1"/>
          <w:lang w:eastAsia="zh-CN"/>
          <w14:textFill>
            <w14:solidFill>
              <w14:schemeClr w14:val="tx1"/>
            </w14:solidFill>
          </w14:textFill>
        </w:rPr>
        <w:t>石油炼制工业污染物排放标准</w:t>
      </w:r>
      <w:r>
        <w:rPr>
          <w:rFonts w:hint="default" w:ascii="Times New Roman" w:hAnsi="Times New Roman" w:cs="Times New Roman"/>
          <w:color w:val="000000" w:themeColor="text1"/>
          <w14:textFill>
            <w14:solidFill>
              <w14:schemeClr w14:val="tx1"/>
            </w14:solidFill>
          </w14:textFill>
        </w:rPr>
        <w:t>》（GB3157</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-2015）表2水污染物特别排放限值中的直接排放限值，其余因子执行表1水污染排放限值直接排放限值，具体见下表所示。</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企业污水排放标准（摘录） 单位：mg/L（pH 除外）</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546"/>
        <w:gridCol w:w="3658"/>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restart"/>
            <w:tcBorders>
              <w:top w:val="single" w:color="auto" w:sz="12" w:space="0"/>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序号</w:t>
            </w:r>
          </w:p>
        </w:tc>
        <w:tc>
          <w:tcPr>
            <w:tcW w:w="1546" w:type="dxa"/>
            <w:vMerge w:val="restart"/>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项目</w:t>
            </w:r>
          </w:p>
        </w:tc>
        <w:tc>
          <w:tcPr>
            <w:tcW w:w="6503" w:type="dxa"/>
            <w:gridSpan w:val="2"/>
            <w:tcBorders>
              <w:top w:val="single" w:color="auto" w:sz="12" w:space="0"/>
              <w:righ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最高允许浓度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1546"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（GB3157</w:t>
            </w:r>
            <w:r>
              <w:rPr>
                <w:rFonts w:hint="eastAsia" w:cs="Times New Roman"/>
                <w:b w:val="0"/>
                <w:color w:val="000000" w:themeColor="text1"/>
                <w:sz w:val="21"/>
                <w:szCs w:val="21"/>
                <w:lang w:val="en-US" w:eastAsia="zh-CN"/>
                <w14:textFill>
                  <w14:solidFill>
                    <w14:schemeClr w14:val="tx1"/>
                  </w14:solidFill>
                </w14:textFill>
              </w:rPr>
              <w:t>0</w:t>
            </w:r>
            <w:r>
              <w:rPr>
                <w:rFonts w:hint="default" w:ascii="Times New Roman" w:hAnsi="Times New Roman" w:cs="Times New Roman"/>
                <w:b w:val="0"/>
                <w:color w:val="000000" w:themeColor="text1"/>
                <w:sz w:val="21"/>
                <w:szCs w:val="21"/>
                <w14:textFill>
                  <w14:solidFill>
                    <w14:schemeClr w14:val="tx1"/>
                  </w14:solidFill>
                </w14:textFill>
              </w:rPr>
              <w:t>-2015）表2 中间接限值</w:t>
            </w:r>
          </w:p>
        </w:tc>
        <w:tc>
          <w:tcPr>
            <w:tcW w:w="2845" w:type="dxa"/>
            <w:tcBorders>
              <w:righ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污水处理厂纳污标准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pH</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righ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COD</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righ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BOD</w:t>
            </w:r>
            <w:r>
              <w:rPr>
                <w:rFonts w:hint="default" w:ascii="Times New Roman" w:hAnsi="Times New Roman" w:cs="Times New Roman"/>
                <w:b w:val="0"/>
                <w:color w:val="000000" w:themeColor="text1"/>
                <w:sz w:val="21"/>
                <w:szCs w:val="21"/>
                <w:vertAlign w:val="subscript"/>
                <w14:textFill>
                  <w14:solidFill>
                    <w14:schemeClr w14:val="tx1"/>
                  </w14:solidFill>
                </w14:textFill>
              </w:rPr>
              <w:t>5</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4</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氨氮</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5</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SS</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6</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石油类</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15</w:t>
            </w:r>
          </w:p>
        </w:tc>
        <w:tc>
          <w:tcPr>
            <w:tcW w:w="284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7</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总氮</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8</w:t>
            </w:r>
          </w:p>
        </w:tc>
        <w:tc>
          <w:tcPr>
            <w:tcW w:w="154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总磷</w:t>
            </w:r>
          </w:p>
        </w:tc>
        <w:tc>
          <w:tcPr>
            <w:tcW w:w="365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tcBorders>
              <w:left w:val="nil"/>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9</w:t>
            </w:r>
          </w:p>
        </w:tc>
        <w:tc>
          <w:tcPr>
            <w:tcW w:w="1546" w:type="dxa"/>
            <w:tcBorders>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总有机碳</w:t>
            </w:r>
          </w:p>
        </w:tc>
        <w:tc>
          <w:tcPr>
            <w:tcW w:w="3658" w:type="dxa"/>
            <w:tcBorders>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2845" w:type="dxa"/>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w:t>
            </w:r>
          </w:p>
        </w:tc>
      </w:tr>
    </w:tbl>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废</w:t>
      </w:r>
      <w:r>
        <w:rPr>
          <w:color w:val="000000" w:themeColor="text1"/>
          <w:spacing w:val="-5"/>
          <w14:textFill>
            <w14:solidFill>
              <w14:schemeClr w14:val="tx1"/>
            </w14:solidFill>
          </w14:textFill>
        </w:rPr>
        <w:t>水</w:t>
      </w:r>
      <w:r>
        <w:rPr>
          <w:color w:val="000000" w:themeColor="text1"/>
          <w14:textFill>
            <w14:solidFill>
              <w14:schemeClr w14:val="tx1"/>
            </w14:solidFill>
          </w14:textFill>
        </w:rPr>
        <w:t>污染物</w:t>
      </w:r>
      <w:r>
        <w:rPr>
          <w:color w:val="000000" w:themeColor="text1"/>
          <w:spacing w:val="-5"/>
          <w14:textFill>
            <w14:solidFill>
              <w14:schemeClr w14:val="tx1"/>
            </w14:solidFill>
          </w14:textFill>
        </w:rPr>
        <w:t>最</w:t>
      </w:r>
      <w:r>
        <w:rPr>
          <w:color w:val="000000" w:themeColor="text1"/>
          <w14:textFill>
            <w14:solidFill>
              <w14:schemeClr w14:val="tx1"/>
            </w14:solidFill>
          </w14:textFill>
        </w:rPr>
        <w:t>高允许排</w:t>
      </w:r>
      <w:r>
        <w:rPr>
          <w:color w:val="000000" w:themeColor="text1"/>
          <w:spacing w:val="-5"/>
          <w14:textFill>
            <w14:solidFill>
              <w14:schemeClr w14:val="tx1"/>
            </w14:solidFill>
          </w14:textFill>
        </w:rPr>
        <w:t>放</w:t>
      </w:r>
      <w:r>
        <w:rPr>
          <w:color w:val="000000" w:themeColor="text1"/>
          <w14:textFill>
            <w14:solidFill>
              <w14:schemeClr w14:val="tx1"/>
            </w14:solidFill>
          </w14:textFill>
        </w:rPr>
        <w:t>浓度</w:t>
      </w:r>
    </w:p>
    <w:p>
      <w:pPr>
        <w:pStyle w:val="14"/>
        <w:spacing w:line="240" w:lineRule="auto"/>
        <w:rPr>
          <w:color w:val="000000" w:themeColor="text1"/>
          <w14:textFill>
            <w14:solidFill>
              <w14:schemeClr w14:val="tx1"/>
            </w14:solidFill>
          </w14:textFill>
        </w:rPr>
      </w:pPr>
      <w:r>
        <w:rPr>
          <w:color w:val="000000" w:themeColor="text1"/>
          <w:spacing w:val="-5"/>
          <w14:textFill>
            <w14:solidFill>
              <w14:schemeClr w14:val="tx1"/>
            </w14:solidFill>
          </w14:textFill>
        </w:rPr>
        <w:t>（</w:t>
      </w:r>
      <w:r>
        <w:rPr>
          <w:color w:val="000000" w:themeColor="text1"/>
          <w14:textFill>
            <w14:solidFill>
              <w14:schemeClr w14:val="tx1"/>
            </w14:solidFill>
          </w14:textFill>
        </w:rPr>
        <w:t>单位：</w:t>
      </w:r>
      <w:r>
        <w:rPr>
          <w:rFonts w:eastAsia="Times New Roman"/>
          <w:color w:val="000000" w:themeColor="text1"/>
          <w14:textFill>
            <w14:solidFill>
              <w14:schemeClr w14:val="tx1"/>
            </w14:solidFill>
          </w14:textFill>
        </w:rPr>
        <w:t>mg/L</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pH</w:t>
      </w:r>
      <w:r>
        <w:rPr>
          <w:rFonts w:eastAsia="Times New Roman"/>
          <w:color w:val="000000" w:themeColor="text1"/>
          <w:spacing w:val="-2"/>
          <w14:textFill>
            <w14:solidFill>
              <w14:schemeClr w14:val="tx1"/>
            </w14:solidFill>
          </w14:textFill>
        </w:rPr>
        <w:t xml:space="preserve"> </w:t>
      </w:r>
      <w:r>
        <w:rPr>
          <w:color w:val="000000" w:themeColor="text1"/>
          <w14:textFill>
            <w14:solidFill>
              <w14:schemeClr w14:val="tx1"/>
            </w14:solidFill>
          </w14:textFill>
        </w:rPr>
        <w:t>除外）</w:t>
      </w:r>
    </w:p>
    <w:tbl>
      <w:tblPr>
        <w:tblStyle w:val="41"/>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890"/>
        <w:gridCol w:w="458"/>
        <w:gridCol w:w="754"/>
        <w:gridCol w:w="822"/>
        <w:gridCol w:w="897"/>
        <w:gridCol w:w="640"/>
        <w:gridCol w:w="527"/>
        <w:gridCol w:w="586"/>
        <w:gridCol w:w="730"/>
        <w:gridCol w:w="7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1" w:hRule="atLeast"/>
        </w:trPr>
        <w:tc>
          <w:tcPr>
            <w:tcW w:w="0" w:type="auto"/>
            <w:tcBorders>
              <w:left w:val="nil"/>
              <w:bottom w:val="single" w:color="000000" w:sz="6" w:space="0"/>
              <w:right w:val="single" w:color="000000" w:sz="6" w:space="0"/>
            </w:tcBorders>
            <w:noWrap w:val="0"/>
            <w:vAlign w:val="center"/>
          </w:tcPr>
          <w:p>
            <w:pPr>
              <w:pStyle w:val="112"/>
              <w:keepNext w:val="0"/>
              <w:keepLines w:val="0"/>
              <w:suppressLineNumbers w:val="0"/>
              <w:spacing w:before="25" w:beforeAutospacing="0" w:after="0" w:afterAutospacing="0"/>
              <w:ind w:left="455" w:right="431"/>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污染物</w:t>
            </w:r>
          </w:p>
        </w:tc>
        <w:tc>
          <w:tcPr>
            <w:tcW w:w="0" w:type="auto"/>
            <w:tcBorders>
              <w:left w:val="single" w:color="000000" w:sz="6" w:space="0"/>
              <w:bottom w:val="single" w:color="000000" w:sz="6" w:space="0"/>
              <w:right w:val="single" w:color="000000" w:sz="6" w:space="0"/>
            </w:tcBorders>
            <w:noWrap w:val="0"/>
            <w:vAlign w:val="center"/>
          </w:tcPr>
          <w:p>
            <w:pPr>
              <w:pStyle w:val="112"/>
              <w:keepNext w:val="0"/>
              <w:keepLines w:val="0"/>
              <w:suppressLineNumbers w:val="0"/>
              <w:spacing w:before="35" w:beforeAutospacing="0" w:after="0" w:afterAutospacing="0"/>
              <w:ind w:left="97" w:right="62"/>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pH</w:t>
            </w:r>
          </w:p>
        </w:tc>
        <w:tc>
          <w:tcPr>
            <w:tcW w:w="0" w:type="auto"/>
            <w:tcBorders>
              <w:left w:val="single" w:color="000000" w:sz="6" w:space="0"/>
              <w:bottom w:val="single" w:color="000000" w:sz="6" w:space="0"/>
              <w:right w:val="single" w:color="000000" w:sz="6" w:space="0"/>
            </w:tcBorders>
            <w:noWrap w:val="0"/>
            <w:vAlign w:val="center"/>
          </w:tcPr>
          <w:p>
            <w:pPr>
              <w:pStyle w:val="112"/>
              <w:keepNext w:val="0"/>
              <w:keepLines w:val="0"/>
              <w:suppressLineNumbers w:val="0"/>
              <w:spacing w:before="35" w:beforeAutospacing="0" w:after="0" w:afterAutospacing="0"/>
              <w:ind w:left="161" w:right="133"/>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COD</w:t>
            </w:r>
          </w:p>
        </w:tc>
        <w:tc>
          <w:tcPr>
            <w:tcW w:w="0" w:type="auto"/>
            <w:tcBorders>
              <w:left w:val="single" w:color="000000" w:sz="6" w:space="0"/>
              <w:bottom w:val="single" w:color="000000" w:sz="6" w:space="0"/>
              <w:right w:val="single" w:color="000000" w:sz="6" w:space="0"/>
            </w:tcBorders>
            <w:noWrap w:val="0"/>
            <w:vAlign w:val="center"/>
          </w:tcPr>
          <w:p>
            <w:pPr>
              <w:pStyle w:val="112"/>
              <w:keepNext w:val="0"/>
              <w:keepLines w:val="0"/>
              <w:suppressLineNumbers w:val="0"/>
              <w:spacing w:before="35" w:beforeAutospacing="0" w:after="0" w:afterAutospacing="0"/>
              <w:ind w:left="161" w:right="133"/>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BOD</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5</w:t>
            </w:r>
          </w:p>
        </w:tc>
        <w:tc>
          <w:tcPr>
            <w:tcW w:w="0" w:type="auto"/>
            <w:tcBorders>
              <w:left w:val="single" w:color="000000" w:sz="6" w:space="0"/>
              <w:bottom w:val="single" w:color="000000" w:sz="6" w:space="0"/>
              <w:right w:val="single" w:color="000000" w:sz="6" w:space="0"/>
            </w:tcBorders>
            <w:noWrap w:val="0"/>
            <w:vAlign w:val="center"/>
          </w:tcPr>
          <w:p>
            <w:pPr>
              <w:pStyle w:val="112"/>
              <w:keepNext w:val="0"/>
              <w:keepLines w:val="0"/>
              <w:suppressLineNumbers w:val="0"/>
              <w:spacing w:before="35" w:beforeAutospacing="0" w:after="0" w:afterAutospacing="0"/>
              <w:ind w:left="161" w:right="127"/>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NH</w:t>
            </w:r>
            <w:r>
              <w:rPr>
                <w:rFonts w:hint="default" w:ascii="Times New Roman" w:hAnsi="Times New Roman" w:cs="Times New Roman"/>
                <w:bCs/>
                <w:color w:val="000000" w:themeColor="text1"/>
                <w:sz w:val="21"/>
                <w:szCs w:val="21"/>
                <w:vertAlign w:val="subscript"/>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-N</w:t>
            </w:r>
          </w:p>
        </w:tc>
        <w:tc>
          <w:tcPr>
            <w:tcW w:w="0" w:type="auto"/>
            <w:tcBorders>
              <w:left w:val="single" w:color="000000" w:sz="6" w:space="0"/>
              <w:bottom w:val="single" w:color="000000" w:sz="6" w:space="0"/>
              <w:right w:val="single" w:color="000000" w:sz="6" w:space="0"/>
            </w:tcBorders>
            <w:noWrap w:val="0"/>
            <w:vAlign w:val="center"/>
          </w:tcPr>
          <w:p>
            <w:pPr>
              <w:pStyle w:val="112"/>
              <w:keepNext w:val="0"/>
              <w:keepLines w:val="0"/>
              <w:suppressLineNumbers w:val="0"/>
              <w:spacing w:before="25" w:beforeAutospacing="0" w:after="0" w:afterAutospacing="0"/>
              <w:ind w:left="158" w:right="123"/>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总氮</w:t>
            </w:r>
          </w:p>
        </w:tc>
        <w:tc>
          <w:tcPr>
            <w:tcW w:w="0" w:type="auto"/>
            <w:tcBorders>
              <w:left w:val="single" w:color="000000" w:sz="6" w:space="0"/>
              <w:bottom w:val="single" w:color="000000" w:sz="6" w:space="0"/>
              <w:right w:val="single" w:color="000000" w:sz="6" w:space="0"/>
            </w:tcBorders>
            <w:noWrap w:val="0"/>
            <w:vAlign w:val="center"/>
          </w:tcPr>
          <w:p>
            <w:pPr>
              <w:pStyle w:val="112"/>
              <w:keepNext w:val="0"/>
              <w:keepLines w:val="0"/>
              <w:suppressLineNumbers w:val="0"/>
              <w:spacing w:before="35" w:beforeAutospacing="0" w:after="0" w:afterAutospacing="0"/>
              <w:ind w:left="157" w:right="12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SS</w:t>
            </w:r>
          </w:p>
        </w:tc>
        <w:tc>
          <w:tcPr>
            <w:tcW w:w="0" w:type="auto"/>
            <w:tcBorders>
              <w:left w:val="single" w:color="000000" w:sz="6" w:space="0"/>
              <w:bottom w:val="single" w:color="000000" w:sz="6" w:space="0"/>
              <w:right w:val="single" w:color="000000" w:sz="6" w:space="0"/>
            </w:tcBorders>
            <w:noWrap w:val="0"/>
            <w:vAlign w:val="center"/>
          </w:tcPr>
          <w:p>
            <w:pPr>
              <w:pStyle w:val="112"/>
              <w:keepNext w:val="0"/>
              <w:keepLines w:val="0"/>
              <w:suppressLineNumbers w:val="0"/>
              <w:spacing w:before="25" w:beforeAutospacing="0" w:after="0" w:afterAutospacing="0"/>
              <w:ind w:left="124" w:right="85"/>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总磷</w:t>
            </w:r>
          </w:p>
        </w:tc>
        <w:tc>
          <w:tcPr>
            <w:tcW w:w="0" w:type="auto"/>
            <w:tcBorders>
              <w:left w:val="single" w:color="000000" w:sz="6" w:space="0"/>
              <w:bottom w:val="single" w:color="000000" w:sz="6" w:space="0"/>
              <w:right w:val="nil"/>
            </w:tcBorders>
            <w:noWrap w:val="0"/>
            <w:vAlign w:val="center"/>
          </w:tcPr>
          <w:p>
            <w:pPr>
              <w:pStyle w:val="112"/>
              <w:keepNext w:val="0"/>
              <w:keepLines w:val="0"/>
              <w:suppressLineNumbers w:val="0"/>
              <w:spacing w:before="25" w:beforeAutospacing="0" w:after="0" w:afterAutospacing="0"/>
              <w:ind w:left="146" w:right="93"/>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石油类</w:t>
            </w:r>
          </w:p>
        </w:tc>
        <w:tc>
          <w:tcPr>
            <w:tcW w:w="0" w:type="auto"/>
            <w:tcBorders>
              <w:left w:val="single" w:color="000000" w:sz="6" w:space="0"/>
              <w:bottom w:val="single" w:color="000000" w:sz="6" w:space="0"/>
              <w:right w:val="nil"/>
            </w:tcBorders>
            <w:noWrap w:val="0"/>
            <w:vAlign w:val="center"/>
          </w:tcPr>
          <w:p>
            <w:pPr>
              <w:pStyle w:val="112"/>
              <w:keepNext w:val="0"/>
              <w:keepLines w:val="0"/>
              <w:suppressLineNumbers w:val="0"/>
              <w:spacing w:before="25" w:beforeAutospacing="0" w:after="0" w:afterAutospacing="0"/>
              <w:ind w:left="146" w:right="93"/>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硫化物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0" w:type="auto"/>
            <w:tcBorders>
              <w:top w:val="single" w:color="000000" w:sz="6" w:space="0"/>
              <w:left w:val="nil"/>
              <w:right w:val="single" w:color="000000" w:sz="6" w:space="0"/>
            </w:tcBorders>
            <w:noWrap w:val="0"/>
            <w:vAlign w:val="center"/>
          </w:tcPr>
          <w:p>
            <w:pPr>
              <w:pStyle w:val="112"/>
              <w:keepNext w:val="0"/>
              <w:keepLines w:val="0"/>
              <w:suppressLineNumbers w:val="0"/>
              <w:spacing w:before="1" w:beforeAutospacing="0" w:after="0" w:afterAutospacing="0" w:line="249" w:lineRule="exact"/>
              <w:ind w:left="459" w:right="431"/>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GB3157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Times New Roman" w:cs="Times New Roman"/>
                <w:color w:val="000000" w:themeColor="text1"/>
                <w:sz w:val="21"/>
                <w:szCs w:val="21"/>
                <w14:textFill>
                  <w14:solidFill>
                    <w14:schemeClr w14:val="tx1"/>
                  </w14:solidFill>
                </w14:textFill>
              </w:rPr>
              <w:t>-2015</w:t>
            </w:r>
            <w:r>
              <w:rPr>
                <w:rFonts w:hint="default" w:ascii="Times New Roman" w:hAnsi="Times New Roman" w:cs="Times New Roman"/>
                <w:color w:val="000000" w:themeColor="text1"/>
                <w:sz w:val="21"/>
                <w:szCs w:val="21"/>
                <w14:textFill>
                  <w14:solidFill>
                    <w14:schemeClr w14:val="tx1"/>
                  </w14:solidFill>
                </w14:textFill>
              </w:rPr>
              <w:t>）限值</w:t>
            </w:r>
          </w:p>
        </w:tc>
        <w:tc>
          <w:tcPr>
            <w:tcW w:w="0" w:type="auto"/>
            <w:tcBorders>
              <w:top w:val="single" w:color="000000" w:sz="6" w:space="0"/>
              <w:left w:val="single" w:color="000000" w:sz="6" w:space="0"/>
              <w:right w:val="single" w:color="000000" w:sz="6" w:space="0"/>
            </w:tcBorders>
            <w:noWrap w:val="0"/>
            <w:vAlign w:val="center"/>
          </w:tcPr>
          <w:p>
            <w:pPr>
              <w:pStyle w:val="112"/>
              <w:keepNext w:val="0"/>
              <w:keepLines w:val="0"/>
              <w:suppressLineNumbers w:val="0"/>
              <w:spacing w:before="7" w:beforeAutospacing="0" w:after="0" w:afterAutospacing="0"/>
              <w:ind w:left="100"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0" w:type="auto"/>
            <w:tcBorders>
              <w:top w:val="single" w:color="000000" w:sz="6" w:space="0"/>
              <w:left w:val="single" w:color="000000" w:sz="6" w:space="0"/>
              <w:right w:val="single" w:color="000000" w:sz="6" w:space="0"/>
            </w:tcBorders>
            <w:noWrap w:val="0"/>
            <w:vAlign w:val="center"/>
          </w:tcPr>
          <w:p>
            <w:pPr>
              <w:pStyle w:val="112"/>
              <w:keepNext w:val="0"/>
              <w:keepLines w:val="0"/>
              <w:suppressLineNumbers w:val="0"/>
              <w:spacing w:before="7" w:beforeAutospacing="0" w:after="0" w:afterAutospacing="0"/>
              <w:ind w:left="161" w:right="12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0" w:type="auto"/>
            <w:tcBorders>
              <w:top w:val="single" w:color="000000" w:sz="6" w:space="0"/>
              <w:left w:val="single" w:color="000000" w:sz="6" w:space="0"/>
              <w:right w:val="single" w:color="000000" w:sz="6" w:space="0"/>
            </w:tcBorders>
            <w:noWrap w:val="0"/>
            <w:vAlign w:val="center"/>
          </w:tcPr>
          <w:p>
            <w:pPr>
              <w:pStyle w:val="112"/>
              <w:keepNext w:val="0"/>
              <w:keepLines w:val="0"/>
              <w:suppressLineNumbers w:val="0"/>
              <w:spacing w:before="7" w:beforeAutospacing="0" w:after="0" w:afterAutospacing="0"/>
              <w:ind w:left="161" w:right="12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0" w:type="auto"/>
            <w:tcBorders>
              <w:top w:val="single" w:color="000000" w:sz="6" w:space="0"/>
              <w:left w:val="single" w:color="000000" w:sz="6" w:space="0"/>
              <w:right w:val="single" w:color="000000" w:sz="6" w:space="0"/>
            </w:tcBorders>
            <w:noWrap w:val="0"/>
            <w:vAlign w:val="center"/>
          </w:tcPr>
          <w:p>
            <w:pPr>
              <w:pStyle w:val="112"/>
              <w:keepNext w:val="0"/>
              <w:keepLines w:val="0"/>
              <w:suppressLineNumbers w:val="0"/>
              <w:spacing w:before="7" w:beforeAutospacing="0" w:after="0" w:afterAutospacing="0"/>
              <w:ind w:left="157" w:right="1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0" w:type="auto"/>
            <w:tcBorders>
              <w:top w:val="single" w:color="000000" w:sz="6" w:space="0"/>
              <w:left w:val="single" w:color="000000" w:sz="6" w:space="0"/>
              <w:right w:val="single" w:color="000000" w:sz="6" w:space="0"/>
            </w:tcBorders>
            <w:noWrap w:val="0"/>
            <w:vAlign w:val="center"/>
          </w:tcPr>
          <w:p>
            <w:pPr>
              <w:pStyle w:val="112"/>
              <w:keepNext w:val="0"/>
              <w:keepLines w:val="0"/>
              <w:suppressLineNumbers w:val="0"/>
              <w:spacing w:before="7" w:beforeAutospacing="0" w:after="0" w:afterAutospacing="0"/>
              <w:ind w:left="157" w:right="12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w:t>
            </w:r>
          </w:p>
        </w:tc>
        <w:tc>
          <w:tcPr>
            <w:tcW w:w="0" w:type="auto"/>
            <w:tcBorders>
              <w:top w:val="single" w:color="000000" w:sz="6" w:space="0"/>
              <w:left w:val="single" w:color="000000" w:sz="6" w:space="0"/>
              <w:right w:val="single" w:color="000000" w:sz="6" w:space="0"/>
            </w:tcBorders>
            <w:noWrap w:val="0"/>
            <w:vAlign w:val="center"/>
          </w:tcPr>
          <w:p>
            <w:pPr>
              <w:pStyle w:val="112"/>
              <w:keepNext w:val="0"/>
              <w:keepLines w:val="0"/>
              <w:suppressLineNumbers w:val="0"/>
              <w:spacing w:before="7" w:beforeAutospacing="0" w:after="0" w:afterAutospacing="0"/>
              <w:ind w:left="157" w:right="12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0" w:type="auto"/>
            <w:tcBorders>
              <w:top w:val="single" w:color="000000" w:sz="6" w:space="0"/>
              <w:left w:val="single" w:color="000000" w:sz="6" w:space="0"/>
              <w:right w:val="single" w:color="000000" w:sz="6" w:space="0"/>
            </w:tcBorders>
            <w:noWrap w:val="0"/>
            <w:vAlign w:val="center"/>
          </w:tcPr>
          <w:p>
            <w:pPr>
              <w:pStyle w:val="112"/>
              <w:keepNext w:val="0"/>
              <w:keepLines w:val="0"/>
              <w:suppressLineNumbers w:val="0"/>
              <w:spacing w:before="7" w:beforeAutospacing="0" w:after="0" w:afterAutospacing="0"/>
              <w:ind w:left="124" w:right="8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0.5</w:t>
            </w:r>
          </w:p>
        </w:tc>
        <w:tc>
          <w:tcPr>
            <w:tcW w:w="0" w:type="auto"/>
            <w:tcBorders>
              <w:top w:val="single" w:color="000000" w:sz="6" w:space="0"/>
              <w:left w:val="single" w:color="000000" w:sz="6" w:space="0"/>
              <w:right w:val="nil"/>
            </w:tcBorders>
            <w:noWrap w:val="0"/>
            <w:vAlign w:val="center"/>
          </w:tcPr>
          <w:p>
            <w:pPr>
              <w:pStyle w:val="112"/>
              <w:keepNext w:val="0"/>
              <w:keepLines w:val="0"/>
              <w:suppressLineNumbers w:val="0"/>
              <w:spacing w:before="7" w:beforeAutospacing="0" w:after="0" w:afterAutospacing="0"/>
              <w:ind w:left="51"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0" w:type="auto"/>
            <w:tcBorders>
              <w:top w:val="single" w:color="000000" w:sz="6" w:space="0"/>
              <w:left w:val="single" w:color="000000" w:sz="6" w:space="0"/>
              <w:right w:val="nil"/>
            </w:tcBorders>
            <w:noWrap w:val="0"/>
            <w:vAlign w:val="center"/>
          </w:tcPr>
          <w:p>
            <w:pPr>
              <w:pStyle w:val="112"/>
              <w:keepNext w:val="0"/>
              <w:keepLines w:val="0"/>
              <w:suppressLineNumbers w:val="0"/>
              <w:spacing w:before="7" w:beforeAutospacing="0" w:after="0" w:afterAutospacing="0"/>
              <w:ind w:left="51"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0.5</w:t>
            </w:r>
          </w:p>
        </w:tc>
      </w:tr>
    </w:tbl>
    <w:p>
      <w:pPr>
        <w:pStyle w:val="93"/>
        <w:rPr>
          <w:color w:val="000000" w:themeColor="text1"/>
          <w14:textFill>
            <w14:solidFill>
              <w14:schemeClr w14:val="tx1"/>
            </w14:solidFill>
          </w14:textFill>
        </w:rPr>
      </w:pPr>
      <w:r>
        <w:rPr>
          <w:color w:val="000000" w:themeColor="text1"/>
          <w14:textFill>
            <w14:solidFill>
              <w14:schemeClr w14:val="tx1"/>
            </w14:solidFill>
          </w14:textFill>
        </w:rPr>
        <w:t>噪声</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施工期噪声执行《建筑施工场界环境噪声排放标准》(GB 12523-2011)标准；标准值见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_Ref493601962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t>，营运期厂界执行《工业企业厂界环境噪声排放标准》（GB12348-2008）3类区标准，具体见下表所示。</w:t>
      </w:r>
    </w:p>
    <w:p>
      <w:pPr>
        <w:pStyle w:val="93"/>
        <w:numPr>
          <w:ilvl w:val="0"/>
          <w:numId w:val="0"/>
        </w:numPr>
        <w:spacing w:line="240" w:lineRule="auto"/>
        <w:jc w:val="center"/>
        <w:outlineLvl w:val="9"/>
        <w:rPr>
          <w:color w:val="000000" w:themeColor="text1"/>
          <w:szCs w:val="21"/>
          <w14:textFill>
            <w14:solidFill>
              <w14:schemeClr w14:val="tx1"/>
            </w14:solidFill>
          </w14:textFill>
        </w:rPr>
      </w:pPr>
      <w:bookmarkStart w:id="75" w:name="_Ref493601962"/>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bookmarkEnd w:id="75"/>
      <w:r>
        <w:rPr>
          <w:color w:val="000000" w:themeColor="text1"/>
          <w14:textFill>
            <w14:solidFill>
              <w14:schemeClr w14:val="tx1"/>
            </w14:solidFill>
          </w14:textFill>
        </w:rPr>
        <w:t xml:space="preserve"> 《建筑施工场界环境噪声排放标准》 </w:t>
      </w:r>
      <w:r>
        <w:rPr>
          <w:bCs w:val="0"/>
          <w:color w:val="000000" w:themeColor="text1"/>
          <w:szCs w:val="21"/>
          <w14:textFill>
            <w14:solidFill>
              <w14:schemeClr w14:val="tx1"/>
            </w14:solidFill>
          </w14:textFill>
        </w:rPr>
        <w:t>单位：dB（A）</w:t>
      </w:r>
    </w:p>
    <w:tbl>
      <w:tblPr>
        <w:tblStyle w:val="41"/>
        <w:tblW w:w="9242" w:type="dxa"/>
        <w:jc w:val="center"/>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26"/>
        <w:gridCol w:w="2949"/>
        <w:gridCol w:w="3067"/>
      </w:tblGrid>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6" w:type="dxa"/>
            <w:tcBorders>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类别</w:t>
            </w:r>
          </w:p>
        </w:tc>
        <w:tc>
          <w:tcPr>
            <w:tcW w:w="2949" w:type="dxa"/>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昼间</w:t>
            </w:r>
          </w:p>
        </w:tc>
        <w:tc>
          <w:tcPr>
            <w:tcW w:w="3067" w:type="dxa"/>
            <w:tcBorders>
              <w:left w:val="single" w:color="000000" w:sz="4" w:space="0"/>
              <w:bottom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226" w:type="dxa"/>
            <w:tcBorders>
              <w:top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2类</w:t>
            </w:r>
          </w:p>
        </w:tc>
        <w:tc>
          <w:tcPr>
            <w:tcW w:w="2949" w:type="dxa"/>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70</w:t>
            </w:r>
          </w:p>
        </w:tc>
        <w:tc>
          <w:tcPr>
            <w:tcW w:w="3067" w:type="dxa"/>
            <w:tcBorders>
              <w:top w:val="single" w:color="000000" w:sz="4" w:space="0"/>
              <w:lef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55</w:t>
            </w:r>
          </w:p>
        </w:tc>
      </w:tr>
    </w:tbl>
    <w:p>
      <w:pPr>
        <w:pStyle w:val="14"/>
        <w:spacing w:line="240" w:lineRule="auto"/>
        <w:rPr>
          <w:color w:val="000000" w:themeColor="text1"/>
          <w14:textFill>
            <w14:solidFill>
              <w14:schemeClr w14:val="tx1"/>
            </w14:solidFill>
          </w14:textFill>
        </w:rPr>
      </w:pPr>
      <w:r>
        <w:rPr>
          <w:color w:val="000000" w:themeColor="text1"/>
          <w:szCs w:val="21"/>
          <w14:textFill>
            <w14:solidFill>
              <w14:schemeClr w14:val="tx1"/>
            </w14:solidFill>
          </w14:textFill>
        </w:rPr>
        <w:t>表</w:t>
      </w: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STYLEREF 2 \s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w:t>
      </w:r>
      <w:r>
        <w:rPr>
          <w:color w:val="000000" w:themeColor="text1"/>
          <w:szCs w:val="21"/>
          <w14:textFill>
            <w14:solidFill>
              <w14:schemeClr w14:val="tx1"/>
            </w14:solidFill>
          </w14:textFill>
        </w:rPr>
        <w:t>6</w: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noBreakHyphen/>
      </w: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SEQ 表 \* ARABIC \s 2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t>13</w: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t xml:space="preserve">  </w:t>
      </w:r>
      <w:r>
        <w:rPr>
          <w:color w:val="000000" w:themeColor="text1"/>
          <w14:textFill>
            <w14:solidFill>
              <w14:schemeClr w14:val="tx1"/>
            </w14:solidFill>
          </w14:textFill>
        </w:rPr>
        <w:t>《工业企业厂界环境噪声排放标准》 单位：dB（A）</w:t>
      </w:r>
    </w:p>
    <w:tbl>
      <w:tblPr>
        <w:tblStyle w:val="41"/>
        <w:tblW w:w="9242" w:type="dxa"/>
        <w:jc w:val="center"/>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26"/>
        <w:gridCol w:w="2949"/>
        <w:gridCol w:w="3067"/>
      </w:tblGrid>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26" w:type="dxa"/>
            <w:tcBorders>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类别</w:t>
            </w:r>
          </w:p>
        </w:tc>
        <w:tc>
          <w:tcPr>
            <w:tcW w:w="2949" w:type="dxa"/>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昼间</w:t>
            </w:r>
          </w:p>
        </w:tc>
        <w:tc>
          <w:tcPr>
            <w:tcW w:w="3067" w:type="dxa"/>
            <w:tcBorders>
              <w:left w:val="single" w:color="000000" w:sz="4" w:space="0"/>
              <w:bottom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226" w:type="dxa"/>
            <w:tcBorders>
              <w:top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3类</w:t>
            </w:r>
          </w:p>
        </w:tc>
        <w:tc>
          <w:tcPr>
            <w:tcW w:w="2949" w:type="dxa"/>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65</w:t>
            </w:r>
          </w:p>
        </w:tc>
        <w:tc>
          <w:tcPr>
            <w:tcW w:w="3067" w:type="dxa"/>
            <w:tcBorders>
              <w:top w:val="single" w:color="000000" w:sz="4" w:space="0"/>
              <w:lef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55</w:t>
            </w:r>
          </w:p>
        </w:tc>
      </w:tr>
    </w:tbl>
    <w:p>
      <w:pPr>
        <w:pStyle w:val="93"/>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固体废物</w:t>
      </w:r>
    </w:p>
    <w:p>
      <w:pPr>
        <w:pStyle w:val="132"/>
        <w:ind w:firstLine="480"/>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一般固体废物执行《</w:t>
      </w:r>
      <w:r>
        <w:rPr>
          <w:rFonts w:hint="eastAsia"/>
          <w:color w:val="000000" w:themeColor="text1"/>
          <w:lang w:val="en-US" w:eastAsia="zh-CN"/>
          <w14:textFill>
            <w14:solidFill>
              <w14:schemeClr w14:val="tx1"/>
            </w14:solidFill>
          </w14:textFill>
        </w:rPr>
        <w:t>一般工业固体废物贮存和填埋污染控制标准</w:t>
      </w:r>
      <w:r>
        <w:rPr>
          <w:color w:val="000000" w:themeColor="text1"/>
          <w14:textFill>
            <w14:solidFill>
              <w14:schemeClr w14:val="tx1"/>
            </w14:solidFill>
          </w14:textFill>
        </w:rPr>
        <w:t>》(GB18599-20</w:t>
      </w:r>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)；危险固体废物执行《危险废物贮存污染控制标准》(GB18597-2001)及2013年其修改单</w:t>
      </w:r>
      <w:r>
        <w:rPr>
          <w:rFonts w:hint="eastAsia"/>
          <w:color w:val="000000" w:themeColor="text1"/>
          <w:lang w:eastAsia="zh-CN"/>
          <w14:textFill>
            <w14:solidFill>
              <w14:schemeClr w14:val="tx1"/>
            </w14:solidFill>
          </w14:textFill>
        </w:rPr>
        <w:t>。</w:t>
      </w:r>
    </w:p>
    <w:p>
      <w:pPr>
        <w:pStyle w:val="4"/>
        <w:adjustRightInd w:val="0"/>
        <w:snapToGrid w:val="0"/>
        <w:rPr>
          <w:color w:val="000000" w:themeColor="text1"/>
          <w14:textFill>
            <w14:solidFill>
              <w14:schemeClr w14:val="tx1"/>
            </w14:solidFill>
          </w14:textFill>
        </w:rPr>
      </w:pPr>
      <w:bookmarkStart w:id="76" w:name="_Toc532376136"/>
      <w:bookmarkStart w:id="77" w:name="_Toc11663"/>
      <w:bookmarkStart w:id="78" w:name="_Toc532497611"/>
      <w:bookmarkStart w:id="79" w:name="_Toc532498729"/>
      <w:bookmarkStart w:id="80" w:name="_Toc532763193"/>
      <w:r>
        <w:rPr>
          <w:color w:val="000000" w:themeColor="text1"/>
          <w14:textFill>
            <w14:solidFill>
              <w14:schemeClr w14:val="tx1"/>
            </w14:solidFill>
          </w14:textFill>
        </w:rPr>
        <w:t>评价等级</w:t>
      </w:r>
      <w:bookmarkEnd w:id="76"/>
      <w:bookmarkEnd w:id="77"/>
      <w:bookmarkEnd w:id="78"/>
      <w:bookmarkEnd w:id="79"/>
      <w:bookmarkEnd w:id="80"/>
    </w:p>
    <w:p>
      <w:pPr>
        <w:pStyle w:val="5"/>
        <w:rPr>
          <w:color w:val="000000" w:themeColor="text1"/>
          <w14:textFill>
            <w14:solidFill>
              <w14:schemeClr w14:val="tx1"/>
            </w14:solidFill>
          </w14:textFill>
        </w:rPr>
      </w:pPr>
      <w:bookmarkStart w:id="81" w:name="_Toc532497612"/>
      <w:r>
        <w:rPr>
          <w:color w:val="000000" w:themeColor="text1"/>
          <w14:textFill>
            <w14:solidFill>
              <w14:schemeClr w14:val="tx1"/>
            </w14:solidFill>
          </w14:textFill>
        </w:rPr>
        <w:t>评价等级</w:t>
      </w:r>
      <w:bookmarkEnd w:id="81"/>
    </w:p>
    <w:p>
      <w:pPr>
        <w:pStyle w:val="93"/>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大气环境</w:t>
      </w:r>
    </w:p>
    <w:p>
      <w:pPr>
        <w:autoSpaceDE w:val="0"/>
        <w:autoSpaceDN w:val="0"/>
        <w:adjustRightInd w:val="0"/>
        <w:snapToGrid w:val="0"/>
        <w:spacing w:line="360" w:lineRule="auto"/>
        <w:ind w:firstLine="480"/>
        <w:rPr>
          <w:color w:val="000000" w:themeColor="text1"/>
          <w14:textFill>
            <w14:solidFill>
              <w14:schemeClr w14:val="tx1"/>
            </w14:solidFill>
          </w14:textFill>
        </w:rPr>
      </w:pPr>
      <w:r>
        <w:rPr>
          <w:color w:val="000000" w:themeColor="text1"/>
          <w:kern w:val="0"/>
          <w14:textFill>
            <w14:solidFill>
              <w14:schemeClr w14:val="tx1"/>
            </w14:solidFill>
          </w14:textFill>
        </w:rPr>
        <w:t>按照《环境影响评价技术导则—大气环境》（HJ2.2-2018）中相关规定，评价等级采用AERSCREEN估算模式进行计算，分别计算项目排放主要污染物的最大地面空气浓度占标率。根据工程分析结果，计算污染物的最大地面浓度占标率P</w:t>
      </w:r>
      <w:r>
        <w:rPr>
          <w:color w:val="000000" w:themeColor="text1"/>
          <w:kern w:val="0"/>
          <w:vertAlign w:val="subscript"/>
          <w14:textFill>
            <w14:solidFill>
              <w14:schemeClr w14:val="tx1"/>
            </w14:solidFill>
          </w14:textFill>
        </w:rPr>
        <w:t>i</w:t>
      </w:r>
      <w:r>
        <w:rPr>
          <w:color w:val="000000" w:themeColor="text1"/>
          <w:kern w:val="0"/>
          <w14:textFill>
            <w14:solidFill>
              <w14:schemeClr w14:val="tx1"/>
            </w14:solidFill>
          </w14:textFill>
        </w:rPr>
        <w:t>（第i个污染物），及第i个污染物的地面浓度达到标准限值10%时所对应的最远距离D</w:t>
      </w:r>
      <w:r>
        <w:rPr>
          <w:color w:val="000000" w:themeColor="text1"/>
          <w:kern w:val="0"/>
          <w:vertAlign w:val="subscript"/>
          <w14:textFill>
            <w14:solidFill>
              <w14:schemeClr w14:val="tx1"/>
            </w14:solidFill>
          </w14:textFill>
        </w:rPr>
        <w:t>10</w:t>
      </w:r>
      <w:r>
        <w:rPr>
          <w:color w:val="000000" w:themeColor="text1"/>
          <w:kern w:val="0"/>
          <w14:textFill>
            <w14:solidFill>
              <w14:schemeClr w14:val="tx1"/>
            </w14:solidFill>
          </w14:textFill>
        </w:rPr>
        <w:t>%。其中P</w:t>
      </w:r>
      <w:r>
        <w:rPr>
          <w:color w:val="000000" w:themeColor="text1"/>
          <w:kern w:val="0"/>
          <w:vertAlign w:val="subscript"/>
          <w14:textFill>
            <w14:solidFill>
              <w14:schemeClr w14:val="tx1"/>
            </w14:solidFill>
          </w14:textFill>
        </w:rPr>
        <w:t>i</w:t>
      </w:r>
      <w:r>
        <w:rPr>
          <w:color w:val="000000" w:themeColor="text1"/>
          <w:kern w:val="0"/>
          <w14:textFill>
            <w14:solidFill>
              <w14:schemeClr w14:val="tx1"/>
            </w14:solidFill>
          </w14:textFill>
        </w:rPr>
        <w:t>定义为：</w:t>
      </w:r>
    </w:p>
    <w:p>
      <w:pPr>
        <w:pStyle w:val="98"/>
        <w:spacing w:before="0" w:line="360" w:lineRule="auto"/>
        <w:ind w:firstLine="48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position w:val="-30"/>
          <w14:textFill>
            <w14:solidFill>
              <w14:schemeClr w14:val="tx1"/>
            </w14:solidFill>
          </w14:textFill>
        </w:rPr>
        <w:object>
          <v:shape id="_x0000_i1026" o:spt="75" type="#_x0000_t75" style="height:34.55pt;width:79.5pt;" o:ole="t" filled="f" o:preferrelative="t" stroked="f" coordsize="21600,21600">
            <v:path/>
            <v:fill on="f" focussize="0,0"/>
            <v:stroke on="f"/>
            <v:imagedata r:id="rId14" o:title=""/>
            <o:lock v:ext="edit" aspectratio="t"/>
            <w10:wrap type="none"/>
            <w10:anchorlock/>
          </v:shape>
          <o:OLEObject Type="Embed" ProgID="Equation.3" ShapeID="_x0000_i1026" DrawAspect="Content" ObjectID="_1468075726" r:id="rId13">
            <o:LockedField>false</o:LockedField>
          </o:OLEObject>
        </w:object>
      </w:r>
    </w:p>
    <w:p>
      <w:pPr>
        <w:pStyle w:val="9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式中：P</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——第i个污染物的最大地面浓度占标率，%；</w:t>
      </w:r>
    </w:p>
    <w:p>
      <w:pPr>
        <w:pStyle w:val="98"/>
        <w:spacing w:before="0" w:line="360" w:lineRule="auto"/>
        <w:ind w:left="2"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C</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——采用估算模式计算出的第i个污染物的最大地面浓度，mg/m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w:t>
      </w:r>
    </w:p>
    <w:p>
      <w:pPr>
        <w:adjustRightInd w:val="0"/>
        <w:snapToGrid w:val="0"/>
        <w:spacing w:line="360" w:lineRule="auto"/>
        <w:ind w:firstLine="480"/>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w:t>
      </w:r>
      <w:r>
        <w:rPr>
          <w:color w:val="000000" w:themeColor="text1"/>
          <w:szCs w:val="24"/>
          <w14:textFill>
            <w14:solidFill>
              <w14:schemeClr w14:val="tx1"/>
            </w14:solidFill>
          </w14:textFill>
        </w:rPr>
        <w:t>第i个污染物的环境空气质量标准，</w:t>
      </w:r>
      <w:r>
        <w:rPr>
          <w:rFonts w:hint="default" w:ascii="Times New Roman" w:hAnsi="Times New Roman" w:cs="Times New Roman"/>
          <w:color w:val="000000" w:themeColor="text1"/>
          <w:szCs w:val="24"/>
          <w14:textFill>
            <w14:solidFill>
              <w14:schemeClr w14:val="tx1"/>
            </w14:solidFill>
          </w14:textFill>
        </w:rPr>
        <w:t>ug/m</w:t>
      </w:r>
      <w:r>
        <w:rPr>
          <w:rFonts w:hint="default" w:ascii="Times New Roman" w:hAnsi="Times New Roman" w:cs="Times New Roman"/>
          <w:color w:val="000000" w:themeColor="text1"/>
          <w:szCs w:val="24"/>
          <w:vertAlign w:val="superscript"/>
          <w14:textFill>
            <w14:solidFill>
              <w14:schemeClr w14:val="tx1"/>
            </w14:solidFill>
          </w14:textFill>
        </w:rPr>
        <w:t>3</w:t>
      </w:r>
      <w:r>
        <w:rPr>
          <w:rFonts w:hint="default" w:ascii="Times New Roman" w:hAnsi="Times New Roman" w:cs="Times New Roman"/>
          <w:color w:val="000000" w:themeColor="text1"/>
          <w:szCs w:val="24"/>
          <w14:textFill>
            <w14:solidFill>
              <w14:schemeClr w14:val="tx1"/>
            </w14:solidFill>
          </w14:textFill>
        </w:rPr>
        <w:t>。</w:t>
      </w:r>
      <w:r>
        <w:rPr>
          <w:color w:val="000000" w:themeColor="text1"/>
          <w:szCs w:val="24"/>
          <w14:textFill>
            <w14:solidFill>
              <w14:schemeClr w14:val="tx1"/>
            </w14:solidFill>
          </w14:textFill>
        </w:rPr>
        <w:t>一般选用GB3095-2012中1小时平均质量浓度的二级浓度限值，如项目位于一类环境空气功能区，应选择相应的一级浓度限值；对该标准未包含的污染物，使用5.2确定的各评价因子1h平均质量</w:t>
      </w:r>
      <w:r>
        <w:rPr>
          <w:rFonts w:hint="default" w:ascii="Times New Roman" w:hAnsi="Times New Roman" w:cs="Times New Roman"/>
          <w:color w:val="000000" w:themeColor="text1"/>
          <w:szCs w:val="24"/>
          <w14:textFill>
            <w14:solidFill>
              <w14:schemeClr w14:val="tx1"/>
            </w14:solidFill>
          </w14:textFill>
        </w:rPr>
        <w:t>浓度限值。对仅有8h平均质量浓度限值、日平均质量浓度限值或年平均质量浓度限值的，可分别按2倍、3倍、6倍折算为1h平均质量浓度限值。</w:t>
      </w:r>
      <w:r>
        <w:rPr>
          <w:rFonts w:hint="default" w:ascii="Times New Roman" w:hAnsi="Times New Roman" w:cs="Times New Roman"/>
          <w:color w:val="000000" w:themeColor="text1"/>
          <w14:textFill>
            <w14:solidFill>
              <w14:schemeClr w14:val="tx1"/>
            </w14:solidFill>
          </w14:textFill>
        </w:rPr>
        <w:t xml:space="preserve"> </w:t>
      </w:r>
    </w:p>
    <w:p>
      <w:pPr>
        <w:autoSpaceDE w:val="0"/>
        <w:autoSpaceDN w:val="0"/>
        <w:adjustRightInd w:val="0"/>
        <w:snapToGrid w:val="0"/>
        <w:spacing w:line="360" w:lineRule="auto"/>
        <w:ind w:firstLine="48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主要大气污染物的最大落地浓度和占标率</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_Ref54164305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表</w:t>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STYLEREF</w:instrText>
      </w:r>
      <w:r>
        <w:rPr>
          <w:rFonts w:hint="default" w:ascii="Times New Roman" w:hAnsi="Times New Roman" w:cs="Times New Roman"/>
          <w:color w:val="000000" w:themeColor="text1"/>
          <w14:textFill>
            <w14:solidFill>
              <w14:schemeClr w14:val="tx1"/>
            </w14:solidFill>
          </w14:textFill>
        </w:rPr>
        <w:instrText xml:space="preserve">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_Ref54164185 \h  \* MERGEFORMAT </w:instrTex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kern w:val="0"/>
          <w:szCs w:val="24"/>
          <w14:textFill>
            <w14:solidFill>
              <w14:schemeClr w14:val="tx1"/>
            </w14:solidFill>
          </w14:textFill>
        </w:rPr>
        <w:t>，再根据表</w:t>
      </w:r>
      <w:r>
        <w:rPr>
          <w:rFonts w:hint="default" w:ascii="Times New Roman" w:hAnsi="Times New Roman" w:cs="Times New Roman"/>
          <w:color w:val="000000" w:themeColor="text1"/>
          <w:kern w:val="0"/>
          <w:szCs w:val="24"/>
          <w:lang w:val="en-US" w:eastAsia="zh-CN"/>
          <w14:textFill>
            <w14:solidFill>
              <w14:schemeClr w14:val="tx1"/>
            </w14:solidFill>
          </w14:textFill>
        </w:rPr>
        <w:t>2</w:t>
      </w:r>
      <w:r>
        <w:rPr>
          <w:rFonts w:hint="default" w:ascii="Times New Roman" w:hAnsi="Times New Roman" w:cs="Times New Roman"/>
          <w:color w:val="000000" w:themeColor="text1"/>
          <w:kern w:val="0"/>
          <w:szCs w:val="24"/>
          <w14:textFill>
            <w14:solidFill>
              <w14:schemeClr w14:val="tx1"/>
            </w14:solidFill>
          </w14:textFill>
        </w:rPr>
        <w:t>.7-1，确定大气环境影响评价等级为二级。</w:t>
      </w:r>
    </w:p>
    <w:p>
      <w:pPr>
        <w:pStyle w:val="14"/>
        <w:spacing w:line="240" w:lineRule="auto"/>
        <w:rPr>
          <w:color w:val="000000" w:themeColor="text1"/>
          <w14:textFill>
            <w14:solidFill>
              <w14:schemeClr w14:val="tx1"/>
            </w14:solidFill>
          </w14:textFill>
        </w:rPr>
      </w:pPr>
      <w:bookmarkStart w:id="82" w:name="_Ref532107916"/>
      <w:r>
        <w:rPr>
          <w:color w:val="000000" w:themeColor="text1"/>
          <w:kern w:val="0"/>
          <w:szCs w:val="24"/>
          <w14:textFill>
            <w14:solidFill>
              <w14:schemeClr w14:val="tx1"/>
            </w14:solidFill>
          </w14:textFill>
        </w:rPr>
        <w:t>表</w:t>
      </w:r>
      <w:r>
        <w:rPr>
          <w:color w:val="000000" w:themeColor="text1"/>
          <w:kern w:val="0"/>
          <w:szCs w:val="24"/>
          <w14:textFill>
            <w14:solidFill>
              <w14:schemeClr w14:val="tx1"/>
            </w14:solidFill>
          </w14:textFill>
        </w:rPr>
        <w:fldChar w:fldCharType="begin"/>
      </w:r>
      <w:r>
        <w:rPr>
          <w:color w:val="000000" w:themeColor="text1"/>
          <w:kern w:val="0"/>
          <w:szCs w:val="24"/>
          <w14:textFill>
            <w14:solidFill>
              <w14:schemeClr w14:val="tx1"/>
            </w14:solidFill>
          </w14:textFill>
        </w:rPr>
        <w:instrText xml:space="preserve"> STYLEREF 2 \s </w:instrText>
      </w:r>
      <w:r>
        <w:rPr>
          <w:color w:val="000000" w:themeColor="text1"/>
          <w:kern w:val="0"/>
          <w:szCs w:val="24"/>
          <w14:textFill>
            <w14:solidFill>
              <w14:schemeClr w14:val="tx1"/>
            </w14:solidFill>
          </w14:textFill>
        </w:rPr>
        <w:fldChar w:fldCharType="separate"/>
      </w:r>
      <w:r>
        <w:rPr>
          <w:color w:val="000000" w:themeColor="text1"/>
          <w:kern w:val="0"/>
          <w:szCs w:val="24"/>
          <w14:textFill>
            <w14:solidFill>
              <w14:schemeClr w14:val="tx1"/>
            </w14:solidFill>
          </w14:textFill>
        </w:rPr>
        <w:t>2</w:t>
      </w:r>
      <w:r>
        <w:rPr>
          <w:rFonts w:hint="eastAsia"/>
          <w:color w:val="000000" w:themeColor="text1"/>
          <w:kern w:val="0"/>
          <w:szCs w:val="24"/>
          <w:lang w:val="en-US" w:eastAsia="zh-CN"/>
          <w14:textFill>
            <w14:solidFill>
              <w14:schemeClr w14:val="tx1"/>
            </w14:solidFill>
          </w14:textFill>
        </w:rPr>
        <w:t>.</w:t>
      </w:r>
      <w:r>
        <w:rPr>
          <w:color w:val="000000" w:themeColor="text1"/>
          <w:kern w:val="0"/>
          <w:szCs w:val="24"/>
          <w14:textFill>
            <w14:solidFill>
              <w14:schemeClr w14:val="tx1"/>
            </w14:solidFill>
          </w14:textFill>
        </w:rPr>
        <w:t>7</w:t>
      </w:r>
      <w:r>
        <w:rPr>
          <w:color w:val="000000" w:themeColor="text1"/>
          <w:kern w:val="0"/>
          <w:szCs w:val="24"/>
          <w14:textFill>
            <w14:solidFill>
              <w14:schemeClr w14:val="tx1"/>
            </w14:solidFill>
          </w14:textFill>
        </w:rPr>
        <w:fldChar w:fldCharType="end"/>
      </w:r>
      <w:r>
        <w:rPr>
          <w:color w:val="000000" w:themeColor="text1"/>
          <w:kern w:val="0"/>
          <w:szCs w:val="24"/>
          <w14:textFill>
            <w14:solidFill>
              <w14:schemeClr w14:val="tx1"/>
            </w14:solidFill>
          </w14:textFill>
        </w:rPr>
        <w:noBreakHyphen/>
      </w:r>
      <w:r>
        <w:rPr>
          <w:color w:val="000000" w:themeColor="text1"/>
          <w:kern w:val="0"/>
          <w:szCs w:val="24"/>
          <w14:textFill>
            <w14:solidFill>
              <w14:schemeClr w14:val="tx1"/>
            </w14:solidFill>
          </w14:textFill>
        </w:rPr>
        <w:fldChar w:fldCharType="begin"/>
      </w:r>
      <w:r>
        <w:rPr>
          <w:color w:val="000000" w:themeColor="text1"/>
          <w:kern w:val="0"/>
          <w:szCs w:val="24"/>
          <w14:textFill>
            <w14:solidFill>
              <w14:schemeClr w14:val="tx1"/>
            </w14:solidFill>
          </w14:textFill>
        </w:rPr>
        <w:instrText xml:space="preserve"> SEQ 表 \* ARABIC \s 2 </w:instrText>
      </w:r>
      <w:r>
        <w:rPr>
          <w:color w:val="000000" w:themeColor="text1"/>
          <w:kern w:val="0"/>
          <w:szCs w:val="24"/>
          <w14:textFill>
            <w14:solidFill>
              <w14:schemeClr w14:val="tx1"/>
            </w14:solidFill>
          </w14:textFill>
        </w:rPr>
        <w:fldChar w:fldCharType="separate"/>
      </w:r>
      <w:r>
        <w:rPr>
          <w:color w:val="000000" w:themeColor="text1"/>
          <w:kern w:val="0"/>
          <w:szCs w:val="24"/>
          <w14:textFill>
            <w14:solidFill>
              <w14:schemeClr w14:val="tx1"/>
            </w14:solidFill>
          </w14:textFill>
        </w:rPr>
        <w:t>1</w:t>
      </w:r>
      <w:r>
        <w:rPr>
          <w:color w:val="000000" w:themeColor="text1"/>
          <w:kern w:val="0"/>
          <w:szCs w:val="24"/>
          <w14:textFill>
            <w14:solidFill>
              <w14:schemeClr w14:val="tx1"/>
            </w14:solidFill>
          </w14:textFill>
        </w:rPr>
        <w:fldChar w:fldCharType="end"/>
      </w:r>
      <w:bookmarkEnd w:id="82"/>
      <w:r>
        <w:rPr>
          <w:color w:val="000000" w:themeColor="text1"/>
          <w:kern w:val="0"/>
          <w:szCs w:val="24"/>
          <w14:textFill>
            <w14:solidFill>
              <w14:schemeClr w14:val="tx1"/>
            </w14:solidFill>
          </w14:textFill>
        </w:rPr>
        <w:t xml:space="preserve"> </w:t>
      </w:r>
      <w:r>
        <w:rPr>
          <w:bCs/>
          <w:color w:val="000000" w:themeColor="text1"/>
          <w14:textFill>
            <w14:solidFill>
              <w14:schemeClr w14:val="tx1"/>
            </w14:solidFill>
          </w14:textFill>
        </w:rPr>
        <w:t>大气环境影响评价工作等级</w:t>
      </w:r>
    </w:p>
    <w:tbl>
      <w:tblPr>
        <w:tblStyle w:val="41"/>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评价工作等级</w:t>
            </w:r>
          </w:p>
        </w:tc>
        <w:tc>
          <w:tcPr>
            <w:tcW w:w="462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评价工作等级评价工作分级判据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一级</w:t>
            </w:r>
          </w:p>
        </w:tc>
        <w:tc>
          <w:tcPr>
            <w:tcW w:w="462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P</w:t>
            </w:r>
            <w:r>
              <w:rPr>
                <w:rFonts w:hint="default" w:ascii="Times New Roman" w:hAnsi="Times New Roman" w:cs="Times New Roman"/>
                <w:b w:val="0"/>
                <w:color w:val="000000" w:themeColor="text1"/>
                <w:kern w:val="0"/>
                <w:sz w:val="21"/>
                <w:szCs w:val="21"/>
                <w:vertAlign w:val="subscript"/>
                <w14:textFill>
                  <w14:solidFill>
                    <w14:schemeClr w14:val="tx1"/>
                  </w14:solidFill>
                </w14:textFill>
              </w:rPr>
              <w:t>max</w:t>
            </w:r>
            <w:r>
              <w:rPr>
                <w:rFonts w:hint="default" w:ascii="Times New Roman" w:hAnsi="Times New Roman" w:cs="Times New Roman"/>
                <w:b w:val="0"/>
                <w:color w:val="000000" w:themeColor="text1"/>
                <w:kern w:val="0"/>
                <w:sz w:val="21"/>
                <w:szCs w:val="21"/>
                <w14:textFill>
                  <w14:solidFill>
                    <w14:schemeClr w14:val="tx1"/>
                  </w14:solidFill>
                </w14:textFill>
              </w:rPr>
              <w:t xml:space="preserve"> ≥10%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二级</w:t>
            </w:r>
          </w:p>
        </w:tc>
        <w:tc>
          <w:tcPr>
            <w:tcW w:w="462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 xml:space="preserve">1% ≤P </w:t>
            </w:r>
            <w:r>
              <w:rPr>
                <w:rFonts w:hint="default" w:ascii="Times New Roman" w:hAnsi="Times New Roman" w:cs="Times New Roman"/>
                <w:b w:val="0"/>
                <w:color w:val="000000" w:themeColor="text1"/>
                <w:kern w:val="0"/>
                <w:sz w:val="21"/>
                <w:szCs w:val="21"/>
                <w:vertAlign w:val="subscript"/>
                <w14:textFill>
                  <w14:solidFill>
                    <w14:schemeClr w14:val="tx1"/>
                  </w14:solidFill>
                </w14:textFill>
              </w:rPr>
              <w:t>max</w:t>
            </w:r>
            <w:r>
              <w:rPr>
                <w:rFonts w:hint="default" w:ascii="Times New Roman" w:hAnsi="Times New Roman" w:cs="Times New Roman"/>
                <w:b w:val="0"/>
                <w:color w:val="000000" w:themeColor="text1"/>
                <w:kern w:val="0"/>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三级</w:t>
            </w:r>
          </w:p>
        </w:tc>
        <w:tc>
          <w:tcPr>
            <w:tcW w:w="462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P</w:t>
            </w:r>
            <w:r>
              <w:rPr>
                <w:rFonts w:hint="default" w:ascii="Times New Roman" w:hAnsi="Times New Roman" w:cs="Times New Roman"/>
                <w:b w:val="0"/>
                <w:color w:val="000000" w:themeColor="text1"/>
                <w:kern w:val="0"/>
                <w:sz w:val="21"/>
                <w:szCs w:val="21"/>
                <w:vertAlign w:val="subscript"/>
                <w14:textFill>
                  <w14:solidFill>
                    <w14:schemeClr w14:val="tx1"/>
                  </w14:solidFill>
                </w14:textFill>
              </w:rPr>
              <w:t>max</w:t>
            </w:r>
            <w:r>
              <w:rPr>
                <w:rFonts w:hint="default" w:ascii="Times New Roman" w:hAnsi="Times New Roman" w:cs="Times New Roman"/>
                <w:b w:val="0"/>
                <w:color w:val="000000" w:themeColor="text1"/>
                <w:kern w:val="0"/>
                <w:sz w:val="21"/>
                <w:szCs w:val="21"/>
                <w14:textFill>
                  <w14:solidFill>
                    <w14:schemeClr w14:val="tx1"/>
                  </w14:solidFill>
                </w14:textFill>
              </w:rPr>
              <w:t>＜1%</w:t>
            </w:r>
          </w:p>
        </w:tc>
      </w:tr>
    </w:tbl>
    <w:p>
      <w:pPr>
        <w:pStyle w:val="17"/>
        <w:adjustRightInd w:val="0"/>
        <w:snapToGrid w:val="0"/>
        <w:spacing w:after="0" w:line="360" w:lineRule="auto"/>
        <w:ind w:firstLine="480" w:firstLineChars="200"/>
        <w:rPr>
          <w:color w:val="000000" w:themeColor="text1"/>
          <w14:textFill>
            <w14:solidFill>
              <w14:schemeClr w14:val="tx1"/>
            </w14:solidFill>
          </w14:textFill>
        </w:rPr>
      </w:pPr>
      <w:bookmarkStart w:id="83" w:name="_Toc532497613"/>
      <w:r>
        <w:rPr>
          <w:color w:val="000000" w:themeColor="text1"/>
          <w14:textFill>
            <w14:solidFill>
              <w14:schemeClr w14:val="tx1"/>
            </w14:solidFill>
          </w14:textFill>
        </w:rPr>
        <w:t>同一项目有多个污染源（两个及以上）时，则按各污染源分别确定评价等级，并取评价等级最高者作为项目的评价等级。</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（1）污染物评价标准</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本项目评价因子和评价标准见下表。</w:t>
      </w:r>
    </w:p>
    <w:p>
      <w:pPr>
        <w:pStyle w:val="14"/>
        <w:spacing w:line="240" w:lineRule="auto"/>
        <w:rPr>
          <w:color w:val="000000" w:themeColor="text1"/>
          <w:szCs w:val="24"/>
          <w14:textFill>
            <w14:solidFill>
              <w14:schemeClr w14:val="tx1"/>
            </w14:solidFill>
          </w14:textFill>
        </w:rPr>
      </w:pPr>
      <w:r>
        <w:rPr>
          <w:color w:val="000000" w:themeColor="text1"/>
          <w:szCs w:val="24"/>
          <w14:textFill>
            <w14:solidFill>
              <w14:schemeClr w14:val="tx1"/>
            </w14:solidFill>
          </w14:textFill>
        </w:rPr>
        <w:t>表</w:t>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STYLEREF 2 \s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2</w:t>
      </w:r>
      <w:r>
        <w:rPr>
          <w:rFonts w:hint="eastAsia"/>
          <w:color w:val="000000" w:themeColor="text1"/>
          <w:szCs w:val="24"/>
          <w:lang w:val="en-US" w:eastAsia="zh-CN"/>
          <w14:textFill>
            <w14:solidFill>
              <w14:schemeClr w14:val="tx1"/>
            </w14:solidFill>
          </w14:textFill>
        </w:rPr>
        <w:t>.</w:t>
      </w:r>
      <w:r>
        <w:rPr>
          <w:color w:val="000000" w:themeColor="text1"/>
          <w:szCs w:val="24"/>
          <w14:textFill>
            <w14:solidFill>
              <w14:schemeClr w14:val="tx1"/>
            </w14:solidFill>
          </w14:textFill>
        </w:rPr>
        <w:t>7</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noBreakHyphen/>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SEQ 表 \* ARABIC \s 2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2</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t xml:space="preserve">  评价因子和评价标准</w:t>
      </w:r>
    </w:p>
    <w:tbl>
      <w:tblPr>
        <w:tblStyle w:val="4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830"/>
        <w:gridCol w:w="1549"/>
        <w:gridCol w:w="46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32"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29" w:beforeAutospacing="0" w:after="0" w:afterAutospacing="0"/>
              <w:ind w:left="152" w:right="143"/>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评价因子</w:t>
            </w:r>
          </w:p>
        </w:tc>
        <w:tc>
          <w:tcPr>
            <w:tcW w:w="1014"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29" w:beforeAutospacing="0" w:after="0" w:afterAutospacing="0"/>
              <w:ind w:left="136" w:right="132"/>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平均时段</w:t>
            </w:r>
          </w:p>
        </w:tc>
        <w:tc>
          <w:tcPr>
            <w:tcW w:w="858"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29" w:beforeAutospacing="0" w:after="0" w:afterAutospacing="0"/>
              <w:ind w:left="303" w:right="298"/>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2595"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29" w:beforeAutospacing="0" w:after="0" w:afterAutospacing="0"/>
              <w:ind w:left="64" w:right="6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532"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TVOC</w:t>
            </w:r>
          </w:p>
        </w:tc>
        <w:tc>
          <w:tcPr>
            <w:tcW w:w="1014"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40" w:beforeAutospacing="0" w:after="0" w:afterAutospacing="0"/>
              <w:ind w:left="149" w:right="132"/>
              <w:textAlignment w:val="auto"/>
              <w:rPr>
                <w:rFonts w:hint="default" w:ascii="Times New Roman" w:hAnsi="Times New Roman" w:cs="Times New Roman"/>
                <w:color w:val="000000" w:themeColor="text1"/>
                <w:position w:val="2"/>
                <w:sz w:val="21"/>
                <w14:textFill>
                  <w14:solidFill>
                    <w14:schemeClr w14:val="tx1"/>
                  </w14:solidFill>
                </w14:textFill>
              </w:rPr>
            </w:pPr>
            <w:r>
              <w:rPr>
                <w:rFonts w:hint="default" w:ascii="Times New Roman" w:hAnsi="Times New Roman" w:cs="Times New Roman"/>
                <w:color w:val="000000" w:themeColor="text1"/>
                <w:position w:val="2"/>
                <w:sz w:val="21"/>
                <w14:textFill>
                  <w14:solidFill>
                    <w14:schemeClr w14:val="tx1"/>
                  </w14:solidFill>
                </w14:textFill>
              </w:rPr>
              <w:t>8h平均折算1小时平均</w:t>
            </w:r>
          </w:p>
        </w:tc>
        <w:tc>
          <w:tcPr>
            <w:tcW w:w="858"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position w:val="2"/>
                <w:sz w:val="21"/>
                <w:lang w:val="en-US" w:eastAsia="zh-CN"/>
                <w14:textFill>
                  <w14:solidFill>
                    <w14:schemeClr w14:val="tx1"/>
                  </w14:solidFill>
                </w14:textFill>
              </w:rPr>
            </w:pPr>
            <w:r>
              <w:rPr>
                <w:rFonts w:hint="default" w:ascii="Times New Roman" w:hAnsi="Times New Roman" w:cs="Times New Roman"/>
                <w:color w:val="000000" w:themeColor="text1"/>
                <w:sz w:val="21"/>
                <w:lang w:val="en-US" w:eastAsia="zh-CN"/>
                <w14:textFill>
                  <w14:solidFill>
                    <w14:schemeClr w14:val="tx1"/>
                  </w14:solidFill>
                </w14:textFill>
              </w:rPr>
              <w:t>600</w:t>
            </w:r>
          </w:p>
        </w:tc>
        <w:tc>
          <w:tcPr>
            <w:tcW w:w="2595"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30" w:beforeAutospacing="0" w:after="0" w:afterAutospacing="0"/>
              <w:ind w:left="34" w:right="-15" w:hanging="32"/>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《环境影响评价技术导则（大气环境）》（HJ2.2-2018）附录D其他污染物空气质量浓度参考限值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532"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非甲烷总烃</w:t>
            </w:r>
          </w:p>
        </w:tc>
        <w:tc>
          <w:tcPr>
            <w:tcW w:w="1014"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40" w:beforeAutospacing="0" w:after="0" w:afterAutospacing="0"/>
              <w:ind w:left="149" w:right="132"/>
              <w:textAlignment w:val="auto"/>
              <w:rPr>
                <w:rFonts w:hint="default" w:ascii="Times New Roman" w:hAnsi="Times New Roman" w:cs="Times New Roman"/>
                <w:color w:val="000000" w:themeColor="text1"/>
                <w:position w:val="2"/>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1次值作为1小时平均</w:t>
            </w:r>
          </w:p>
        </w:tc>
        <w:tc>
          <w:tcPr>
            <w:tcW w:w="858"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2000</w:t>
            </w:r>
          </w:p>
        </w:tc>
        <w:tc>
          <w:tcPr>
            <w:tcW w:w="2595"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30" w:beforeAutospacing="0" w:after="0" w:afterAutospacing="0"/>
              <w:ind w:left="34" w:right="-15" w:hanging="32"/>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《大气污染物综合排放标准详解》(国家环境保护局科技标准司)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532"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NH</w:t>
            </w:r>
            <w:r>
              <w:rPr>
                <w:rFonts w:hint="default" w:ascii="Times New Roman" w:hAnsi="Times New Roman" w:eastAsia="宋体" w:cs="Times New Roman"/>
                <w:color w:val="000000" w:themeColor="text1"/>
                <w:sz w:val="21"/>
                <w:vertAlign w:val="subscript"/>
                <w14:textFill>
                  <w14:solidFill>
                    <w14:schemeClr w14:val="tx1"/>
                  </w14:solidFill>
                </w14:textFill>
              </w:rPr>
              <w:t>3</w:t>
            </w:r>
          </w:p>
        </w:tc>
        <w:tc>
          <w:tcPr>
            <w:tcW w:w="1014"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40" w:beforeAutospacing="0" w:after="0" w:afterAutospacing="0"/>
              <w:ind w:left="149" w:right="132"/>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1小时平均</w:t>
            </w:r>
          </w:p>
        </w:tc>
        <w:tc>
          <w:tcPr>
            <w:tcW w:w="858"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w:t>
            </w:r>
          </w:p>
        </w:tc>
        <w:tc>
          <w:tcPr>
            <w:tcW w:w="2595"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30" w:beforeAutospacing="0" w:after="0" w:afterAutospacing="0"/>
              <w:ind w:left="34" w:right="-15" w:hanging="32"/>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《环境影响评价技术导则大气环境》(HJ 2.2-2018)附录D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532"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H</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S</w:t>
            </w:r>
          </w:p>
        </w:tc>
        <w:tc>
          <w:tcPr>
            <w:tcW w:w="1014"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40" w:beforeAutospacing="0" w:after="0" w:afterAutospacing="0"/>
              <w:ind w:left="149" w:right="132"/>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1小时平均</w:t>
            </w:r>
          </w:p>
        </w:tc>
        <w:tc>
          <w:tcPr>
            <w:tcW w:w="858" w:type="pct"/>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2595" w:type="pct"/>
            <w:noWrap w:val="0"/>
            <w:vAlign w:val="center"/>
          </w:tcPr>
          <w:p>
            <w:pPr>
              <w:pStyle w:val="112"/>
              <w:keepNext w:val="0"/>
              <w:keepLines w:val="0"/>
              <w:pageBreakBefore w:val="0"/>
              <w:widowControl w:val="0"/>
              <w:suppressLineNumbers w:val="0"/>
              <w:kinsoku/>
              <w:wordWrap/>
              <w:overflowPunct/>
              <w:topLinePunct w:val="0"/>
              <w:bidi w:val="0"/>
              <w:adjustRightInd/>
              <w:snapToGrid/>
              <w:spacing w:before="30" w:beforeAutospacing="0" w:after="0" w:afterAutospacing="0"/>
              <w:ind w:left="34" w:right="-15" w:hanging="32"/>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《环境影响评价技术导则大气环境》(HJ 2.2-2018)附录D</w:t>
            </w:r>
          </w:p>
        </w:tc>
      </w:tr>
    </w:tbl>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（2）估算模型参数</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本项目估算模型参数见下表所示。</w:t>
      </w:r>
    </w:p>
    <w:p>
      <w:pPr>
        <w:pStyle w:val="14"/>
        <w:spacing w:line="240" w:lineRule="auto"/>
        <w:rPr>
          <w:color w:val="000000" w:themeColor="text1"/>
          <w:szCs w:val="24"/>
          <w14:textFill>
            <w14:solidFill>
              <w14:schemeClr w14:val="tx1"/>
            </w14:solidFill>
          </w14:textFill>
        </w:rPr>
      </w:pPr>
      <w:bookmarkStart w:id="84" w:name="_Ref54164185"/>
      <w:r>
        <w:rPr>
          <w:color w:val="000000" w:themeColor="text1"/>
          <w:szCs w:val="24"/>
          <w14:textFill>
            <w14:solidFill>
              <w14:schemeClr w14:val="tx1"/>
            </w14:solidFill>
          </w14:textFill>
        </w:rPr>
        <w:t>表</w:t>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STYLEREF 2 \s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2</w:t>
      </w:r>
      <w:r>
        <w:rPr>
          <w:rFonts w:hint="eastAsia"/>
          <w:color w:val="000000" w:themeColor="text1"/>
          <w:szCs w:val="24"/>
          <w:lang w:val="en-US" w:eastAsia="zh-CN"/>
          <w14:textFill>
            <w14:solidFill>
              <w14:schemeClr w14:val="tx1"/>
            </w14:solidFill>
          </w14:textFill>
        </w:rPr>
        <w:t>.</w:t>
      </w:r>
      <w:r>
        <w:rPr>
          <w:color w:val="000000" w:themeColor="text1"/>
          <w:szCs w:val="24"/>
          <w14:textFill>
            <w14:solidFill>
              <w14:schemeClr w14:val="tx1"/>
            </w14:solidFill>
          </w14:textFill>
        </w:rPr>
        <w:t>7</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noBreakHyphen/>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SEQ 表 \* ARABIC \s 2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3</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t xml:space="preserve">  估算模式参数表</w:t>
      </w:r>
      <w:bookmarkEnd w:id="84"/>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97"/>
        <w:gridCol w:w="3344"/>
        <w:gridCol w:w="31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5" w:type="pct"/>
            <w:gridSpan w:val="2"/>
            <w:noWrap w:val="0"/>
            <w:vAlign w:val="center"/>
          </w:tcPr>
          <w:p>
            <w:pPr>
              <w:pStyle w:val="112"/>
              <w:keepNext w:val="0"/>
              <w:keepLines w:val="0"/>
              <w:pageBreakBefore w:val="0"/>
              <w:suppressLineNumbers w:val="0"/>
              <w:kinsoku/>
              <w:wordWrap/>
              <w:overflowPunct/>
              <w:topLinePunct w:val="0"/>
              <w:bidi w:val="0"/>
              <w:adjustRightInd w:val="0"/>
              <w:snapToGrid w:val="0"/>
              <w:spacing w:before="0" w:beforeAutospacing="0" w:after="0" w:afterAutospacing="0"/>
              <w:ind w:left="2321" w:right="1891"/>
              <w:textAlignment w:val="auto"/>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参数</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取值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3" w:type="pct"/>
            <w:vMerge w:val="restart"/>
            <w:noWrap w:val="0"/>
            <w:vAlign w:val="center"/>
          </w:tcPr>
          <w:p>
            <w:pPr>
              <w:pStyle w:val="112"/>
              <w:keepNext w:val="0"/>
              <w:keepLines w:val="0"/>
              <w:pageBreakBefore w:val="0"/>
              <w:suppressLineNumbers w:val="0"/>
              <w:kinsoku/>
              <w:wordWrap/>
              <w:overflowPunct/>
              <w:topLinePunct w:val="0"/>
              <w:bidi w:val="0"/>
              <w:adjustRightInd w:val="0"/>
              <w:snapToGrid w:val="0"/>
              <w:spacing w:before="0" w:beforeAutospacing="0" w:after="0" w:afterAutospacing="0"/>
              <w:ind w:left="0" w:right="0" w:firstLine="525" w:firstLineChars="25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城市/农村选项</w:t>
            </w:r>
          </w:p>
        </w:tc>
        <w:tc>
          <w:tcPr>
            <w:tcW w:w="1851"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794" w:right="369"/>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城市/农村</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城市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3"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p>
        </w:tc>
        <w:tc>
          <w:tcPr>
            <w:tcW w:w="1851" w:type="pct"/>
            <w:noWrap w:val="0"/>
            <w:vAlign w:val="center"/>
          </w:tcPr>
          <w:p>
            <w:pPr>
              <w:pStyle w:val="112"/>
              <w:keepNext w:val="0"/>
              <w:keepLines w:val="0"/>
              <w:pageBreakBefore w:val="0"/>
              <w:suppressLineNumbers w:val="0"/>
              <w:kinsoku/>
              <w:wordWrap/>
              <w:overflowPunct/>
              <w:topLinePunct w:val="0"/>
              <w:bidi w:val="0"/>
              <w:adjustRightInd w:val="0"/>
              <w:snapToGrid w:val="0"/>
              <w:spacing w:before="39" w:beforeAutospacing="0" w:after="0" w:afterAutospacing="0"/>
              <w:ind w:left="795" w:right="369"/>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人口数（城市选项时）</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17.7万人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5" w:type="pct"/>
            <w:gridSpan w:val="2"/>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2321" w:right="189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最高环境温度/℃</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38.58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5" w:type="pct"/>
            <w:gridSpan w:val="2"/>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2321" w:right="189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最低环境温度/℃</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5" w:type="pct"/>
            <w:gridSpan w:val="2"/>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2321" w:right="189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土地利用类型</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阔叶林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5" w:type="pct"/>
            <w:gridSpan w:val="2"/>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2321" w:right="189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区域湿度条件</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潮湿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3" w:type="pct"/>
            <w:vMerge w:val="restart"/>
            <w:noWrap w:val="0"/>
            <w:vAlign w:val="center"/>
          </w:tcPr>
          <w:p>
            <w:pPr>
              <w:pStyle w:val="112"/>
              <w:keepNext w:val="0"/>
              <w:keepLines w:val="0"/>
              <w:pageBreakBefore w:val="0"/>
              <w:suppressLineNumbers w:val="0"/>
              <w:kinsoku/>
              <w:wordWrap/>
              <w:overflowPunct/>
              <w:topLinePunct w:val="0"/>
              <w:bidi w:val="0"/>
              <w:adjustRightInd w:val="0"/>
              <w:snapToGrid w:val="0"/>
              <w:spacing w:before="9" w:beforeAutospacing="0" w:after="0" w:afterAutospacing="0"/>
              <w:ind w:left="0" w:right="0"/>
              <w:textAlignment w:val="auto"/>
              <w:rPr>
                <w:rFonts w:ascii="Times New Roman" w:hAnsi="Times New Roman" w:cs="Times New Roman"/>
                <w:b/>
                <w:bCs/>
                <w:color w:val="000000" w:themeColor="text1"/>
                <w:sz w:val="21"/>
                <w:szCs w:val="21"/>
                <w14:textFill>
                  <w14:solidFill>
                    <w14:schemeClr w14:val="tx1"/>
                  </w14:solidFill>
                </w14:textFill>
              </w:rPr>
            </w:pPr>
          </w:p>
          <w:p>
            <w:pPr>
              <w:pStyle w:val="112"/>
              <w:keepNext w:val="0"/>
              <w:keepLines w:val="0"/>
              <w:pageBreakBefore w:val="0"/>
              <w:suppressLineNumbers w:val="0"/>
              <w:kinsoku/>
              <w:wordWrap/>
              <w:overflowPunct/>
              <w:topLinePunct w:val="0"/>
              <w:bidi w:val="0"/>
              <w:adjustRightInd w:val="0"/>
              <w:snapToGrid w:val="0"/>
              <w:spacing w:before="0"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是否考虑地形</w:t>
            </w:r>
          </w:p>
        </w:tc>
        <w:tc>
          <w:tcPr>
            <w:tcW w:w="1851"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795" w:right="367"/>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考虑地形</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3"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p>
        </w:tc>
        <w:tc>
          <w:tcPr>
            <w:tcW w:w="1851" w:type="pct"/>
            <w:noWrap w:val="0"/>
            <w:vAlign w:val="center"/>
          </w:tcPr>
          <w:p>
            <w:pPr>
              <w:pStyle w:val="112"/>
              <w:keepNext w:val="0"/>
              <w:keepLines w:val="0"/>
              <w:pageBreakBefore w:val="0"/>
              <w:suppressLineNumbers w:val="0"/>
              <w:kinsoku/>
              <w:wordWrap/>
              <w:overflowPunct/>
              <w:topLinePunct w:val="0"/>
              <w:bidi w:val="0"/>
              <w:adjustRightInd w:val="0"/>
              <w:snapToGrid w:val="0"/>
              <w:spacing w:before="39" w:beforeAutospacing="0" w:after="0" w:afterAutospacing="0"/>
              <w:ind w:left="794" w:right="369"/>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地形数据分辨率</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3" w:type="pct"/>
            <w:vMerge w:val="restart"/>
            <w:noWrap w:val="0"/>
            <w:vAlign w:val="center"/>
          </w:tcPr>
          <w:p>
            <w:pPr>
              <w:pStyle w:val="112"/>
              <w:keepNext w:val="0"/>
              <w:keepLines w:val="0"/>
              <w:pageBreakBefore w:val="0"/>
              <w:suppressLineNumbers w:val="0"/>
              <w:kinsoku/>
              <w:wordWrap/>
              <w:overflowPunct/>
              <w:topLinePunct w:val="0"/>
              <w:bidi w:val="0"/>
              <w:adjustRightInd w:val="0"/>
              <w:snapToGrid w:val="0"/>
              <w:spacing w:before="0" w:beforeAutospacing="0" w:after="0" w:afterAutospacing="0"/>
              <w:ind w:left="0" w:right="159"/>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是否考虑海岸线熏烟</w:t>
            </w:r>
          </w:p>
        </w:tc>
        <w:tc>
          <w:tcPr>
            <w:tcW w:w="1851"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794" w:right="369"/>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考虑岸线熏烟</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3"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p>
        </w:tc>
        <w:tc>
          <w:tcPr>
            <w:tcW w:w="1851"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795" w:right="367"/>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海岸线距离/m</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3" w:type="pct"/>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p>
        </w:tc>
        <w:tc>
          <w:tcPr>
            <w:tcW w:w="1851"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795" w:right="36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海岸线方向/°</w:t>
            </w:r>
          </w:p>
        </w:tc>
        <w:tc>
          <w:tcPr>
            <w:tcW w:w="1764" w:type="pct"/>
            <w:noWrap w:val="0"/>
            <w:vAlign w:val="center"/>
          </w:tcPr>
          <w:p>
            <w:pPr>
              <w:pStyle w:val="112"/>
              <w:keepNext w:val="0"/>
              <w:keepLines w:val="0"/>
              <w:pageBreakBefore w:val="0"/>
              <w:suppressLineNumbers w:val="0"/>
              <w:kinsoku/>
              <w:wordWrap/>
              <w:overflowPunct/>
              <w:topLinePunct w:val="0"/>
              <w:bidi w:val="0"/>
              <w:adjustRightInd w:val="0"/>
              <w:snapToGrid w:val="0"/>
              <w:spacing w:before="37"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bl>
    <w:p>
      <w:pPr>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（3）污染源强确定及评价因子选取</w:t>
      </w:r>
    </w:p>
    <w:p>
      <w:pPr>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本项目废气主要为装置、储罐管道跑漏废气和油汽冷凝过程未冷凝下来的不凝气。本项目油汽冷凝过程未冷凝下来的不凝气通过火炬系统管网送气柜回收轻烃，回收不完时依托</w:t>
      </w:r>
      <w:r>
        <w:rPr>
          <w:rFonts w:hint="default" w:ascii="Times New Roman" w:hAnsi="Times New Roman" w:cs="Times New Roman"/>
          <w:color w:val="000000" w:themeColor="text1"/>
          <w:lang w:eastAsia="zh-CN"/>
          <w14:textFill>
            <w14:solidFill>
              <w14:schemeClr w14:val="tx1"/>
            </w14:solidFill>
          </w14:textFill>
        </w:rPr>
        <w:t>中石化巴陵石油化工有限公司</w:t>
      </w:r>
      <w:r>
        <w:rPr>
          <w:rFonts w:hint="default" w:ascii="Times New Roman" w:hAnsi="Times New Roman" w:cs="Times New Roman"/>
          <w:color w:val="000000" w:themeColor="text1"/>
          <w14:textFill>
            <w14:solidFill>
              <w14:schemeClr w14:val="tx1"/>
            </w14:solidFill>
          </w14:textFill>
        </w:rPr>
        <w:t>火炬焚烧。本项目估算模式主要考虑装置、储罐管道跑漏的无组织废气。</w:t>
      </w:r>
    </w:p>
    <w:p>
      <w:pPr>
        <w:pStyle w:val="14"/>
        <w:keepNext/>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矩形面源参数表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416"/>
        <w:gridCol w:w="1068"/>
        <w:gridCol w:w="1162"/>
        <w:gridCol w:w="427"/>
        <w:gridCol w:w="427"/>
        <w:gridCol w:w="427"/>
        <w:gridCol w:w="416"/>
        <w:gridCol w:w="427"/>
        <w:gridCol w:w="616"/>
        <w:gridCol w:w="416"/>
        <w:gridCol w:w="820"/>
        <w:gridCol w:w="797"/>
        <w:gridCol w:w="666"/>
        <w:gridCol w:w="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编号</w:t>
            </w:r>
          </w:p>
        </w:tc>
        <w:tc>
          <w:tcPr>
            <w:tcW w:w="225"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名称</w:t>
            </w:r>
          </w:p>
        </w:tc>
        <w:tc>
          <w:tcPr>
            <w:tcW w:w="1206" w:type="pct"/>
            <w:gridSpan w:val="2"/>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面源起点坐标/m</w:t>
            </w:r>
          </w:p>
        </w:tc>
        <w:tc>
          <w:tcPr>
            <w:tcW w:w="231"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面源海拔高度/m</w:t>
            </w:r>
          </w:p>
        </w:tc>
        <w:tc>
          <w:tcPr>
            <w:tcW w:w="231"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面源长度/m</w:t>
            </w:r>
          </w:p>
        </w:tc>
        <w:tc>
          <w:tcPr>
            <w:tcW w:w="231"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面源宽度/m</w:t>
            </w:r>
          </w:p>
        </w:tc>
        <w:tc>
          <w:tcPr>
            <w:tcW w:w="225"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与正北向夹角/°</w:t>
            </w:r>
          </w:p>
        </w:tc>
        <w:tc>
          <w:tcPr>
            <w:tcW w:w="231"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面源有效排放高度/m</w:t>
            </w:r>
          </w:p>
        </w:tc>
        <w:tc>
          <w:tcPr>
            <w:tcW w:w="333"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年排放小时数/h</w:t>
            </w:r>
          </w:p>
        </w:tc>
        <w:tc>
          <w:tcPr>
            <w:tcW w:w="225"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排放工况</w:t>
            </w:r>
          </w:p>
        </w:tc>
        <w:tc>
          <w:tcPr>
            <w:tcW w:w="1636" w:type="pct"/>
            <w:gridSpan w:val="4"/>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5"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225"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577"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X</w:t>
            </w:r>
          </w:p>
        </w:tc>
        <w:tc>
          <w:tcPr>
            <w:tcW w:w="628"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Y</w:t>
            </w:r>
          </w:p>
        </w:tc>
        <w:tc>
          <w:tcPr>
            <w:tcW w:w="231"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231"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231"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225"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231"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333"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225"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443"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p>
        </w:tc>
        <w:tc>
          <w:tcPr>
            <w:tcW w:w="431"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360"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400" w:type="pct"/>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225"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w:t>
            </w:r>
          </w:p>
        </w:tc>
        <w:tc>
          <w:tcPr>
            <w:tcW w:w="225"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生产装置区面源</w:t>
            </w:r>
          </w:p>
        </w:tc>
        <w:tc>
          <w:tcPr>
            <w:tcW w:w="577"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29.465345</w:t>
            </w:r>
          </w:p>
        </w:tc>
        <w:tc>
          <w:tcPr>
            <w:tcW w:w="628"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113.315123</w:t>
            </w:r>
          </w:p>
        </w:tc>
        <w:tc>
          <w:tcPr>
            <w:tcW w:w="231"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81</w:t>
            </w:r>
          </w:p>
        </w:tc>
        <w:tc>
          <w:tcPr>
            <w:tcW w:w="231"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w:t>
            </w:r>
          </w:p>
        </w:tc>
        <w:tc>
          <w:tcPr>
            <w:tcW w:w="231"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23</w:t>
            </w:r>
          </w:p>
        </w:tc>
        <w:tc>
          <w:tcPr>
            <w:tcW w:w="225"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0</w:t>
            </w:r>
          </w:p>
        </w:tc>
        <w:tc>
          <w:tcPr>
            <w:tcW w:w="231"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10</w:t>
            </w:r>
          </w:p>
        </w:tc>
        <w:tc>
          <w:tcPr>
            <w:tcW w:w="333"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8760</w:t>
            </w:r>
          </w:p>
        </w:tc>
        <w:tc>
          <w:tcPr>
            <w:tcW w:w="225" w:type="pct"/>
            <w:noWrap w:val="0"/>
            <w:vAlign w:val="center"/>
          </w:tcPr>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正常</w:t>
            </w:r>
          </w:p>
        </w:tc>
        <w:tc>
          <w:tcPr>
            <w:tcW w:w="443" w:type="pct"/>
            <w:noWrap w:val="0"/>
            <w:vAlign w:val="center"/>
          </w:tcPr>
          <w:p>
            <w:pPr>
              <w:pStyle w:val="114"/>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auto"/>
              <w:ind w:left="0" w:right="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0.031</w:t>
            </w:r>
          </w:p>
        </w:tc>
        <w:tc>
          <w:tcPr>
            <w:tcW w:w="431" w:type="pct"/>
            <w:noWrap w:val="0"/>
            <w:vAlign w:val="center"/>
          </w:tcPr>
          <w:p>
            <w:pPr>
              <w:pStyle w:val="114"/>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auto"/>
              <w:ind w:left="0" w:right="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0.031</w:t>
            </w:r>
          </w:p>
        </w:tc>
        <w:tc>
          <w:tcPr>
            <w:tcW w:w="360" w:type="pct"/>
            <w:noWrap w:val="0"/>
            <w:vAlign w:val="center"/>
          </w:tcPr>
          <w:p>
            <w:pPr>
              <w:pStyle w:val="114"/>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auto"/>
              <w:ind w:left="0" w:right="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0.0001</w:t>
            </w:r>
          </w:p>
        </w:tc>
        <w:tc>
          <w:tcPr>
            <w:tcW w:w="400" w:type="pct"/>
            <w:noWrap w:val="0"/>
            <w:vAlign w:val="center"/>
          </w:tcPr>
          <w:p>
            <w:pPr>
              <w:pStyle w:val="114"/>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auto"/>
              <w:ind w:left="0" w:right="0"/>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0.00006</w:t>
            </w:r>
          </w:p>
        </w:tc>
      </w:tr>
    </w:tbl>
    <w:p>
      <w:pPr>
        <w:pStyle w:val="14"/>
        <w:ind w:firstLine="480" w:firstLineChars="200"/>
        <w:jc w:val="both"/>
        <w:rPr>
          <w:b w:val="0"/>
          <w:color w:val="000000" w:themeColor="text1"/>
          <w14:textFill>
            <w14:solidFill>
              <w14:schemeClr w14:val="tx1"/>
            </w14:solidFill>
          </w14:textFill>
        </w:rPr>
      </w:pPr>
      <w:r>
        <w:rPr>
          <w:b w:val="0"/>
          <w:color w:val="000000" w:themeColor="text1"/>
          <w14:textFill>
            <w14:solidFill>
              <w14:schemeClr w14:val="tx1"/>
            </w14:solidFill>
          </w14:textFill>
        </w:rPr>
        <w:t>（4）评价工作等级确定</w:t>
      </w:r>
    </w:p>
    <w:p>
      <w:pPr>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本项目所有污染源正常排放的污染物的</w:t>
      </w:r>
      <w:r>
        <w:rPr>
          <w:rFonts w:hint="default" w:ascii="Times New Roman" w:hAnsi="Times New Roman" w:cs="Times New Roman"/>
          <w:color w:val="000000" w:themeColor="text1"/>
          <w:szCs w:val="24"/>
          <w14:textFill>
            <w14:solidFill>
              <w14:schemeClr w14:val="tx1"/>
            </w14:solidFill>
          </w14:textFill>
        </w:rPr>
        <w:t>P</w:t>
      </w:r>
      <w:r>
        <w:rPr>
          <w:rFonts w:hint="default" w:ascii="Times New Roman" w:hAnsi="Times New Roman" w:cs="Times New Roman"/>
          <w:color w:val="000000" w:themeColor="text1"/>
          <w:szCs w:val="24"/>
          <w:vertAlign w:val="subscript"/>
          <w14:textFill>
            <w14:solidFill>
              <w14:schemeClr w14:val="tx1"/>
            </w14:solidFill>
          </w14:textFill>
        </w:rPr>
        <w:t>max</w:t>
      </w:r>
      <w:r>
        <w:rPr>
          <w:rFonts w:hint="default" w:ascii="Times New Roman" w:hAnsi="Times New Roman" w:cs="Times New Roman"/>
          <w:color w:val="000000" w:themeColor="text1"/>
          <w:szCs w:val="24"/>
          <w14:textFill>
            <w14:solidFill>
              <w14:schemeClr w14:val="tx1"/>
            </w14:solidFill>
          </w14:textFill>
        </w:rPr>
        <w:t>和D</w:t>
      </w:r>
      <w:r>
        <w:rPr>
          <w:rFonts w:hint="default" w:ascii="Times New Roman" w:hAnsi="Times New Roman" w:cs="Times New Roman"/>
          <w:color w:val="000000" w:themeColor="text1"/>
          <w:szCs w:val="24"/>
          <w:vertAlign w:val="subscript"/>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预测结果如下表所示：</w:t>
      </w:r>
    </w:p>
    <w:p>
      <w:pPr>
        <w:pStyle w:val="14"/>
        <w:spacing w:line="240" w:lineRule="auto"/>
        <w:rPr>
          <w:rFonts w:hint="default" w:ascii="Times New Roman" w:hAnsi="Times New Roman" w:cs="Times New Roman"/>
          <w:color w:val="000000" w:themeColor="text1"/>
          <w14:textFill>
            <w14:solidFill>
              <w14:schemeClr w14:val="tx1"/>
            </w14:solidFill>
          </w14:textFill>
        </w:rPr>
      </w:pPr>
      <w:bookmarkStart w:id="85" w:name="_Ref54164305"/>
      <w:r>
        <w:rPr>
          <w:rFonts w:hint="default" w:ascii="Times New Roman" w:hAnsi="Times New Roman" w:cs="Times New Roman"/>
          <w:color w:val="000000" w:themeColor="text1"/>
          <w:szCs w:val="24"/>
          <w14:textFill>
            <w14:solidFill>
              <w14:schemeClr w14:val="tx1"/>
            </w14:solidFill>
          </w14:textFill>
        </w:rPr>
        <w:t>表</w:t>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STYLEREF 2 \s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2</w:t>
      </w:r>
      <w:r>
        <w:rPr>
          <w:rFonts w:hint="eastAsia" w:ascii="Times New Roman" w:hAnsi="Times New Roman" w:cs="Times New Roman"/>
          <w:color w:val="000000" w:themeColor="text1"/>
          <w:szCs w:val="24"/>
          <w:lang w:val="en-US"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7</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noBreakHyphen/>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SEQ 表 \* ARABIC \s 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5</w:t>
      </w:r>
      <w:r>
        <w:rPr>
          <w:rFonts w:hint="default" w:ascii="Times New Roman" w:hAnsi="Times New Roman" w:cs="Times New Roman"/>
          <w:color w:val="000000" w:themeColor="text1"/>
          <w:szCs w:val="24"/>
          <w14:textFill>
            <w14:solidFill>
              <w14:schemeClr w14:val="tx1"/>
            </w14:solidFill>
          </w14:textFill>
        </w:rPr>
        <w:fldChar w:fldCharType="end"/>
      </w:r>
      <w:bookmarkEnd w:id="85"/>
      <w:r>
        <w:rPr>
          <w:rFonts w:hint="default" w:ascii="Times New Roman" w:hAnsi="Times New Roman" w:cs="Times New Roman"/>
          <w:color w:val="000000" w:themeColor="text1"/>
          <w:szCs w:val="24"/>
          <w14:textFill>
            <w14:solidFill>
              <w14:schemeClr w14:val="tx1"/>
            </w14:solidFill>
          </w14:textFill>
        </w:rPr>
        <w:t xml:space="preserve">  P</w:t>
      </w:r>
      <w:r>
        <w:rPr>
          <w:rFonts w:hint="default" w:ascii="Times New Roman" w:hAnsi="Times New Roman" w:cs="Times New Roman"/>
          <w:color w:val="000000" w:themeColor="text1"/>
          <w:szCs w:val="24"/>
          <w:vertAlign w:val="subscript"/>
          <w14:textFill>
            <w14:solidFill>
              <w14:schemeClr w14:val="tx1"/>
            </w14:solidFill>
          </w14:textFill>
        </w:rPr>
        <w:t>max</w:t>
      </w:r>
      <w:r>
        <w:rPr>
          <w:rFonts w:hint="default" w:ascii="Times New Roman" w:hAnsi="Times New Roman" w:cs="Times New Roman"/>
          <w:color w:val="000000" w:themeColor="text1"/>
          <w:szCs w:val="24"/>
          <w14:textFill>
            <w14:solidFill>
              <w14:schemeClr w14:val="tx1"/>
            </w14:solidFill>
          </w14:textFill>
        </w:rPr>
        <w:t>和D</w:t>
      </w:r>
      <w:r>
        <w:rPr>
          <w:rFonts w:hint="default" w:ascii="Times New Roman" w:hAnsi="Times New Roman" w:cs="Times New Roman"/>
          <w:color w:val="000000" w:themeColor="text1"/>
          <w:szCs w:val="24"/>
          <w:vertAlign w:val="subscript"/>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预测和计算结果一览表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43"/>
        <w:gridCol w:w="1540"/>
        <w:gridCol w:w="1927"/>
        <w:gridCol w:w="1526"/>
        <w:gridCol w:w="1498"/>
        <w:gridCol w:w="9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污染源名称</w:t>
            </w: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评价因子</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评价标准(μg/m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vertAlign w:val="subscript"/>
                <w14:textFill>
                  <w14:solidFill>
                    <w14:schemeClr w14:val="tx1"/>
                  </w14:solidFill>
                </w14:textFill>
              </w:rPr>
              <w:t>max</w:t>
            </w:r>
          </w:p>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vertAlign w:val="subscript"/>
                <w14:textFill>
                  <w14:solidFill>
                    <w14:schemeClr w14:val="tx1"/>
                  </w14:solidFill>
                </w14:textFill>
              </w:rPr>
              <w:t>max</w:t>
            </w:r>
          </w:p>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矩形面源</w:t>
            </w: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2000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6.3289</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0.32</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position w:val="2"/>
                <w:sz w:val="21"/>
                <w:szCs w:val="21"/>
                <w:lang w:val="en-US" w:eastAsia="zh-CN"/>
                <w14:textFill>
                  <w14:solidFill>
                    <w14:schemeClr w14:val="tx1"/>
                  </w14:solidFill>
                </w14:textFill>
              </w:rPr>
            </w:pPr>
            <w:r>
              <w:rPr>
                <w:rFonts w:hint="eastAsia" w:ascii="Times New Roman" w:hAnsi="Times New Roman" w:cs="Times New Roman"/>
                <w:color w:val="000000" w:themeColor="text1"/>
                <w:position w:val="2"/>
                <w:sz w:val="21"/>
                <w:szCs w:val="21"/>
                <w:lang w:val="en-US" w:eastAsia="zh-CN"/>
                <w14:textFill>
                  <w14:solidFill>
                    <w14:schemeClr w14:val="tx1"/>
                  </w14:solidFill>
                </w14:textFill>
              </w:rPr>
              <w:t>600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6.3289</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0.53</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position w:val="2"/>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10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0.018</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0.184</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position w:val="2"/>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200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0.163</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0.082</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pStyle w:val="14"/>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val="0"/>
          <w:color w:val="000000" w:themeColor="text1"/>
          <w:szCs w:val="24"/>
          <w14:textFill>
            <w14:solidFill>
              <w14:schemeClr w14:val="tx1"/>
            </w14:solidFill>
          </w14:textFill>
        </w:rPr>
        <w:t>综合以上分析，本项目P</w:t>
      </w:r>
      <w:r>
        <w:rPr>
          <w:rFonts w:hint="default" w:ascii="Times New Roman" w:hAnsi="Times New Roman" w:cs="Times New Roman"/>
          <w:b w:val="0"/>
          <w:color w:val="000000" w:themeColor="text1"/>
          <w:szCs w:val="24"/>
          <w:vertAlign w:val="subscript"/>
          <w14:textFill>
            <w14:solidFill>
              <w14:schemeClr w14:val="tx1"/>
            </w14:solidFill>
          </w14:textFill>
        </w:rPr>
        <w:t>max</w:t>
      </w:r>
      <w:r>
        <w:rPr>
          <w:rFonts w:hint="default" w:ascii="Times New Roman" w:hAnsi="Times New Roman" w:cs="Times New Roman"/>
          <w:b w:val="0"/>
          <w:color w:val="000000" w:themeColor="text1"/>
          <w:szCs w:val="24"/>
          <w14:textFill>
            <w14:solidFill>
              <w14:schemeClr w14:val="tx1"/>
            </w14:solidFill>
          </w14:textFill>
        </w:rPr>
        <w:t>最大值出现为面源排放的VOCs，P</w:t>
      </w:r>
      <w:r>
        <w:rPr>
          <w:rFonts w:hint="default" w:ascii="Times New Roman" w:hAnsi="Times New Roman" w:cs="Times New Roman"/>
          <w:b w:val="0"/>
          <w:color w:val="000000" w:themeColor="text1"/>
          <w:szCs w:val="24"/>
          <w:vertAlign w:val="subscript"/>
          <w14:textFill>
            <w14:solidFill>
              <w14:schemeClr w14:val="tx1"/>
            </w14:solidFill>
          </w14:textFill>
        </w:rPr>
        <w:t>max</w:t>
      </w:r>
      <w:r>
        <w:rPr>
          <w:rFonts w:hint="default" w:ascii="Times New Roman" w:hAnsi="Times New Roman" w:cs="Times New Roman"/>
          <w:b w:val="0"/>
          <w:color w:val="000000" w:themeColor="text1"/>
          <w:szCs w:val="24"/>
          <w14:textFill>
            <w14:solidFill>
              <w14:schemeClr w14:val="tx1"/>
            </w14:solidFill>
          </w14:textFill>
        </w:rPr>
        <w:t>值为0.53%，C</w:t>
      </w:r>
      <w:r>
        <w:rPr>
          <w:rFonts w:hint="default" w:ascii="Times New Roman" w:hAnsi="Times New Roman" w:cs="Times New Roman"/>
          <w:b w:val="0"/>
          <w:color w:val="000000" w:themeColor="text1"/>
          <w:szCs w:val="24"/>
          <w:vertAlign w:val="subscript"/>
          <w14:textFill>
            <w14:solidFill>
              <w14:schemeClr w14:val="tx1"/>
            </w14:solidFill>
          </w14:textFill>
        </w:rPr>
        <w:t>max</w:t>
      </w:r>
      <w:r>
        <w:rPr>
          <w:rFonts w:hint="default" w:ascii="Times New Roman" w:hAnsi="Times New Roman" w:cs="Times New Roman"/>
          <w:b w:val="0"/>
          <w:color w:val="000000" w:themeColor="text1"/>
          <w:szCs w:val="24"/>
          <w14:textFill>
            <w14:solidFill>
              <w14:schemeClr w14:val="tx1"/>
            </w14:solidFill>
          </w14:textFill>
        </w:rPr>
        <w:t>为6.3289μg/m</w:t>
      </w:r>
      <w:r>
        <w:rPr>
          <w:rFonts w:hint="default" w:ascii="Times New Roman" w:hAnsi="Times New Roman" w:cs="Times New Roman"/>
          <w:b w:val="0"/>
          <w:color w:val="000000" w:themeColor="text1"/>
          <w:szCs w:val="24"/>
          <w:vertAlign w:val="superscript"/>
          <w14:textFill>
            <w14:solidFill>
              <w14:schemeClr w14:val="tx1"/>
            </w14:solidFill>
          </w14:textFill>
        </w:rPr>
        <w:t>3</w:t>
      </w:r>
      <w:r>
        <w:rPr>
          <w:rFonts w:hint="default" w:ascii="Times New Roman" w:hAnsi="Times New Roman" w:cs="Times New Roman"/>
          <w:b w:val="0"/>
          <w:color w:val="000000" w:themeColor="text1"/>
          <w:szCs w:val="24"/>
          <w14:textFill>
            <w14:solidFill>
              <w14:schemeClr w14:val="tx1"/>
            </w14:solidFill>
          </w14:textFill>
        </w:rPr>
        <w:t>，根据《环境影响评价技术导则大气环境》(HJ2.2-2018)分级判据，确定本项目大气环境影响评价工作等级为三级。</w:t>
      </w:r>
    </w:p>
    <w:p>
      <w:pPr>
        <w:pStyle w:val="5"/>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水环境</w:t>
      </w:r>
      <w:bookmarkEnd w:id="83"/>
    </w:p>
    <w:p>
      <w:pPr>
        <w:pStyle w:val="93"/>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地表水</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由工程分析可知，项目废水预处理后排入</w:t>
      </w:r>
      <w:r>
        <w:rPr>
          <w:rFonts w:hint="eastAsia"/>
          <w:color w:val="000000" w:themeColor="text1"/>
          <w:szCs w:val="24"/>
          <w14:textFill>
            <w14:solidFill>
              <w14:schemeClr w14:val="tx1"/>
            </w14:solidFill>
          </w14:textFill>
        </w:rPr>
        <w:t>巴陵石化水务部云溪生化装置</w:t>
      </w:r>
      <w:r>
        <w:rPr>
          <w:color w:val="000000" w:themeColor="text1"/>
          <w:szCs w:val="24"/>
          <w14:textFill>
            <w14:solidFill>
              <w14:schemeClr w14:val="tx1"/>
            </w14:solidFill>
          </w14:textFill>
        </w:rPr>
        <w:t>处理达标后最终排入长江流域。</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本项目为水污染影响型建设项目，废水排放方式为间接排放。根据《环境影响评价技术导则</w:t>
      </w:r>
      <w:r>
        <w:rPr>
          <w:rFonts w:hint="eastAsia"/>
          <w:color w:val="000000" w:themeColor="text1"/>
          <w:szCs w:val="24"/>
          <w:lang w:eastAsia="zh-CN"/>
          <w14:textFill>
            <w14:solidFill>
              <w14:schemeClr w14:val="tx1"/>
            </w14:solidFill>
          </w14:textFill>
        </w:rPr>
        <w:t>—</w:t>
      </w:r>
      <w:r>
        <w:rPr>
          <w:color w:val="000000" w:themeColor="text1"/>
          <w:szCs w:val="24"/>
          <w14:textFill>
            <w14:solidFill>
              <w14:schemeClr w14:val="tx1"/>
            </w14:solidFill>
          </w14:textFill>
        </w:rPr>
        <w:t>地表水环境》（HJ2.3-2018）中“5.2.2.2间接排放建设项目评价等级为三级B”本项目地表水影响评价工作等级定位三级B。</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szCs w:val="24"/>
          <w14:textFill>
            <w14:solidFill>
              <w14:schemeClr w14:val="tx1"/>
            </w14:solidFill>
          </w14:textFill>
        </w:rPr>
        <w:t>因此，本次地表水环境影响评价仅对水体环境现状简要分析，评价项目水污染控制和水环境影响减缓措施有效性，对依托的污水处理设施的环境可行性进行评价。</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地面水环境影响评价工作等级判据具体见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_Ref531335409 \h  \* MERGEFORMAT </w:instrText>
      </w:r>
      <w:r>
        <w:rPr>
          <w:color w:val="000000" w:themeColor="text1"/>
          <w14:textFill>
            <w14:solidFill>
              <w14:schemeClr w14:val="tx1"/>
            </w14:solidFill>
          </w14:textFill>
        </w:rPr>
        <w:fldChar w:fldCharType="separate"/>
      </w:r>
      <w:r>
        <w:rPr>
          <w:color w:val="000000" w:themeColor="text1"/>
          <w:szCs w:val="24"/>
          <w14:textFill>
            <w14:solidFill>
              <w14:schemeClr w14:val="tx1"/>
            </w14:solidFill>
          </w14:textFill>
        </w:rPr>
        <w:t>表</w:t>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STYLEREF</w:instrText>
      </w:r>
      <w:r>
        <w:rPr>
          <w:color w:val="000000" w:themeColor="text1"/>
          <w14:textFill>
            <w14:solidFill>
              <w14:schemeClr w14:val="tx1"/>
            </w14:solidFill>
          </w14:textFill>
        </w:rPr>
        <w:instrText xml:space="preserve">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6</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t>。</w:t>
      </w:r>
    </w:p>
    <w:p>
      <w:pPr>
        <w:pStyle w:val="14"/>
        <w:spacing w:line="240" w:lineRule="auto"/>
        <w:rPr>
          <w:color w:val="000000" w:themeColor="text1"/>
          <w14:textFill>
            <w14:solidFill>
              <w14:schemeClr w14:val="tx1"/>
            </w14:solidFill>
          </w14:textFill>
        </w:rPr>
      </w:pPr>
      <w:bookmarkStart w:id="86" w:name="_Ref528452768"/>
      <w:bookmarkStart w:id="87" w:name="_Ref531335409"/>
      <w:r>
        <w:rPr>
          <w:color w:val="000000" w:themeColor="text1"/>
          <w14:textFill>
            <w14:solidFill>
              <w14:schemeClr w14:val="tx1"/>
            </w14:solidFill>
          </w14:textFill>
        </w:rPr>
        <w:t>表</w:t>
      </w:r>
      <w:bookmarkEnd w:id="86"/>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bookmarkEnd w:id="87"/>
      <w:r>
        <w:rPr>
          <w:color w:val="000000" w:themeColor="text1"/>
          <w14:textFill>
            <w14:solidFill>
              <w14:schemeClr w14:val="tx1"/>
            </w14:solidFill>
          </w14:textFill>
        </w:rPr>
        <w:t xml:space="preserve"> 地表水环境影响评价工作等级判据</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126"/>
        <w:gridCol w:w="5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评价等级</w:t>
            </w:r>
          </w:p>
        </w:tc>
        <w:tc>
          <w:tcPr>
            <w:tcW w:w="7716" w:type="dxa"/>
            <w:gridSpan w:val="2"/>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vMerge w:val="continue"/>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21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排放方式</w:t>
            </w:r>
          </w:p>
        </w:tc>
        <w:tc>
          <w:tcPr>
            <w:tcW w:w="559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废水排放量Q/（m</w:t>
            </w:r>
            <w:r>
              <w:rPr>
                <w:rFonts w:hint="default" w:ascii="Times New Roman" w:hAnsi="Times New Roman" w:cs="Times New Roman"/>
                <w:b w:val="0"/>
                <w:color w:val="000000" w:themeColor="text1"/>
                <w:sz w:val="21"/>
                <w:szCs w:val="21"/>
                <w:vertAlign w:val="superscript"/>
                <w14:textFill>
                  <w14:solidFill>
                    <w14:schemeClr w14:val="tx1"/>
                  </w14:solidFill>
                </w14:textFill>
              </w:rPr>
              <w:t>3</w:t>
            </w:r>
            <w:r>
              <w:rPr>
                <w:rFonts w:hint="default" w:ascii="Times New Roman" w:hAnsi="Times New Roman" w:cs="Times New Roman"/>
                <w:b w:val="0"/>
                <w:color w:val="000000" w:themeColor="text1"/>
                <w:sz w:val="21"/>
                <w:szCs w:val="21"/>
                <w14:textFill>
                  <w14:solidFill>
                    <w14:schemeClr w14:val="tx1"/>
                  </w14:solidFill>
                </w14:textFill>
              </w:rPr>
              <w:t>/d）；水污染物当数W/（量纲一）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一级</w:t>
            </w:r>
          </w:p>
        </w:tc>
        <w:tc>
          <w:tcPr>
            <w:tcW w:w="21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直接排放</w:t>
            </w:r>
          </w:p>
        </w:tc>
        <w:tc>
          <w:tcPr>
            <w:tcW w:w="559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二级</w:t>
            </w:r>
          </w:p>
        </w:tc>
        <w:tc>
          <w:tcPr>
            <w:tcW w:w="21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直接排放</w:t>
            </w:r>
          </w:p>
        </w:tc>
        <w:tc>
          <w:tcPr>
            <w:tcW w:w="559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三级A</w:t>
            </w:r>
          </w:p>
        </w:tc>
        <w:tc>
          <w:tcPr>
            <w:tcW w:w="21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直接排放</w:t>
            </w:r>
          </w:p>
        </w:tc>
        <w:tc>
          <w:tcPr>
            <w:tcW w:w="559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三级B</w:t>
            </w:r>
          </w:p>
        </w:tc>
        <w:tc>
          <w:tcPr>
            <w:tcW w:w="2126"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间接排放</w:t>
            </w:r>
          </w:p>
        </w:tc>
        <w:tc>
          <w:tcPr>
            <w:tcW w:w="5590"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r>
    </w:tbl>
    <w:p>
      <w:pPr>
        <w:pStyle w:val="93"/>
        <w:rPr>
          <w:color w:val="000000" w:themeColor="text1"/>
          <w14:textFill>
            <w14:solidFill>
              <w14:schemeClr w14:val="tx1"/>
            </w14:solidFill>
          </w14:textFill>
        </w:rPr>
      </w:pPr>
      <w:r>
        <w:rPr>
          <w:color w:val="000000" w:themeColor="text1"/>
          <w14:textFill>
            <w14:solidFill>
              <w14:schemeClr w14:val="tx1"/>
            </w14:solidFill>
          </w14:textFill>
        </w:rPr>
        <w:t>地下水</w:t>
      </w:r>
    </w:p>
    <w:p>
      <w:pPr>
        <w:spacing w:line="360" w:lineRule="auto"/>
        <w:ind w:firstLine="480" w:firstLineChars="20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参照《环境影响评价技术导则 地下水环境》(HJ 610-2016)附录A“地下水环境影响评价行业分类表”，本项目属于“L石化、化工，84、原油加工、天然气加工、油母页岩提炼原油、煤制油、生物制油及其他石油制品”中编制报告书的</w:t>
      </w:r>
      <w:r>
        <w:rPr>
          <w:rFonts w:hint="default" w:ascii="Times New Roman" w:hAnsi="Times New Roman" w:cs="Times New Roman"/>
          <w:bCs/>
          <w:color w:val="000000" w:themeColor="text1"/>
          <w14:textFill>
            <w14:solidFill>
              <w14:schemeClr w14:val="tx1"/>
            </w14:solidFill>
          </w14:textFill>
        </w:rPr>
        <w:t>项目，属于I类建设项目。</w:t>
      </w:r>
    </w:p>
    <w:p>
      <w:pPr>
        <w:pStyle w:val="132"/>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调查，项目周边无集中式饮用水水源准保护区、除集中式饮用水水源以外的国家或地方政府设定的与地下水环境相关的其它保护区，亦无集中式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同时，项目周边村民饮用水源均来自于长炼水厂，无分散式饮用水源。因此，项目区域属于地下水环境敏感程度分级中的不敏感地区。</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评价工作等级的划分应依据建设项目行业分类和地下水环境敏感程度分级进行判定。根据上述分析，项目所属的地下水环境影响评价项目类别为</w:t>
      </w:r>
      <w:r>
        <w:rPr>
          <w:rFonts w:hint="default" w:ascii="Times New Roman" w:hAnsi="Times New Roman" w:cs="Times New Roman"/>
          <w:b/>
          <w:bCs w:val="0"/>
          <w:color w:val="000000" w:themeColor="text1"/>
          <w14:textFill>
            <w14:solidFill>
              <w14:schemeClr w14:val="tx1"/>
            </w14:solidFill>
          </w14:textFill>
        </w:rPr>
        <w:t>I类</w:t>
      </w:r>
      <w:r>
        <w:rPr>
          <w:rFonts w:hint="default" w:ascii="Times New Roman" w:hAnsi="Times New Roman" w:cs="Times New Roman"/>
          <w:color w:val="000000" w:themeColor="text1"/>
          <w14:textFill>
            <w14:solidFill>
              <w14:schemeClr w14:val="tx1"/>
            </w14:solidFill>
          </w14:textFill>
        </w:rPr>
        <w:t>，地下水环境敏感程度为</w:t>
      </w:r>
      <w:r>
        <w:rPr>
          <w:rFonts w:hint="default" w:ascii="Times New Roman" w:hAnsi="Times New Roman" w:cs="Times New Roman"/>
          <w:b/>
          <w:color w:val="000000" w:themeColor="text1"/>
          <w14:textFill>
            <w14:solidFill>
              <w14:schemeClr w14:val="tx1"/>
            </w14:solidFill>
          </w14:textFill>
        </w:rPr>
        <w:t>不敏感</w:t>
      </w:r>
      <w:r>
        <w:rPr>
          <w:rFonts w:hint="default" w:ascii="Times New Roman" w:hAnsi="Times New Roman" w:cs="Times New Roman"/>
          <w:color w:val="000000" w:themeColor="text1"/>
          <w14:textFill>
            <w14:solidFill>
              <w14:schemeClr w14:val="tx1"/>
            </w14:solidFill>
          </w14:textFill>
        </w:rPr>
        <w:t>，对照评价工作等级分级表，确定本项目地下水环境影响评价工作等级为二级。根据《环境影响评价技术导则地下水环境》（HJ610-2016），评价范围为项目周边区域6km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范围。本项目地下水环境敏感程度分级</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_Ref271274448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，建设项目地下水环境影响评价工作等级划分具体见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_Ref53480539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pPr>
        <w:keepNext/>
        <w:ind w:firstLine="482" w:firstLineChars="200"/>
        <w:jc w:val="center"/>
        <w:rPr>
          <w:b/>
          <w:color w:val="000000" w:themeColor="text1"/>
          <w14:textFill>
            <w14:solidFill>
              <w14:schemeClr w14:val="tx1"/>
            </w14:solidFill>
          </w14:textFill>
        </w:rPr>
      </w:pPr>
      <w:bookmarkStart w:id="88" w:name="_Ref271274448"/>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b/>
          <w:color w:val="000000" w:themeColor="text1"/>
          <w14:textFill>
            <w14:solidFill>
              <w14:schemeClr w14:val="tx1"/>
            </w14:solidFill>
          </w14:textFill>
        </w:rPr>
        <w:fldChar w:fldCharType="end"/>
      </w:r>
      <w:bookmarkEnd w:id="88"/>
      <w:r>
        <w:rPr>
          <w:b/>
          <w:color w:val="000000" w:themeColor="text1"/>
          <w14:textFill>
            <w14:solidFill>
              <w14:schemeClr w14:val="tx1"/>
            </w14:solidFill>
          </w14:textFill>
        </w:rPr>
        <w:t xml:space="preserve">  本项目地下水环境敏感程度分级</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5235"/>
        <w:gridCol w:w="3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敏感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程度</w:t>
            </w:r>
          </w:p>
        </w:tc>
        <w:tc>
          <w:tcPr>
            <w:tcW w:w="2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地下水环境敏感特征</w:t>
            </w:r>
          </w:p>
        </w:tc>
        <w:tc>
          <w:tcPr>
            <w:tcW w:w="167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敏感</w:t>
            </w:r>
          </w:p>
        </w:tc>
        <w:tc>
          <w:tcPr>
            <w:tcW w:w="2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集中式饮用水水源（包括已建成的在用、备用、应急水源，在建和规划的水源）准保护区；除集中式饮用水水源以外的国家或地方政府设定的与地下水环境相关的其它保护区，如热水、矿泉水、温泉等特殊地下水资源保护区。</w:t>
            </w:r>
          </w:p>
        </w:tc>
        <w:tc>
          <w:tcPr>
            <w:tcW w:w="167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本项目地块内无集中式饮用水水源、地下水资源保护区或其它环境敏感区等；同时，项目周边居民饮用水源来自于长炼水厂（取自长江），分散式水井不作为饮用水源。因此，地下水敏感程度为不敏感。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较敏感</w:t>
            </w:r>
          </w:p>
        </w:tc>
        <w:tc>
          <w:tcPr>
            <w:tcW w:w="28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集中式饮用水水源（包括已建成的在用、备用、应急水源，在建和规划的水源）准保护区以外的补给径流区；特殊地下水资源（如矿泉水、温泉等）保护区以外的分布区等其它未列入上述敏感分级的环境敏感区。</w:t>
            </w:r>
          </w:p>
        </w:tc>
        <w:tc>
          <w:tcPr>
            <w:tcW w:w="1672" w:type="pct"/>
            <w:vMerge w:val="continue"/>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kern w:val="0"/>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94" w:type="pct"/>
            <w:shd w:val="pct20"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color w:val="000000" w:themeColor="text1"/>
                <w:kern w:val="0"/>
                <w:sz w:val="21"/>
                <w14:textFill>
                  <w14:solidFill>
                    <w14:schemeClr w14:val="tx1"/>
                  </w14:solidFill>
                </w14:textFill>
              </w:rPr>
            </w:pPr>
            <w:r>
              <w:rPr>
                <w:rFonts w:hint="default" w:ascii="Times New Roman" w:hAnsi="Times New Roman" w:eastAsia="宋体" w:cs="Times New Roman"/>
                <w:b/>
                <w:color w:val="000000" w:themeColor="text1"/>
                <w:kern w:val="0"/>
                <w:sz w:val="21"/>
                <w14:textFill>
                  <w14:solidFill>
                    <w14:schemeClr w14:val="tx1"/>
                  </w14:solidFill>
                </w14:textFill>
              </w:rPr>
              <w:t>不敏感</w:t>
            </w:r>
          </w:p>
        </w:tc>
        <w:tc>
          <w:tcPr>
            <w:tcW w:w="2832" w:type="pct"/>
            <w:shd w:val="pct20"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000000" w:themeColor="text1"/>
                <w:kern w:val="0"/>
                <w:sz w:val="21"/>
                <w14:textFill>
                  <w14:solidFill>
                    <w14:schemeClr w14:val="tx1"/>
                  </w14:solidFill>
                </w14:textFill>
              </w:rPr>
            </w:pPr>
            <w:r>
              <w:rPr>
                <w:rFonts w:hint="default" w:ascii="Times New Roman" w:hAnsi="Times New Roman" w:eastAsia="宋体" w:cs="Times New Roman"/>
                <w:b/>
                <w:color w:val="000000" w:themeColor="text1"/>
                <w:kern w:val="0"/>
                <w:sz w:val="21"/>
                <w14:textFill>
                  <w14:solidFill>
                    <w14:schemeClr w14:val="tx1"/>
                  </w14:solidFill>
                </w14:textFill>
              </w:rPr>
              <w:t>上述地区之外的其它地区。</w:t>
            </w:r>
          </w:p>
        </w:tc>
        <w:tc>
          <w:tcPr>
            <w:tcW w:w="1672" w:type="pct"/>
            <w:vMerge w:val="continue"/>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kern w:val="0"/>
                <w14:textFill>
                  <w14:solidFill>
                    <w14:schemeClr w14:val="tx1"/>
                  </w14:solidFill>
                </w14:textFill>
              </w:rPr>
            </w:pPr>
          </w:p>
        </w:tc>
      </w:tr>
    </w:tbl>
    <w:p>
      <w:pPr>
        <w:keepNext/>
        <w:ind w:firstLine="482" w:firstLineChars="200"/>
        <w:jc w:val="center"/>
        <w:rPr>
          <w:b/>
          <w:color w:val="000000" w:themeColor="text1"/>
          <w14:textFill>
            <w14:solidFill>
              <w14:schemeClr w14:val="tx1"/>
            </w14:solidFill>
          </w14:textFill>
        </w:rPr>
      </w:pPr>
      <w:bookmarkStart w:id="89" w:name="_Ref53480539"/>
      <w:r>
        <w:rPr>
          <w:b/>
          <w:color w:val="000000" w:themeColor="text1"/>
          <w14:textFill>
            <w14:solidFill>
              <w14:schemeClr w14:val="tx1"/>
            </w14:solidFill>
          </w14:textFill>
        </w:rPr>
        <w:t>表</w:t>
      </w:r>
      <w:bookmarkStart w:id="90" w:name="_Toc532497614"/>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b/>
          <w:color w:val="000000" w:themeColor="text1"/>
          <w14:textFill>
            <w14:solidFill>
              <w14:schemeClr w14:val="tx1"/>
            </w14:solidFill>
          </w14:textFill>
        </w:rPr>
        <w:fldChar w:fldCharType="end"/>
      </w:r>
      <w:bookmarkEnd w:id="89"/>
      <w:r>
        <w:rPr>
          <w:b/>
          <w:color w:val="000000" w:themeColor="text1"/>
          <w14:textFill>
            <w14:solidFill>
              <w14:schemeClr w14:val="tx1"/>
            </w14:solidFill>
          </w14:textFill>
        </w:rPr>
        <w:t xml:space="preserve">  地下水环境影响评价等级判据</w:t>
      </w:r>
    </w:p>
    <w:tbl>
      <w:tblPr>
        <w:tblStyle w:val="41"/>
        <w:tblW w:w="92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1950"/>
        <w:gridCol w:w="2091"/>
        <w:gridCol w:w="2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tcBorders>
              <w:tl2br w:val="single" w:color="auto" w:sz="4" w:space="0"/>
            </w:tcBorders>
            <w:noWrap w:val="0"/>
            <w:vAlign w:val="center"/>
          </w:tcPr>
          <w:p>
            <w:pPr>
              <w:keepNext w:val="0"/>
              <w:keepLines w:val="0"/>
              <w:suppressLineNumbers w:val="0"/>
              <w:spacing w:before="0" w:beforeAutospacing="0" w:after="0" w:afterAutospacing="0"/>
              <w:ind w:left="0" w:right="0" w:firstLine="420"/>
              <w:jc w:val="right"/>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 xml:space="preserve">   项目类别</w:t>
            </w:r>
          </w:p>
          <w:p>
            <w:pPr>
              <w:keepNext w:val="0"/>
              <w:keepLines w:val="0"/>
              <w:suppressLineNumbers w:val="0"/>
              <w:spacing w:before="0" w:beforeAutospacing="0" w:after="0" w:afterAutospacing="0"/>
              <w:ind w:left="0" w:right="0" w:firstLine="420"/>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环境敏感程度</w:t>
            </w:r>
          </w:p>
        </w:tc>
        <w:tc>
          <w:tcPr>
            <w:tcW w:w="195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I类项目</w:t>
            </w:r>
          </w:p>
        </w:tc>
        <w:tc>
          <w:tcPr>
            <w:tcW w:w="209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II类项目</w:t>
            </w:r>
          </w:p>
        </w:tc>
        <w:tc>
          <w:tcPr>
            <w:tcW w:w="223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III类项目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敏感</w:t>
            </w:r>
          </w:p>
        </w:tc>
        <w:tc>
          <w:tcPr>
            <w:tcW w:w="195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一</w:t>
            </w:r>
          </w:p>
        </w:tc>
        <w:tc>
          <w:tcPr>
            <w:tcW w:w="209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一</w:t>
            </w:r>
          </w:p>
        </w:tc>
        <w:tc>
          <w:tcPr>
            <w:tcW w:w="223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较敏感</w:t>
            </w:r>
          </w:p>
        </w:tc>
        <w:tc>
          <w:tcPr>
            <w:tcW w:w="1950" w:type="dxa"/>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一</w:t>
            </w:r>
          </w:p>
        </w:tc>
        <w:tc>
          <w:tcPr>
            <w:tcW w:w="209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二</w:t>
            </w:r>
          </w:p>
        </w:tc>
        <w:tc>
          <w:tcPr>
            <w:tcW w:w="223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0" w:type="dxa"/>
            <w:shd w:val="clear" w:color="auto" w:fill="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不敏感</w:t>
            </w:r>
          </w:p>
        </w:tc>
        <w:tc>
          <w:tcPr>
            <w:tcW w:w="1950" w:type="dxa"/>
            <w:tcBorders>
              <w:top w:val="single" w:color="auto" w:sz="4" w:space="0"/>
              <w:bottom w:val="single" w:color="auto" w:sz="12" w:space="0"/>
            </w:tcBorders>
            <w:shd w:val="pct25" w:color="auto" w:fill="auto"/>
            <w:noWrap w:val="0"/>
            <w:vAlign w:val="center"/>
          </w:tcPr>
          <w:p>
            <w:pPr>
              <w:pStyle w:val="73"/>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w:t>
            </w:r>
          </w:p>
        </w:tc>
        <w:tc>
          <w:tcPr>
            <w:tcW w:w="209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三</w:t>
            </w:r>
          </w:p>
        </w:tc>
        <w:tc>
          <w:tcPr>
            <w:tcW w:w="223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三</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声环境</w:t>
      </w:r>
      <w:bookmarkEnd w:id="90"/>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中石化巴陵石油化工有限公司炼油部厂区内，本项目工程所在地声环境功能区划属3类区，本项目各类噪声设备在经过减振、隔声等降噪措施后，最大增量不超过3dB(A)，受影响人口变化不大，根据《环境影响评价技术导则一声环境》(HJ2.4-2009)的评价分级原则，声环境影响评价工作等级为三级。评价范围为厂界周围200m范围内可能受影响的敏感目标。声环境影响评价工作等级判据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_Ref531335518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pPr>
        <w:pStyle w:val="14"/>
        <w:spacing w:line="240" w:lineRule="auto"/>
        <w:rPr>
          <w:color w:val="000000" w:themeColor="text1"/>
          <w14:textFill>
            <w14:solidFill>
              <w14:schemeClr w14:val="tx1"/>
            </w14:solidFill>
          </w14:textFill>
        </w:rPr>
      </w:pPr>
      <w:bookmarkStart w:id="91" w:name="_Ref528452971"/>
      <w:bookmarkStart w:id="92" w:name="_Ref531335518"/>
      <w:r>
        <w:rPr>
          <w:color w:val="000000" w:themeColor="text1"/>
          <w14:textFill>
            <w14:solidFill>
              <w14:schemeClr w14:val="tx1"/>
            </w14:solidFill>
          </w14:textFill>
        </w:rPr>
        <w:t>表</w:t>
      </w:r>
      <w:bookmarkEnd w:id="91"/>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bookmarkEnd w:id="92"/>
      <w:r>
        <w:rPr>
          <w:color w:val="000000" w:themeColor="text1"/>
          <w14:textFill>
            <w14:solidFill>
              <w14:schemeClr w14:val="tx1"/>
            </w14:solidFill>
          </w14:textFill>
        </w:rPr>
        <w:t xml:space="preserve">  声环境影响评价工作等级判据</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124"/>
        <w:gridCol w:w="41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项目</w:t>
            </w:r>
          </w:p>
        </w:tc>
        <w:tc>
          <w:tcPr>
            <w:tcW w:w="2228"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周围环境适用标准</w:t>
            </w:r>
          </w:p>
        </w:tc>
        <w:tc>
          <w:tcPr>
            <w:tcW w:w="2228"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GB3096-2008中的3类标准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周围环境受项目影响噪声增加量</w:t>
            </w:r>
          </w:p>
        </w:tc>
        <w:tc>
          <w:tcPr>
            <w:tcW w:w="2228"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3dB(A)以内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772"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评价工作等级</w:t>
            </w:r>
          </w:p>
        </w:tc>
        <w:tc>
          <w:tcPr>
            <w:tcW w:w="2228" w:type="pct"/>
            <w:noWrap w:val="0"/>
            <w:vAlign w:val="center"/>
          </w:tcPr>
          <w:p>
            <w:pPr>
              <w:keepNext w:val="0"/>
              <w:keepLines w:val="0"/>
              <w:suppressLineNumbers w:val="0"/>
              <w:spacing w:before="0" w:beforeAutospacing="0" w:after="0" w:afterAutospacing="0" w:line="320" w:lineRule="exact"/>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三级</w:t>
            </w:r>
          </w:p>
        </w:tc>
      </w:tr>
    </w:tbl>
    <w:p>
      <w:pPr>
        <w:pStyle w:val="5"/>
        <w:rPr>
          <w:color w:val="000000" w:themeColor="text1"/>
          <w14:textFill>
            <w14:solidFill>
              <w14:schemeClr w14:val="tx1"/>
            </w14:solidFill>
          </w14:textFill>
        </w:rPr>
      </w:pPr>
      <w:bookmarkStart w:id="93" w:name="_Toc532497615"/>
      <w:r>
        <w:rPr>
          <w:color w:val="000000" w:themeColor="text1"/>
          <w14:textFill>
            <w14:solidFill>
              <w14:schemeClr w14:val="tx1"/>
            </w14:solidFill>
          </w14:textFill>
        </w:rPr>
        <w:t>生态环境</w:t>
      </w:r>
      <w:bookmarkEnd w:id="93"/>
    </w:p>
    <w:p>
      <w:pPr>
        <w:pStyle w:val="132"/>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cs="Times New Roman"/>
          <w:color w:val="000000" w:themeColor="text1"/>
          <w:lang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建部分新增占地面积为0.034hm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，项目占地范围内无珍稀动、植物分布，不涉及《环境影响评价技术导则 生态影响》(HJ19-2011)中规定特殊生态敏感区和重要生态敏感区，属于一般区域。生态影响评价工作等级划分依据具体见下表。</w:t>
      </w:r>
    </w:p>
    <w:p>
      <w:pPr>
        <w:rPr>
          <w:rFonts w:hint="default" w:ascii="Times New Roman" w:hAnsi="Times New Roman" w:cs="Times New Roman"/>
          <w:b/>
          <w:color w:val="000000" w:themeColor="text1"/>
          <w14:textFill>
            <w14:solidFill>
              <w14:schemeClr w14:val="tx1"/>
            </w14:solidFill>
          </w14:textFill>
        </w:rPr>
      </w:pPr>
      <w:bookmarkStart w:id="94" w:name="_Ref493603607"/>
      <w:r>
        <w:rPr>
          <w:rFonts w:hint="default" w:ascii="Times New Roman" w:hAnsi="Times New Roman" w:cs="Times New Roman"/>
          <w:b/>
          <w:color w:val="000000" w:themeColor="text1"/>
          <w14:textFill>
            <w14:solidFill>
              <w14:schemeClr w14:val="tx1"/>
            </w14:solidFill>
          </w14:textFill>
        </w:rPr>
        <w:br w:type="page"/>
      </w:r>
    </w:p>
    <w:p>
      <w:pPr>
        <w:widowControl/>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STYLEREF 2 \s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2</w:t>
      </w:r>
      <w:r>
        <w:rPr>
          <w:rFonts w:hint="default" w:ascii="Times New Roman" w:hAnsi="Times New Roman" w:cs="Times New Roman"/>
          <w:b/>
          <w:color w:val="000000" w:themeColor="text1"/>
          <w:lang w:val="en-US" w:eastAsia="zh-CN"/>
          <w14:textFill>
            <w14:solidFill>
              <w14:schemeClr w14:val="tx1"/>
            </w14:solidFill>
          </w14:textFill>
        </w:rPr>
        <w:t>.</w:t>
      </w:r>
      <w:r>
        <w:rPr>
          <w:rFonts w:hint="default" w:ascii="Times New Roman" w:hAnsi="Times New Roman" w:cs="Times New Roman"/>
          <w:b/>
          <w:color w:val="000000" w:themeColor="text1"/>
          <w14:textFill>
            <w14:solidFill>
              <w14:schemeClr w14:val="tx1"/>
            </w14:solidFill>
          </w14:textFill>
        </w:rPr>
        <w:t>7</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noBreakHyphen/>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SEQ 表 \* ARABIC \s 2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10</w:t>
      </w:r>
      <w:r>
        <w:rPr>
          <w:rFonts w:hint="default" w:ascii="Times New Roman" w:hAnsi="Times New Roman" w:cs="Times New Roman"/>
          <w:b/>
          <w:color w:val="000000" w:themeColor="text1"/>
          <w14:textFill>
            <w14:solidFill>
              <w14:schemeClr w14:val="tx1"/>
            </w14:solidFill>
          </w14:textFill>
        </w:rPr>
        <w:fldChar w:fldCharType="end"/>
      </w:r>
      <w:bookmarkEnd w:id="94"/>
      <w:r>
        <w:rPr>
          <w:rFonts w:hint="default" w:ascii="Times New Roman" w:hAnsi="Times New Roman" w:cs="Times New Roman"/>
          <w:b/>
          <w:color w:val="000000" w:themeColor="text1"/>
          <w14:textFill>
            <w14:solidFill>
              <w14:schemeClr w14:val="tx1"/>
            </w14:solidFill>
          </w14:textFill>
        </w:rPr>
        <w:t xml:space="preserve"> </w:t>
      </w:r>
      <w:r>
        <w:rPr>
          <w:rFonts w:hint="default"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cs="Times New Roman"/>
          <w:b/>
          <w:color w:val="000000" w:themeColor="text1"/>
          <w14:textFill>
            <w14:solidFill>
              <w14:schemeClr w14:val="tx1"/>
            </w14:solidFill>
          </w14:textFill>
        </w:rPr>
        <w:t>生态影响评价工作等级划分表</w:t>
      </w:r>
    </w:p>
    <w:tbl>
      <w:tblPr>
        <w:tblStyle w:val="41"/>
        <w:tblW w:w="924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2727"/>
        <w:gridCol w:w="1920"/>
        <w:gridCol w:w="2673"/>
        <w:gridCol w:w="192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Merge w:val="restart"/>
            <w:noWrap w:val="0"/>
            <w:vAlign w:val="center"/>
          </w:tcPr>
          <w:p>
            <w:pPr>
              <w:keepNext w:val="0"/>
              <w:keepLines w:val="0"/>
              <w:suppressLineNumbers w:val="0"/>
              <w:spacing w:before="0" w:beforeAutospacing="0" w:after="0" w:afterAutospacing="0"/>
              <w:ind w:left="0" w:right="-566" w:rightChars="-236"/>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影响区域生态敏感性</w:t>
            </w:r>
          </w:p>
        </w:tc>
        <w:tc>
          <w:tcPr>
            <w:tcW w:w="6515" w:type="dxa"/>
            <w:gridSpan w:val="3"/>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工程占地（水域）范围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vMerge w:val="continue"/>
            <w:noWrap w:val="0"/>
            <w:vAlign w:val="center"/>
          </w:tcPr>
          <w:p>
            <w:pPr>
              <w:keepNext w:val="0"/>
              <w:keepLines w:val="0"/>
              <w:suppressLineNumbers w:val="0"/>
              <w:spacing w:before="0" w:beforeAutospacing="0" w:after="0" w:afterAutospacing="0"/>
              <w:ind w:left="0" w:right="0" w:firstLine="480"/>
              <w:jc w:val="center"/>
              <w:rPr>
                <w:rFonts w:eastAsia="宋体" w:cs="Times New Roman"/>
                <w:color w:val="000000" w:themeColor="text1"/>
                <w:sz w:val="21"/>
                <w14:textFill>
                  <w14:solidFill>
                    <w14:schemeClr w14:val="tx1"/>
                  </w14:solidFill>
                </w14:textFill>
              </w:rPr>
            </w:pPr>
          </w:p>
        </w:tc>
        <w:tc>
          <w:tcPr>
            <w:tcW w:w="1920"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面积≥20km</w:t>
            </w:r>
            <w:r>
              <w:rPr>
                <w:rFonts w:eastAsia="宋体" w:cs="Times New Roman"/>
                <w:color w:val="000000" w:themeColor="text1"/>
                <w:sz w:val="21"/>
                <w:vertAlign w:val="superscript"/>
                <w14:textFill>
                  <w14:solidFill>
                    <w14:schemeClr w14:val="tx1"/>
                  </w14:solidFill>
                </w14:textFill>
              </w:rPr>
              <w:t>2</w:t>
            </w:r>
            <w:r>
              <w:rPr>
                <w:rFonts w:eastAsia="宋体" w:cs="Times New Roman"/>
                <w:color w:val="000000" w:themeColor="text1"/>
                <w:sz w:val="21"/>
                <w14:textFill>
                  <w14:solidFill>
                    <w14:schemeClr w14:val="tx1"/>
                  </w14:solidFill>
                </w14:textFill>
              </w:rPr>
              <w:t>长度≥100km</w:t>
            </w:r>
          </w:p>
        </w:tc>
        <w:tc>
          <w:tcPr>
            <w:tcW w:w="2673"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面积2km</w:t>
            </w:r>
            <w:r>
              <w:rPr>
                <w:rFonts w:eastAsia="宋体" w:cs="Times New Roman"/>
                <w:color w:val="000000" w:themeColor="text1"/>
                <w:sz w:val="21"/>
                <w:vertAlign w:val="superscript"/>
                <w14:textFill>
                  <w14:solidFill>
                    <w14:schemeClr w14:val="tx1"/>
                  </w14:solidFill>
                </w14:textFill>
              </w:rPr>
              <w:t>2</w:t>
            </w:r>
            <w:r>
              <w:rPr>
                <w:rFonts w:eastAsia="宋体" w:cs="Times New Roman"/>
                <w:color w:val="000000" w:themeColor="text1"/>
                <w:sz w:val="21"/>
                <w14:textFill>
                  <w14:solidFill>
                    <w14:schemeClr w14:val="tx1"/>
                  </w14:solidFill>
                </w14:textFill>
              </w:rPr>
              <w:t>～20km</w:t>
            </w:r>
            <w:r>
              <w:rPr>
                <w:rFonts w:eastAsia="宋体" w:cs="Times New Roman"/>
                <w:color w:val="000000" w:themeColor="text1"/>
                <w:sz w:val="21"/>
                <w:vertAlign w:val="superscript"/>
                <w14:textFill>
                  <w14:solidFill>
                    <w14:schemeClr w14:val="tx1"/>
                  </w14:solidFill>
                </w14:textFill>
              </w:rPr>
              <w:t>2</w:t>
            </w:r>
            <w:r>
              <w:rPr>
                <w:rFonts w:eastAsia="宋体" w:cs="Times New Roman"/>
                <w:color w:val="000000" w:themeColor="text1"/>
                <w:sz w:val="21"/>
                <w14:textFill>
                  <w14:solidFill>
                    <w14:schemeClr w14:val="tx1"/>
                  </w14:solidFill>
                </w14:textFill>
              </w:rPr>
              <w:t>或长度50km～100km</w:t>
            </w:r>
          </w:p>
        </w:tc>
        <w:tc>
          <w:tcPr>
            <w:tcW w:w="1922"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面积≤2km</w:t>
            </w:r>
            <w:r>
              <w:rPr>
                <w:rFonts w:eastAsia="宋体" w:cs="Times New Roman"/>
                <w:color w:val="000000" w:themeColor="text1"/>
                <w:sz w:val="21"/>
                <w:vertAlign w:val="superscript"/>
                <w14:textFill>
                  <w14:solidFill>
                    <w14:schemeClr w14:val="tx1"/>
                  </w14:solidFill>
                </w14:textFill>
              </w:rPr>
              <w:t>2</w:t>
            </w:r>
            <w:r>
              <w:rPr>
                <w:rFonts w:eastAsia="宋体" w:cs="Times New Roman"/>
                <w:color w:val="000000" w:themeColor="text1"/>
                <w:sz w:val="21"/>
                <w14:textFill>
                  <w14:solidFill>
                    <w14:schemeClr w14:val="tx1"/>
                  </w14:solidFill>
                </w14:textFill>
              </w:rPr>
              <w:t>或长度≤50km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特殊生态敏感区</w:t>
            </w:r>
          </w:p>
        </w:tc>
        <w:tc>
          <w:tcPr>
            <w:tcW w:w="1920"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一级</w:t>
            </w:r>
          </w:p>
        </w:tc>
        <w:tc>
          <w:tcPr>
            <w:tcW w:w="2673"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一级</w:t>
            </w:r>
          </w:p>
        </w:tc>
        <w:tc>
          <w:tcPr>
            <w:tcW w:w="1922"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一级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重要生态敏感区</w:t>
            </w:r>
          </w:p>
        </w:tc>
        <w:tc>
          <w:tcPr>
            <w:tcW w:w="1920"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一级</w:t>
            </w:r>
          </w:p>
        </w:tc>
        <w:tc>
          <w:tcPr>
            <w:tcW w:w="2673"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二级</w:t>
            </w:r>
          </w:p>
        </w:tc>
        <w:tc>
          <w:tcPr>
            <w:tcW w:w="1922"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2727"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一般区域</w:t>
            </w:r>
          </w:p>
        </w:tc>
        <w:tc>
          <w:tcPr>
            <w:tcW w:w="1920"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二级</w:t>
            </w:r>
          </w:p>
        </w:tc>
        <w:tc>
          <w:tcPr>
            <w:tcW w:w="2673"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三级</w:t>
            </w:r>
          </w:p>
        </w:tc>
        <w:tc>
          <w:tcPr>
            <w:tcW w:w="1922"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三级</w:t>
            </w:r>
          </w:p>
        </w:tc>
      </w:tr>
    </w:tbl>
    <w:p>
      <w:pPr>
        <w:adjustRightInd w:val="0"/>
        <w:snapToGrid w:val="0"/>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本项目在原有场地内进行建设，根据《环境影响评价技术导则  生态影响》（HJ19-2011）中4.2.1规定，“位于原厂界（或永久用地）范围内的工业类</w:t>
      </w:r>
      <w:r>
        <w:rPr>
          <w:rFonts w:hint="default" w:ascii="Times New Roman" w:hAnsi="Times New Roman" w:eastAsia="宋体" w:cs="Times New Roman"/>
          <w:color w:val="000000" w:themeColor="text1"/>
          <w:szCs w:val="24"/>
          <w:lang w:eastAsia="zh-CN"/>
          <w14:textFill>
            <w14:solidFill>
              <w14:schemeClr w14:val="tx1"/>
            </w14:solidFill>
          </w14:textFill>
        </w:rPr>
        <w:t>新</w:t>
      </w:r>
      <w:r>
        <w:rPr>
          <w:rFonts w:hint="default" w:ascii="Times New Roman" w:hAnsi="Times New Roman" w:cs="Times New Roman"/>
          <w:color w:val="000000" w:themeColor="text1"/>
          <w:szCs w:val="24"/>
          <w14:textFill>
            <w14:solidFill>
              <w14:schemeClr w14:val="tx1"/>
            </w14:solidFill>
          </w14:textFill>
        </w:rPr>
        <w:t>建项目，可做生态影响分析”，因此确定本次生态影响评价工作等级为三级，进行简单分析。</w:t>
      </w:r>
    </w:p>
    <w:p>
      <w:pPr>
        <w:pStyle w:val="5"/>
        <w:rPr>
          <w:color w:val="000000" w:themeColor="text1"/>
          <w14:textFill>
            <w14:solidFill>
              <w14:schemeClr w14:val="tx1"/>
            </w14:solidFill>
          </w14:textFill>
        </w:rPr>
      </w:pPr>
      <w:bookmarkStart w:id="95" w:name="_Toc532497616"/>
      <w:r>
        <w:rPr>
          <w:color w:val="000000" w:themeColor="text1"/>
          <w14:textFill>
            <w14:solidFill>
              <w14:schemeClr w14:val="tx1"/>
            </w14:solidFill>
          </w14:textFill>
        </w:rPr>
        <w:t>风险评价工作等级</w:t>
      </w:r>
      <w:bookmarkEnd w:id="95"/>
    </w:p>
    <w:p>
      <w:pPr>
        <w:adjustRightInd w:val="0"/>
        <w:snapToGrid w:val="0"/>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根据《建设项目环境风险评价技术导则》（HJ169-2018），环境风险评价工作等级根据建设项目涉及的物质及工艺系统危险性和所在地的环境敏感性确定环境风险潜势，按照下表确定评价工作等级。</w:t>
      </w:r>
    </w:p>
    <w:p>
      <w:pPr>
        <w:pStyle w:val="14"/>
        <w:spacing w:line="240" w:lineRule="auto"/>
        <w:rPr>
          <w:rFonts w:hint="default" w:ascii="Times New Roman" w:hAnsi="Times New Roman" w:cs="Times New Roman"/>
          <w:color w:val="000000" w:themeColor="text1"/>
          <w14:textFill>
            <w14:solidFill>
              <w14:schemeClr w14:val="tx1"/>
            </w14:solidFill>
          </w14:textFill>
        </w:rPr>
      </w:pPr>
      <w:bookmarkStart w:id="96" w:name="_Ref530598678"/>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fldChar w:fldCharType="end"/>
      </w:r>
      <w:bookmarkEnd w:id="96"/>
      <w:r>
        <w:rPr>
          <w:rFonts w:hint="default" w:ascii="Times New Roman" w:hAnsi="Times New Roman" w:cs="Times New Roman"/>
          <w:color w:val="000000" w:themeColor="text1"/>
          <w14:textFill>
            <w14:solidFill>
              <w14:schemeClr w14:val="tx1"/>
            </w14:solidFill>
          </w14:textFill>
        </w:rPr>
        <w:t xml:space="preserve"> 环境风险评价工作级别</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848"/>
        <w:gridCol w:w="1848"/>
        <w:gridCol w:w="1849"/>
        <w:gridCol w:w="1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环境风险潜势</w:t>
            </w:r>
          </w:p>
        </w:tc>
        <w:tc>
          <w:tcPr>
            <w:tcW w:w="1848"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Ⅳ、Ⅳ</w:t>
            </w:r>
            <w:r>
              <w:rPr>
                <w:rFonts w:hint="default" w:ascii="Times New Roman" w:hAnsi="Times New Roman" w:cs="Times New Roman"/>
                <w:b w:val="0"/>
                <w:color w:val="000000" w:themeColor="text1"/>
                <w:sz w:val="21"/>
                <w:szCs w:val="21"/>
                <w:vertAlign w:val="superscript"/>
                <w14:textFill>
                  <w14:solidFill>
                    <w14:schemeClr w14:val="tx1"/>
                  </w14:solidFill>
                </w14:textFill>
              </w:rPr>
              <w:t>＋</w:t>
            </w:r>
          </w:p>
        </w:tc>
        <w:tc>
          <w:tcPr>
            <w:tcW w:w="1848"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Ⅲ</w:t>
            </w:r>
          </w:p>
        </w:tc>
        <w:tc>
          <w:tcPr>
            <w:tcW w:w="1849"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Ⅱ</w:t>
            </w:r>
          </w:p>
        </w:tc>
        <w:tc>
          <w:tcPr>
            <w:tcW w:w="1849"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8"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评价工作等级</w:t>
            </w:r>
          </w:p>
        </w:tc>
        <w:tc>
          <w:tcPr>
            <w:tcW w:w="1848"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一</w:t>
            </w:r>
          </w:p>
        </w:tc>
        <w:tc>
          <w:tcPr>
            <w:tcW w:w="1848"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二</w:t>
            </w:r>
          </w:p>
        </w:tc>
        <w:tc>
          <w:tcPr>
            <w:tcW w:w="1849"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三</w:t>
            </w:r>
          </w:p>
        </w:tc>
        <w:tc>
          <w:tcPr>
            <w:tcW w:w="1849" w:type="dxa"/>
            <w:noWrap w:val="0"/>
            <w:vAlign w:val="top"/>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简单分析</w:t>
            </w:r>
            <w:r>
              <w:rPr>
                <w:rFonts w:hint="default" w:ascii="Times New Roman" w:hAnsi="Times New Roman" w:cs="Times New Roman"/>
                <w:b w:val="0"/>
                <w:color w:val="000000" w:themeColor="text1"/>
                <w:sz w:val="21"/>
                <w:szCs w:val="21"/>
                <w:vertAlign w:val="superscript"/>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5"/>
            <w:noWrap w:val="0"/>
            <w:vAlign w:val="top"/>
          </w:tcPr>
          <w:p>
            <w:pPr>
              <w:pStyle w:val="14"/>
              <w:keepNext w:val="0"/>
              <w:keepLines w:val="0"/>
              <w:suppressLineNumbers w:val="0"/>
              <w:spacing w:before="0" w:beforeAutospacing="0" w:after="0" w:afterAutospacing="0" w:line="240" w:lineRule="auto"/>
              <w:ind w:left="0" w:right="0"/>
              <w:jc w:val="both"/>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是相对于详细评价工作内容而言，在描述危险物质、环境影响途径、环境危害后果、风险防范措施等方面给出定性的说明。见附录A。</w:t>
            </w:r>
          </w:p>
        </w:tc>
      </w:tr>
    </w:tbl>
    <w:p>
      <w:pPr>
        <w:autoSpaceDE w:val="0"/>
        <w:autoSpaceDN w:val="0"/>
        <w:adjustRightInd w:val="0"/>
        <w:spacing w:line="360" w:lineRule="auto"/>
        <w:ind w:firstLine="472" w:firstLineChars="200"/>
        <w:jc w:val="left"/>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pacing w:val="-2"/>
          <w:szCs w:val="24"/>
          <w:lang w:val="en-US" w:eastAsia="zh-CN"/>
          <w14:textFill>
            <w14:solidFill>
              <w14:schemeClr w14:val="tx1"/>
            </w14:solidFill>
          </w14:textFill>
        </w:rPr>
        <w:t>根据计算本项目危险物质数量与临界量比值为</w:t>
      </w:r>
      <w:r>
        <w:rPr>
          <w:rFonts w:hint="default" w:ascii="Times New Roman" w:hAnsi="Times New Roman" w:cs="Times New Roman"/>
          <w:color w:val="000000" w:themeColor="text1"/>
          <w14:textFill>
            <w14:solidFill>
              <w14:schemeClr w14:val="tx1"/>
            </w14:solidFill>
          </w14:textFill>
        </w:rPr>
        <w:t>Q=</w:t>
      </w:r>
      <w:r>
        <w:rPr>
          <w:rFonts w:hint="default" w:ascii="Times New Roman" w:hAnsi="Times New Roman" w:cs="Times New Roman"/>
          <w:color w:val="000000" w:themeColor="text1"/>
          <w:lang w:val="en-US" w:eastAsia="zh-CN"/>
          <w14:textFill>
            <w14:solidFill>
              <w14:schemeClr w14:val="tx1"/>
            </w14:solidFill>
          </w14:textFill>
        </w:rPr>
        <w:t>0.095508，</w:t>
      </w:r>
      <w:r>
        <w:rPr>
          <w:rFonts w:hint="default" w:ascii="Times New Roman" w:hAnsi="Times New Roman" w:cs="Times New Roman"/>
          <w:color w:val="000000" w:themeColor="text1"/>
          <w:spacing w:val="-2"/>
          <w:szCs w:val="24"/>
          <w14:textFill>
            <w14:solidFill>
              <w14:schemeClr w14:val="tx1"/>
            </w14:solidFill>
          </w14:textFill>
        </w:rPr>
        <w:t>依据《建设项目环境风险评价技术导则》（HJ169-2018），</w:t>
      </w:r>
      <w:r>
        <w:rPr>
          <w:rFonts w:hint="default" w:ascii="Times New Roman" w:hAnsi="Times New Roman" w:cs="Times New Roman"/>
          <w:color w:val="000000" w:themeColor="text1"/>
          <w:spacing w:val="-2"/>
          <w:szCs w:val="24"/>
          <w:lang w:val="en-US" w:eastAsia="zh-CN"/>
          <w14:textFill>
            <w14:solidFill>
              <w14:schemeClr w14:val="tx1"/>
            </w14:solidFill>
          </w14:textFill>
        </w:rPr>
        <w:t>当Q≤1时，该项目环境风险潜势为</w:t>
      </w:r>
      <w:r>
        <w:rPr>
          <w:rFonts w:hint="default" w:ascii="Times New Roman" w:hAnsi="Times New Roman" w:cs="Times New Roman"/>
          <w:color w:val="000000" w:themeColor="text1"/>
          <w:spacing w:val="-2"/>
          <w:szCs w:val="24"/>
          <w14:textFill>
            <w14:solidFill>
              <w14:schemeClr w14:val="tx1"/>
            </w14:solidFill>
          </w14:textFill>
        </w:rPr>
        <w:t>Ⅰ，因此本项目风险评价等级为</w:t>
      </w:r>
      <w:r>
        <w:rPr>
          <w:rFonts w:hint="default" w:ascii="Times New Roman" w:hAnsi="Times New Roman" w:cs="Times New Roman"/>
          <w:b w:val="0"/>
          <w:color w:val="000000" w:themeColor="text1"/>
          <w:sz w:val="24"/>
          <w:szCs w:val="24"/>
          <w14:textFill>
            <w14:solidFill>
              <w14:schemeClr w14:val="tx1"/>
            </w14:solidFill>
          </w14:textFill>
        </w:rPr>
        <w:t>简单分析</w:t>
      </w:r>
      <w:r>
        <w:rPr>
          <w:rFonts w:hint="default" w:ascii="Times New Roman" w:hAnsi="Times New Roman" w:cs="Times New Roman"/>
          <w:b w:val="0"/>
          <w:color w:val="000000" w:themeColor="text1"/>
          <w:sz w:val="24"/>
          <w:szCs w:val="24"/>
          <w:vertAlign w:val="superscript"/>
          <w14:textFill>
            <w14:solidFill>
              <w14:schemeClr w14:val="tx1"/>
            </w14:solidFill>
          </w14:textFill>
        </w:rPr>
        <w:t>a</w:t>
      </w:r>
      <w:r>
        <w:rPr>
          <w:rFonts w:hint="default" w:ascii="Times New Roman" w:hAnsi="Times New Roman" w:cs="Times New Roman"/>
          <w:color w:val="000000" w:themeColor="text1"/>
          <w:spacing w:val="-2"/>
          <w:szCs w:val="24"/>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土壤评价工作等级</w:t>
      </w:r>
    </w:p>
    <w:p>
      <w:pPr>
        <w:pStyle w:val="132"/>
        <w:autoSpaceDE w:val="0"/>
        <w:autoSpaceDN w:val="0"/>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 土壤环境(试行)》(HJ 964-2018)及其附录A表A.1，本项目属于污染影响型I类建设项目；本项目</w:t>
      </w:r>
      <w:r>
        <w:rPr>
          <w:rFonts w:hint="default" w:ascii="Times New Roman" w:hAnsi="Times New Roman" w:cs="Times New Roman"/>
          <w:color w:val="000000" w:themeColor="text1"/>
          <w:lang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建项目占地面积永久占地面积0.034hm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，属于小型(≤5hm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)。根据污染影响敏感程度分级表，项目位于已建厂区内，周边土地利用类型多为建设用地，确定敏感程度为不敏感。根据等级判定本项目土壤评价工作等级为二级。</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污染影响型评价工作等级划分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_Ref271275010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pStyle w:val="132"/>
        <w:keepNext/>
        <w:spacing w:line="240" w:lineRule="auto"/>
        <w:jc w:val="center"/>
        <w:rPr>
          <w:b/>
          <w:color w:val="000000" w:themeColor="text1"/>
          <w14:textFill>
            <w14:solidFill>
              <w14:schemeClr w14:val="tx1"/>
            </w14:solidFill>
          </w14:textFill>
        </w:rPr>
      </w:pPr>
      <w:bookmarkStart w:id="97" w:name="_Ref271275010"/>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12</w:t>
      </w:r>
      <w:r>
        <w:rPr>
          <w:b/>
          <w:color w:val="000000" w:themeColor="text1"/>
          <w14:textFill>
            <w14:solidFill>
              <w14:schemeClr w14:val="tx1"/>
            </w14:solidFill>
          </w14:textFill>
        </w:rPr>
        <w:fldChar w:fldCharType="end"/>
      </w:r>
      <w:bookmarkEnd w:id="97"/>
      <w:r>
        <w:rPr>
          <w:b/>
          <w:color w:val="000000" w:themeColor="text1"/>
          <w14:textFill>
            <w14:solidFill>
              <w14:schemeClr w14:val="tx1"/>
            </w14:solidFill>
          </w14:textFill>
        </w:rPr>
        <w:t xml:space="preserve">  污染影响型评价工作等级划分表</w:t>
      </w:r>
    </w:p>
    <w:tbl>
      <w:tblPr>
        <w:tblStyle w:val="41"/>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867"/>
        <w:gridCol w:w="867"/>
        <w:gridCol w:w="867"/>
        <w:gridCol w:w="867"/>
        <w:gridCol w:w="867"/>
        <w:gridCol w:w="867"/>
        <w:gridCol w:w="867"/>
        <w:gridCol w:w="867"/>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restart"/>
            <w:tcBorders>
              <w:top w:val="single" w:color="auto" w:sz="12" w:space="0"/>
              <w:left w:val="nil"/>
              <w:tl2br w:val="single" w:color="auto" w:sz="4" w:space="0"/>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jc w:val="right"/>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等级</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敏感程度</w:t>
            </w:r>
          </w:p>
        </w:tc>
        <w:tc>
          <w:tcPr>
            <w:tcW w:w="2601" w:type="dxa"/>
            <w:gridSpan w:val="3"/>
            <w:tcBorders>
              <w:top w:val="single" w:color="auto" w:sz="12" w:space="0"/>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Ⅰ类</w:t>
            </w:r>
          </w:p>
        </w:tc>
        <w:tc>
          <w:tcPr>
            <w:tcW w:w="2601" w:type="dxa"/>
            <w:gridSpan w:val="3"/>
            <w:tcBorders>
              <w:top w:val="single" w:color="auto" w:sz="12" w:space="0"/>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Ⅱ类</w:t>
            </w:r>
          </w:p>
        </w:tc>
        <w:tc>
          <w:tcPr>
            <w:tcW w:w="2601" w:type="dxa"/>
            <w:gridSpan w:val="3"/>
            <w:tcBorders>
              <w:top w:val="single" w:color="auto" w:sz="12" w:space="0"/>
              <w:right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vMerge w:val="continue"/>
            <w:tcBorders>
              <w:left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大</w:t>
            </w: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中</w:t>
            </w: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小</w:t>
            </w: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大</w:t>
            </w: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中</w:t>
            </w: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小</w:t>
            </w: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大</w:t>
            </w:r>
          </w:p>
        </w:tc>
        <w:tc>
          <w:tcPr>
            <w:tcW w:w="867"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中</w:t>
            </w:r>
          </w:p>
        </w:tc>
        <w:tc>
          <w:tcPr>
            <w:tcW w:w="867" w:type="dxa"/>
            <w:tcBorders>
              <w:right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left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敏感</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一级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一级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一级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439" w:type="dxa"/>
            <w:tcBorders>
              <w:left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较敏感</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一级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一级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TimesNewRomanPSMT" w:cs="Times New Roman"/>
                <w:color w:val="000000" w:themeColor="text1"/>
                <w:kern w:val="0"/>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9" w:type="dxa"/>
            <w:tcBorders>
              <w:left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不敏感</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一级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三级</w:t>
            </w:r>
          </w:p>
        </w:tc>
        <w:tc>
          <w:tcPr>
            <w:tcW w:w="8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TimesNewRomanPSMT" w:cs="Times New Roman"/>
                <w:color w:val="000000" w:themeColor="text1"/>
                <w:kern w:val="0"/>
                <w:sz w:val="21"/>
                <w14:textFill>
                  <w14:solidFill>
                    <w14:schemeClr w14:val="tx1"/>
                  </w14:solidFill>
                </w14:textFill>
              </w:rPr>
            </w:pPr>
            <w:r>
              <w:rPr>
                <w:rFonts w:hint="default" w:ascii="Times New Roman" w:hAnsi="Times New Roman" w:eastAsia="TimesNewRomanPSMT" w:cs="Times New Roman"/>
                <w:color w:val="000000" w:themeColor="text1"/>
                <w:kern w:val="0"/>
                <w:sz w:val="21"/>
                <w14:textFill>
                  <w14:solidFill>
                    <w14:schemeClr w14:val="tx1"/>
                  </w14:solidFill>
                </w14:textFill>
              </w:rPr>
              <w:t>—</w:t>
            </w:r>
          </w:p>
        </w:tc>
        <w:tc>
          <w:tcPr>
            <w:tcW w:w="86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TimesNewRomanPSMT" w:cs="Times New Roman"/>
                <w:color w:val="000000" w:themeColor="text1"/>
                <w:kern w:val="0"/>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10"/>
            <w:tcBorders>
              <w:left w:val="nil"/>
              <w:bottom w:val="single" w:color="auto" w:sz="12" w:space="0"/>
              <w:right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注：</w:t>
            </w:r>
            <w:r>
              <w:rPr>
                <w:rFonts w:hint="default" w:ascii="Times New Roman" w:hAnsi="Times New Roman" w:eastAsia="TimesNewRomanPSMT" w:cs="Times New Roman"/>
                <w:b w:val="0"/>
                <w:color w:val="000000" w:themeColor="text1"/>
                <w:kern w:val="0"/>
                <w:sz w:val="21"/>
                <w:szCs w:val="21"/>
                <w14:textFill>
                  <w14:solidFill>
                    <w14:schemeClr w14:val="tx1"/>
                  </w14:solidFill>
                </w14:textFill>
              </w:rPr>
              <w:t>“—”</w:t>
            </w:r>
            <w:r>
              <w:rPr>
                <w:rFonts w:hint="default" w:ascii="Times New Roman" w:hAnsi="Times New Roman" w:cs="Times New Roman"/>
                <w:b w:val="0"/>
                <w:color w:val="000000" w:themeColor="text1"/>
                <w:kern w:val="0"/>
                <w:sz w:val="21"/>
                <w:szCs w:val="21"/>
                <w14:textFill>
                  <w14:solidFill>
                    <w14:schemeClr w14:val="tx1"/>
                  </w14:solidFill>
                </w14:textFill>
              </w:rPr>
              <w:t>表示可不开展环境影响评价工作。</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评价等级小结</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根据上述各环境要素评价工作等级确定依据与实际情况，各环境要素评价等级汇总见下表。</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评价工作等级及依据汇总表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5"/>
        <w:gridCol w:w="948"/>
        <w:gridCol w:w="69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1"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评价内容</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工作等级</w:t>
            </w:r>
          </w:p>
        </w:tc>
        <w:tc>
          <w:tcPr>
            <w:tcW w:w="3828"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确定依据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三级B</w:t>
            </w:r>
          </w:p>
        </w:tc>
        <w:tc>
          <w:tcPr>
            <w:tcW w:w="3828"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本项目废水经预处理后排入巴陵石化水务部云溪生化装置处理，本项目为水污染影响型建设项目，废水排放方式为间接排放。根据《环境影响评价技术导则</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地表水环境</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（HJ2.3-2018）中“5.2.2.2间接排放建设项目评价等级为三级B”确定本项目地表水影响评价等级定位为三级B。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91"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大气环境</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cs="Times New Roman"/>
                <w:color w:val="000000" w:themeColor="text1"/>
                <w:sz w:val="21"/>
                <w:szCs w:val="21"/>
                <w:u w:val="single"/>
                <w:lang w:val="en-US" w:eastAsia="zh-CN"/>
                <w14:textFill>
                  <w14:solidFill>
                    <w14:schemeClr w14:val="tx1"/>
                  </w14:solidFill>
                </w14:textFill>
              </w:rPr>
              <w:t>三级</w:t>
            </w:r>
          </w:p>
        </w:tc>
        <w:tc>
          <w:tcPr>
            <w:tcW w:w="3828"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本项目P</w:t>
            </w:r>
            <w:r>
              <w:rPr>
                <w:rFonts w:hint="default" w:ascii="Times New Roman" w:hAnsi="Times New Roman" w:cs="Times New Roman"/>
                <w:color w:val="000000" w:themeColor="text1"/>
                <w:sz w:val="21"/>
                <w:szCs w:val="21"/>
                <w:u w:val="single"/>
                <w:vertAlign w:val="subscript"/>
                <w14:textFill>
                  <w14:solidFill>
                    <w14:schemeClr w14:val="tx1"/>
                  </w14:solidFill>
                </w14:textFill>
              </w:rPr>
              <w:t>max</w:t>
            </w:r>
            <w:r>
              <w:rPr>
                <w:rFonts w:hint="default" w:ascii="Times New Roman" w:hAnsi="Times New Roman" w:cs="Times New Roman"/>
                <w:color w:val="000000" w:themeColor="text1"/>
                <w:sz w:val="21"/>
                <w:szCs w:val="21"/>
                <w:u w:val="single"/>
                <w14:textFill>
                  <w14:solidFill>
                    <w14:schemeClr w14:val="tx1"/>
                  </w14:solidFill>
                </w14:textFill>
              </w:rPr>
              <w:t>最大值出现为面源排放的VOCs，P</w:t>
            </w:r>
            <w:r>
              <w:rPr>
                <w:rFonts w:hint="default" w:ascii="Times New Roman" w:hAnsi="Times New Roman" w:cs="Times New Roman"/>
                <w:color w:val="000000" w:themeColor="text1"/>
                <w:sz w:val="21"/>
                <w:szCs w:val="21"/>
                <w:u w:val="single"/>
                <w:vertAlign w:val="subscript"/>
                <w14:textFill>
                  <w14:solidFill>
                    <w14:schemeClr w14:val="tx1"/>
                  </w14:solidFill>
                </w14:textFill>
              </w:rPr>
              <w:t>max</w:t>
            </w:r>
            <w:r>
              <w:rPr>
                <w:rFonts w:hint="default" w:ascii="Times New Roman" w:hAnsi="Times New Roman" w:cs="Times New Roman"/>
                <w:color w:val="000000" w:themeColor="text1"/>
                <w:sz w:val="21"/>
                <w:szCs w:val="21"/>
                <w:u w:val="single"/>
                <w14:textFill>
                  <w14:solidFill>
                    <w14:schemeClr w14:val="tx1"/>
                  </w14:solidFill>
                </w14:textFill>
              </w:rPr>
              <w:t>值为0.53%，C</w:t>
            </w:r>
            <w:r>
              <w:rPr>
                <w:rFonts w:hint="default" w:ascii="Times New Roman" w:hAnsi="Times New Roman" w:cs="Times New Roman"/>
                <w:color w:val="000000" w:themeColor="text1"/>
                <w:sz w:val="21"/>
                <w:szCs w:val="21"/>
                <w:u w:val="single"/>
                <w:vertAlign w:val="subscript"/>
                <w14:textFill>
                  <w14:solidFill>
                    <w14:schemeClr w14:val="tx1"/>
                  </w14:solidFill>
                </w14:textFill>
              </w:rPr>
              <w:t>max</w:t>
            </w:r>
            <w:r>
              <w:rPr>
                <w:rFonts w:hint="default" w:ascii="Times New Roman" w:hAnsi="Times New Roman" w:cs="Times New Roman"/>
                <w:color w:val="000000" w:themeColor="text1"/>
                <w:sz w:val="21"/>
                <w:szCs w:val="21"/>
                <w:u w:val="single"/>
                <w14:textFill>
                  <w14:solidFill>
                    <w14:schemeClr w14:val="tx1"/>
                  </w14:solidFill>
                </w14:textFill>
              </w:rPr>
              <w:t>为6.3289μg/m</w:t>
            </w:r>
            <w:r>
              <w:rPr>
                <w:rFonts w:hint="default" w:ascii="Times New Roman" w:hAnsi="Times New Roman"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cs="Times New Roman"/>
                <w:color w:val="000000" w:themeColor="text1"/>
                <w:sz w:val="21"/>
                <w:szCs w:val="21"/>
                <w:u w:val="single"/>
                <w14:textFill>
                  <w14:solidFill>
                    <w14:schemeClr w14:val="tx1"/>
                  </w14:solidFill>
                </w14:textFill>
              </w:rPr>
              <w:t>，根据《环境影响评价技术导则大气环境》(HJ2.2-2018)分级判据，确定本项目大气环境影响评价工作等级为三级。本项目不凝气依托现有火炬系统管网气柜回收轻烃，回收不完时引入火炬焚烧，火炬系统建于2000年，因此本项目估算模式主要考虑装置、储罐管道跑漏的无组织废气</w:t>
            </w:r>
            <w:r>
              <w:rPr>
                <w:rFonts w:hint="default" w:ascii="Times New Roman" w:hAnsi="Times New Roman" w:cs="Times New Roman"/>
                <w:color w:val="000000" w:themeColor="text1"/>
                <w:sz w:val="21"/>
                <w:szCs w:val="21"/>
                <w:u w:val="single"/>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w:t>
            </w:r>
          </w:p>
        </w:tc>
        <w:tc>
          <w:tcPr>
            <w:tcW w:w="3828"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本项目所在区域的声环境执行《声环境质量标准》（GB3096-2008）中的3类标准，建设前后新增噪声强度小于3dB（A），根据《环境影响评价技术导则 声环境》（HJ2.4-2009）的规定，本次声环境评价工作等级为三级。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二级</w:t>
            </w:r>
          </w:p>
        </w:tc>
        <w:tc>
          <w:tcPr>
            <w:tcW w:w="3828"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本项目属于</w:t>
            </w:r>
            <w:r>
              <w:rPr>
                <w:rFonts w:hint="default" w:ascii="Times New Roman" w:hAnsi="Times New Roman" w:cs="Times New Roman"/>
                <w:bCs/>
                <w:color w:val="000000" w:themeColor="text1"/>
                <w:sz w:val="21"/>
                <w:szCs w:val="21"/>
                <w14:textFill>
                  <w14:solidFill>
                    <w14:schemeClr w14:val="tx1"/>
                  </w14:solidFill>
                </w14:textFill>
              </w:rPr>
              <w:t>I</w:t>
            </w:r>
            <w:r>
              <w:rPr>
                <w:rFonts w:hint="default" w:ascii="Times New Roman" w:hAnsi="Times New Roman" w:cs="Times New Roman"/>
                <w:color w:val="000000" w:themeColor="text1"/>
                <w:sz w:val="21"/>
                <w:szCs w:val="21"/>
                <w14:textFill>
                  <w14:solidFill>
                    <w14:schemeClr w14:val="tx1"/>
                  </w14:solidFill>
                </w14:textFill>
              </w:rPr>
              <w:t>项目，地下水环境敏感程度为不敏感，对照评价工作等级分级表，确定本项目地下水环境影响评价工作等级为二级。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生态环境</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w:t>
            </w:r>
          </w:p>
        </w:tc>
        <w:tc>
          <w:tcPr>
            <w:tcW w:w="3828" w:type="pct"/>
            <w:noWrap w:val="0"/>
            <w:vAlign w:val="center"/>
          </w:tcPr>
          <w:p>
            <w:pPr>
              <w:pStyle w:val="112"/>
              <w:keepNext w:val="0"/>
              <w:keepLines w:val="0"/>
              <w:pageBreakBefore w:val="0"/>
              <w:widowControl w:val="0"/>
              <w:suppressLineNumbers w:val="0"/>
              <w:tabs>
                <w:tab w:val="center" w:pos="2947"/>
                <w:tab w:val="right" w:pos="5889"/>
              </w:tabs>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本项目用地面积小于2km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，项目所在区域不属于生态环境敏感地区，为一般区域。确定本项目环境影响评价工作等级为三级。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土壤环境</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二级</w:t>
            </w:r>
          </w:p>
        </w:tc>
        <w:tc>
          <w:tcPr>
            <w:tcW w:w="3828"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本项目属于I类建设项目，</w:t>
            </w:r>
            <w:r>
              <w:rPr>
                <w:rFonts w:hint="default" w:ascii="Times New Roman" w:hAnsi="Times New Roman" w:cs="Times New Roman"/>
                <w:bCs/>
                <w:color w:val="000000" w:themeColor="text1"/>
                <w:sz w:val="21"/>
                <w:szCs w:val="21"/>
                <w14:textFill>
                  <w14:solidFill>
                    <w14:schemeClr w14:val="tx1"/>
                  </w14:solidFill>
                </w14:textFill>
              </w:rPr>
              <w:t>本项目</w:t>
            </w:r>
            <w:r>
              <w:rPr>
                <w:rFonts w:hint="default" w:ascii="Times New Roman" w:hAnsi="Times New Roman" w:cs="Times New Roman"/>
                <w:bCs/>
                <w:color w:val="000000" w:themeColor="text1"/>
                <w:sz w:val="21"/>
                <w:szCs w:val="21"/>
                <w:lang w:eastAsia="zh-CN"/>
                <w14:textFill>
                  <w14:solidFill>
                    <w14:schemeClr w14:val="tx1"/>
                  </w14:solidFill>
                </w14:textFill>
              </w:rPr>
              <w:t>新</w:t>
            </w:r>
            <w:r>
              <w:rPr>
                <w:rFonts w:hint="default" w:ascii="Times New Roman" w:hAnsi="Times New Roman" w:cs="Times New Roman"/>
                <w:bCs/>
                <w:color w:val="000000" w:themeColor="text1"/>
                <w:sz w:val="21"/>
                <w:szCs w:val="21"/>
                <w14:textFill>
                  <w14:solidFill>
                    <w14:schemeClr w14:val="tx1"/>
                  </w14:solidFill>
                </w14:textFill>
              </w:rPr>
              <w:t>建项目占地面积永久占地面积0.034hm</w:t>
            </w:r>
            <w:r>
              <w:rPr>
                <w:rFonts w:hint="default" w:ascii="Times New Roman" w:hAnsi="Times New Roman" w:cs="Times New Roman"/>
                <w:bCs/>
                <w:color w:val="000000" w:themeColor="text1"/>
                <w:sz w:val="21"/>
                <w:szCs w:val="21"/>
                <w:vertAlign w:val="superscript"/>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，属于小型(≤5hm</w:t>
            </w:r>
            <w:r>
              <w:rPr>
                <w:rFonts w:hint="default" w:ascii="Times New Roman" w:hAnsi="Times New Roman" w:cs="Times New Roman"/>
                <w:bCs/>
                <w:color w:val="000000" w:themeColor="text1"/>
                <w:sz w:val="21"/>
                <w:szCs w:val="21"/>
                <w:vertAlign w:val="superscript"/>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)。根据污染影响敏感程度分级表，确定敏感程度为不敏感。根据等级判定本项目土壤评价工作等级为二级。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4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环境风险</w:t>
            </w:r>
          </w:p>
        </w:tc>
        <w:tc>
          <w:tcPr>
            <w:tcW w:w="525"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简单分析</w:t>
            </w:r>
          </w:p>
        </w:tc>
        <w:tc>
          <w:tcPr>
            <w:tcW w:w="3828" w:type="pct"/>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20" w:firstLineChars="20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本项目风险潜势为Ⅰ，因此本项目风险评价等级为简单分析</w:t>
            </w:r>
            <w:r>
              <w:rPr>
                <w:rFonts w:hint="default"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t>a</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r>
    </w:tbl>
    <w:p>
      <w:pPr>
        <w:pStyle w:val="4"/>
        <w:adjustRightInd w:val="0"/>
        <w:snapToGrid w:val="0"/>
        <w:rPr>
          <w:color w:val="000000" w:themeColor="text1"/>
          <w14:textFill>
            <w14:solidFill>
              <w14:schemeClr w14:val="tx1"/>
            </w14:solidFill>
          </w14:textFill>
        </w:rPr>
      </w:pPr>
      <w:bookmarkStart w:id="98" w:name="_Toc532497617"/>
      <w:bookmarkStart w:id="99" w:name="_Toc532763194"/>
      <w:bookmarkStart w:id="100" w:name="_Toc532376137"/>
      <w:bookmarkStart w:id="101" w:name="_Toc532498730"/>
      <w:bookmarkStart w:id="102" w:name="_Toc26831"/>
      <w:r>
        <w:rPr>
          <w:color w:val="000000" w:themeColor="text1"/>
          <w14:textFill>
            <w14:solidFill>
              <w14:schemeClr w14:val="tx1"/>
            </w14:solidFill>
          </w14:textFill>
        </w:rPr>
        <w:t>评价范围</w:t>
      </w:r>
      <w:bookmarkEnd w:id="98"/>
      <w:bookmarkEnd w:id="99"/>
      <w:bookmarkEnd w:id="100"/>
      <w:bookmarkEnd w:id="101"/>
      <w:bookmarkEnd w:id="102"/>
    </w:p>
    <w:p>
      <w:pPr>
        <w:adjustRightInd w:val="0"/>
        <w:snapToGrid w:val="0"/>
        <w:spacing w:line="360" w:lineRule="auto"/>
        <w:ind w:firstLine="480" w:firstLineChars="20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（1）大气环境</w:t>
      </w:r>
    </w:p>
    <w:p>
      <w:pPr>
        <w:adjustRightInd w:val="0"/>
        <w:snapToGrid w:val="0"/>
        <w:spacing w:line="360" w:lineRule="auto"/>
        <w:ind w:firstLine="480" w:firstLineChars="20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lang w:eastAsia="zh-CN"/>
          <w14:textFill>
            <w14:solidFill>
              <w14:schemeClr w14:val="tx1"/>
            </w14:solidFill>
          </w14:textFill>
        </w:rPr>
        <w:t>根据《环境影响评价技术导则—大气环境》</w:t>
      </w:r>
      <w:r>
        <w:rPr>
          <w:rFonts w:hint="default" w:ascii="Times New Roman" w:hAnsi="Times New Roman" w:cs="Times New Roman"/>
          <w:color w:val="000000" w:themeColor="text1"/>
          <w:u w:val="single"/>
          <w:lang w:val="en-US" w:eastAsia="zh-CN"/>
          <w14:textFill>
            <w14:solidFill>
              <w14:schemeClr w14:val="tx1"/>
            </w14:solidFill>
          </w14:textFill>
        </w:rPr>
        <w:t>（HJ2.2-2018）</w:t>
      </w:r>
      <w:r>
        <w:rPr>
          <w:rFonts w:hint="eastAsia" w:ascii="Times New Roman" w:hAnsi="Times New Roman" w:cs="Times New Roman"/>
          <w:color w:val="000000" w:themeColor="text1"/>
          <w:u w:val="single"/>
          <w:lang w:val="en-US" w:eastAsia="zh-CN"/>
          <w14:textFill>
            <w14:solidFill>
              <w14:schemeClr w14:val="tx1"/>
            </w14:solidFill>
          </w14:textFill>
        </w:rPr>
        <w:t>，三级评价项目不需要设置大气环境影响评价范围</w:t>
      </w:r>
      <w:r>
        <w:rPr>
          <w:rFonts w:hint="default" w:ascii="Times New Roman" w:hAnsi="Times New Roman" w:cs="Times New Roman"/>
          <w:color w:val="000000" w:themeColor="text1"/>
          <w:u w:val="single"/>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u w:val="single" w:color="auto"/>
          <w14:textFill>
            <w14:solidFill>
              <w14:schemeClr w14:val="tx1"/>
            </w14:solidFill>
          </w14:textFill>
        </w:rPr>
      </w:pPr>
      <w:r>
        <w:rPr>
          <w:rFonts w:hint="default" w:ascii="Times New Roman" w:hAnsi="Times New Roman" w:cs="Times New Roman"/>
          <w:color w:val="000000" w:themeColor="text1"/>
          <w:u w:val="single" w:color="auto"/>
          <w14:textFill>
            <w14:solidFill>
              <w14:schemeClr w14:val="tx1"/>
            </w14:solidFill>
          </w14:textFill>
        </w:rPr>
        <w:t>（2）地表水环境</w:t>
      </w:r>
    </w:p>
    <w:p>
      <w:pPr>
        <w:pStyle w:val="132"/>
        <w:ind w:firstLine="480"/>
        <w:rPr>
          <w:rFonts w:hint="default" w:ascii="Times New Roman" w:hAnsi="Times New Roman" w:cs="Times New Roman"/>
          <w:color w:val="000000" w:themeColor="text1"/>
          <w:u w:val="single" w:color="auto"/>
          <w14:textFill>
            <w14:solidFill>
              <w14:schemeClr w14:val="tx1"/>
            </w14:solidFill>
          </w14:textFill>
        </w:rPr>
      </w:pPr>
      <w:r>
        <w:rPr>
          <w:rFonts w:hint="default" w:ascii="Times New Roman" w:hAnsi="Times New Roman" w:cs="Times New Roman"/>
          <w:color w:val="000000" w:themeColor="text1"/>
          <w:u w:val="single" w:color="auto"/>
          <w:lang w:eastAsia="zh-CN"/>
          <w14:textFill>
            <w14:solidFill>
              <w14:schemeClr w14:val="tx1"/>
            </w14:solidFill>
          </w14:textFill>
        </w:rPr>
        <w:t>本项目废水经预处理后排入巴陵石化水务部云溪生化装置处理，本项目为水污染影响型建设项目，废水排放方式为间接排放，</w:t>
      </w:r>
      <w:r>
        <w:rPr>
          <w:rFonts w:hint="eastAsia" w:ascii="Times New Roman" w:hAnsi="Times New Roman" w:cs="Times New Roman"/>
          <w:color w:val="000000" w:themeColor="text1"/>
          <w:u w:val="single" w:color="auto"/>
          <w:lang w:eastAsia="zh-CN"/>
          <w14:textFill>
            <w14:solidFill>
              <w14:schemeClr w14:val="tx1"/>
            </w14:solidFill>
          </w14:textFill>
        </w:rPr>
        <w:t>评价工作等级为三级B，</w:t>
      </w:r>
      <w:r>
        <w:rPr>
          <w:rFonts w:hint="default" w:ascii="Times New Roman" w:hAnsi="Times New Roman" w:cs="Times New Roman"/>
          <w:color w:val="000000" w:themeColor="text1"/>
          <w:u w:val="single" w:color="auto"/>
          <w14:textFill>
            <w14:solidFill>
              <w14:schemeClr w14:val="tx1"/>
            </w14:solidFill>
          </w14:textFill>
        </w:rPr>
        <w:t>因此，本次地表水环境影响评价仅对水体环境现状简要分析，评价项目水污染控制和水环境影响减缓措施有效性，对依托的污水处理设施的环境可行性进行评价。</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（3）声环境</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评价范围确定为项目所在地厂界外扩200m。</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（4）地下水环境</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根据《地下水环境影响评价技术导则》（HJ 610-2016）中提出，建设项目（除线性工程外）地下水环境影响现状调查评价范围可采用公式计算法、查表法和自定义法确定，本项目按照查表法来确定地下水的评价范围，则本项目的评价范围为项目所在地</w:t>
      </w:r>
      <w:r>
        <w:rPr>
          <w:rFonts w:hint="default" w:ascii="Times New Roman" w:hAnsi="Times New Roman" w:cs="Times New Roman"/>
          <w:color w:val="000000" w:themeColor="text1"/>
          <w14:textFill>
            <w14:solidFill>
              <w14:schemeClr w14:val="tx1"/>
            </w14:solidFill>
          </w14:textFill>
        </w:rPr>
        <w:t>周边6~20km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（5）生态环境</w:t>
      </w:r>
    </w:p>
    <w:p>
      <w:pPr>
        <w:adjustRightInd w:val="0"/>
        <w:snapToGrid w:val="0"/>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本项目在原有场地内进行建设，根据《环境影响评价技术导则 生态影响》（HJ19-2011）中4.2.1规定，“位于原厂界（或永久用地）范围内的工业类</w:t>
      </w:r>
      <w:r>
        <w:rPr>
          <w:rFonts w:hint="default" w:ascii="Times New Roman" w:hAnsi="Times New Roman" w:eastAsia="宋体" w:cs="Times New Roman"/>
          <w:color w:val="000000" w:themeColor="text1"/>
          <w:szCs w:val="24"/>
          <w:lang w:eastAsia="zh-CN"/>
          <w14:textFill>
            <w14:solidFill>
              <w14:schemeClr w14:val="tx1"/>
            </w14:solidFill>
          </w14:textFill>
        </w:rPr>
        <w:t>新</w:t>
      </w:r>
      <w:r>
        <w:rPr>
          <w:rFonts w:hint="default" w:ascii="Times New Roman" w:hAnsi="Times New Roman" w:cs="Times New Roman"/>
          <w:color w:val="000000" w:themeColor="text1"/>
          <w:szCs w:val="24"/>
          <w14:textFill>
            <w14:solidFill>
              <w14:schemeClr w14:val="tx1"/>
            </w14:solidFill>
          </w14:textFill>
        </w:rPr>
        <w:t>建项目，可做生态影响分析”，因此确定本次生态影响评价工作等级为三级，进行简单分析，评价范围为厂界范围。</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（6）环境风险</w:t>
      </w:r>
    </w:p>
    <w:p>
      <w:pPr>
        <w:adjustRightInd w:val="0"/>
        <w:snapToGrid w:val="0"/>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本项目大气环境风险重点考虑项目5km内的影响，大气环境风险评价范围为项目厂界外5km；本项目事故情况下废水不直接排入外环境水体，不涉及地表水环境风险。地下水环境风险评价范围与地下水评价范围一致。</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（7）土壤环境</w:t>
      </w:r>
    </w:p>
    <w:p>
      <w:pPr>
        <w:adjustRightInd w:val="0"/>
        <w:snapToGrid w:val="0"/>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bookmarkStart w:id="103" w:name="_Toc532763195"/>
      <w:bookmarkStart w:id="104" w:name="_Toc532376138"/>
      <w:bookmarkStart w:id="105" w:name="_Toc532497618"/>
      <w:bookmarkStart w:id="106" w:name="_Toc532498731"/>
      <w:r>
        <w:rPr>
          <w:rFonts w:hint="default" w:ascii="Times New Roman" w:hAnsi="Times New Roman" w:cs="Times New Roman"/>
          <w:color w:val="000000" w:themeColor="text1"/>
          <w:szCs w:val="24"/>
          <w14:textFill>
            <w14:solidFill>
              <w14:schemeClr w14:val="tx1"/>
            </w14:solidFill>
          </w14:textFill>
        </w:rPr>
        <w:t>根据《环境影响评价技术导则—土壤环境（试行）》（HJ964-2018）中提出土壤评价范围一般与现状调查范围一致，建设项目（除线性工程外）土壤环境影现状调查评价范围可根据建设项目影响类型、污染途径、气象条件、地形地貌、水文地质条件等确定并说明，或参考表5确定。则本项目评价分为参考《环境影响评价技术导则—土壤环境（试行）》（HJ964-2018）中表5中的调查范围，本项目的评价范围包括本项目占地范围和本项目占地范围外200m。</w:t>
      </w:r>
    </w:p>
    <w:p>
      <w:pPr>
        <w:pStyle w:val="4"/>
        <w:adjustRightInd w:val="0"/>
        <w:snapToGrid w:val="0"/>
        <w:rPr>
          <w:color w:val="000000" w:themeColor="text1"/>
          <w14:textFill>
            <w14:solidFill>
              <w14:schemeClr w14:val="tx1"/>
            </w14:solidFill>
          </w14:textFill>
        </w:rPr>
      </w:pPr>
      <w:bookmarkStart w:id="107" w:name="_Toc29381"/>
      <w:r>
        <w:rPr>
          <w:color w:val="000000" w:themeColor="text1"/>
          <w14:textFill>
            <w14:solidFill>
              <w14:schemeClr w14:val="tx1"/>
            </w14:solidFill>
          </w14:textFill>
        </w:rPr>
        <w:t>环境保护目标</w:t>
      </w:r>
      <w:bookmarkEnd w:id="103"/>
      <w:bookmarkEnd w:id="104"/>
      <w:bookmarkEnd w:id="105"/>
      <w:bookmarkEnd w:id="106"/>
      <w:bookmarkEnd w:id="107"/>
    </w:p>
    <w:p>
      <w:pPr>
        <w:adjustRightInd w:val="0"/>
        <w:snapToGrid w:val="0"/>
        <w:spacing w:line="360" w:lineRule="auto"/>
        <w:ind w:firstLine="48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现场踏勘，项目建于中国石油化工股份有限公司巴陵石化分公司炼油部预留地，评价区域内没有风景名胜区和珍惜野生动植物资源，根据工程性质和周围环境特征，确定评价范围内周围居民点、学校为主要大气环境保护目标，长江和松阳湖为地表水环境保护目标，项目评价范围内周围居民点、学校为声环境目标，具体</w:t>
      </w:r>
      <w:r>
        <w:rPr>
          <w:rFonts w:hint="default" w:ascii="Times New Roman" w:hAnsi="Times New Roman" w:cs="Times New Roman"/>
          <w:color w:val="000000" w:themeColor="text1"/>
          <w:kern w:val="0"/>
          <w14:textFill>
            <w14:solidFill>
              <w14:schemeClr w14:val="tx1"/>
            </w14:solidFill>
          </w14:textFill>
        </w:rPr>
        <w:t>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_Ref493766402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表</w:t>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w:instrText>
      </w:r>
      <w:r>
        <w:rPr>
          <w:rFonts w:hint="default" w:ascii="Times New Roman" w:hAnsi="Times New Roman" w:cs="Times New Roman"/>
          <w:color w:val="000000" w:themeColor="text1"/>
          <w14:textFill>
            <w14:solidFill>
              <w14:schemeClr w14:val="tx1"/>
            </w14:solidFill>
          </w14:textFill>
        </w:rPr>
        <w:instrText xml:space="preserve">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t>~</w:t>
      </w:r>
      <w:r>
        <w:rPr>
          <w:rFonts w:hint="default" w:ascii="Times New Roman" w:hAnsi="Times New Roman" w:cs="Times New Roman"/>
          <w:color w:val="000000" w:themeColor="text1"/>
          <w:szCs w:val="24"/>
          <w:lang w:val="en-US" w:eastAsia="zh-CN"/>
          <w14:textFill>
            <w14:solidFill>
              <w14:schemeClr w14:val="tx1"/>
            </w14:solidFill>
          </w14:textFill>
        </w:rPr>
        <w:t>2.9-2</w:t>
      </w:r>
      <w:r>
        <w:rPr>
          <w:rFonts w:hint="default" w:ascii="Times New Roman" w:hAnsi="Times New Roman" w:cs="Times New Roman"/>
          <w:color w:val="000000" w:themeColor="text1"/>
          <w:kern w:val="0"/>
          <w14:textFill>
            <w14:solidFill>
              <w14:schemeClr w14:val="tx1"/>
            </w14:solidFill>
          </w14:textFill>
        </w:rPr>
        <w:t>。</w:t>
      </w:r>
      <w:bookmarkStart w:id="108" w:name="_Ref493766402"/>
    </w:p>
    <w:p>
      <w:pPr>
        <w:adjustRightInd w:val="0"/>
        <w:snapToGrid w:val="0"/>
        <w:ind w:firstLine="482" w:firstLineChars="20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2</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9</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1</w:t>
      </w:r>
      <w:r>
        <w:rPr>
          <w:b/>
          <w:color w:val="000000" w:themeColor="text1"/>
          <w:szCs w:val="24"/>
          <w14:textFill>
            <w14:solidFill>
              <w14:schemeClr w14:val="tx1"/>
            </w14:solidFill>
          </w14:textFill>
        </w:rPr>
        <w:fldChar w:fldCharType="end"/>
      </w:r>
      <w:bookmarkEnd w:id="108"/>
      <w:r>
        <w:rPr>
          <w:b/>
          <w:color w:val="000000" w:themeColor="text1"/>
          <w:szCs w:val="24"/>
          <w14:textFill>
            <w14:solidFill>
              <w14:schemeClr w14:val="tx1"/>
            </w14:solidFill>
          </w14:textFill>
        </w:rPr>
        <w:t xml:space="preserve">  </w:t>
      </w:r>
      <w:r>
        <w:rPr>
          <w:rFonts w:hint="default" w:ascii="Times New Roman" w:hAnsi="Times New Roman" w:eastAsia="宋体" w:cs="Times New Roman"/>
          <w:b/>
          <w:color w:val="000000" w:themeColor="text1"/>
          <w:szCs w:val="24"/>
          <w:lang w:eastAsia="zh-CN"/>
          <w14:textFill>
            <w14:solidFill>
              <w14:schemeClr w14:val="tx1"/>
            </w14:solidFill>
          </w14:textFill>
        </w:rPr>
        <w:t>环境空气</w:t>
      </w:r>
      <w:r>
        <w:rPr>
          <w:rFonts w:hint="default" w:ascii="Times New Roman" w:hAnsi="Times New Roman" w:cs="Times New Roman"/>
          <w:b/>
          <w:color w:val="000000" w:themeColor="text1"/>
          <w:szCs w:val="24"/>
          <w14:textFill>
            <w14:solidFill>
              <w14:schemeClr w14:val="tx1"/>
            </w14:solidFill>
          </w14:textFill>
        </w:rPr>
        <w:t>环境保护目标一览表</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594"/>
        <w:gridCol w:w="1559"/>
        <w:gridCol w:w="634"/>
        <w:gridCol w:w="811"/>
        <w:gridCol w:w="864"/>
        <w:gridCol w:w="1221"/>
        <w:gridCol w:w="549"/>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restart"/>
            <w:tcBorders>
              <w:top w:val="single" w:color="auto" w:sz="12" w:space="0"/>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名称</w:t>
            </w:r>
          </w:p>
        </w:tc>
        <w:tc>
          <w:tcPr>
            <w:tcW w:w="1707" w:type="pct"/>
            <w:gridSpan w:val="2"/>
            <w:tcBorders>
              <w:top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坐标</w:t>
            </w:r>
          </w:p>
        </w:tc>
        <w:tc>
          <w:tcPr>
            <w:tcW w:w="343" w:type="pct"/>
            <w:vMerge w:val="restart"/>
            <w:tcBorders>
              <w:top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保护对象</w:t>
            </w:r>
          </w:p>
        </w:tc>
        <w:tc>
          <w:tcPr>
            <w:tcW w:w="439" w:type="pct"/>
            <w:vMerge w:val="restart"/>
            <w:tcBorders>
              <w:top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保护内容</w:t>
            </w:r>
          </w:p>
        </w:tc>
        <w:tc>
          <w:tcPr>
            <w:tcW w:w="468" w:type="pct"/>
            <w:vMerge w:val="restart"/>
            <w:tcBorders>
              <w:top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人口数</w:t>
            </w:r>
          </w:p>
        </w:tc>
        <w:tc>
          <w:tcPr>
            <w:tcW w:w="661" w:type="pct"/>
            <w:vMerge w:val="restart"/>
            <w:tcBorders>
              <w:top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环境功能区</w:t>
            </w:r>
          </w:p>
        </w:tc>
        <w:tc>
          <w:tcPr>
            <w:tcW w:w="297" w:type="pct"/>
            <w:vMerge w:val="restart"/>
            <w:tcBorders>
              <w:top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相对厂址方位</w:t>
            </w:r>
          </w:p>
        </w:tc>
        <w:tc>
          <w:tcPr>
            <w:tcW w:w="512" w:type="pct"/>
            <w:vMerge w:val="restart"/>
            <w:tcBorders>
              <w:top w:val="single" w:color="auto" w:sz="12"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vMerge w:val="continue"/>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X</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Y</w:t>
            </w:r>
          </w:p>
        </w:tc>
        <w:tc>
          <w:tcPr>
            <w:tcW w:w="343"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439"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46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512" w:type="pct"/>
            <w:vMerge w:val="continue"/>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老屋地居民点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113.319039</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29.453388</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20户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约60人</w:t>
            </w:r>
          </w:p>
        </w:tc>
        <w:tc>
          <w:tcPr>
            <w:tcW w:w="661" w:type="pct"/>
            <w:vMerge w:val="restart"/>
            <w:noWrap w:val="0"/>
            <w:vAlign w:val="center"/>
          </w:tcPr>
          <w:p>
            <w:pPr>
              <w:pStyle w:val="112"/>
              <w:keepNext w:val="0"/>
              <w:keepLines w:val="0"/>
              <w:suppressLineNumbers w:val="0"/>
              <w:spacing w:before="0" w:beforeAutospacing="0" w:after="0" w:afterAutospacing="0" w:line="278" w:lineRule="auto"/>
              <w:ind w:left="59" w:right="32"/>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《环境空气质量标准》</w:t>
            </w:r>
            <w:r>
              <w:rPr>
                <w:rFonts w:hint="default" w:ascii="Times New Roman" w:hAnsi="Times New Roman" w:cs="Times New Roman"/>
                <w:color w:val="000000" w:themeColor="text1"/>
                <w:spacing w:val="-1"/>
                <w:sz w:val="21"/>
                <w:szCs w:val="21"/>
                <w:u w:val="single"/>
                <w14:textFill>
                  <w14:solidFill>
                    <w14:schemeClr w14:val="tx1"/>
                  </w14:solidFill>
                </w14:textFill>
              </w:rPr>
              <w:t>（</w:t>
            </w:r>
            <w:r>
              <w:rPr>
                <w:rFonts w:hint="default" w:ascii="Times New Roman" w:hAnsi="Times New Roman" w:eastAsia="Times New Roman" w:cs="Times New Roman"/>
                <w:color w:val="000000" w:themeColor="text1"/>
                <w:spacing w:val="-1"/>
                <w:position w:val="1"/>
                <w:sz w:val="21"/>
                <w:szCs w:val="21"/>
                <w:u w:val="single"/>
                <w14:textFill>
                  <w14:solidFill>
                    <w14:schemeClr w14:val="tx1"/>
                  </w14:solidFill>
                </w14:textFill>
              </w:rPr>
              <w:t>GB3095</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w:t>
            </w:r>
            <w:r>
              <w:rPr>
                <w:rFonts w:hint="default" w:ascii="Times New Roman" w:hAnsi="Times New Roman" w:eastAsia="Times New Roman" w:cs="Times New Roman"/>
                <w:color w:val="000000" w:themeColor="text1"/>
                <w:position w:val="1"/>
                <w:sz w:val="21"/>
                <w:szCs w:val="21"/>
                <w:u w:val="single"/>
                <w14:textFill>
                  <w14:solidFill>
                    <w14:schemeClr w14:val="tx1"/>
                  </w14:solidFill>
                </w14:textFill>
              </w:rPr>
              <w:t>2012</w:t>
            </w:r>
            <w:r>
              <w:rPr>
                <w:rFonts w:hint="default" w:ascii="Times New Roman" w:hAnsi="Times New Roman" w:eastAsia="宋体" w:cs="Times New Roman"/>
                <w:color w:val="000000" w:themeColor="text1"/>
                <w:sz w:val="21"/>
                <w:szCs w:val="21"/>
                <w:u w:val="single"/>
                <w14:textFill>
                  <w14:solidFill>
                    <w14:schemeClr w14:val="tx1"/>
                  </w14:solidFill>
                </w14:textFill>
              </w:rPr>
              <w:t>） 中的二级标准</w:t>
            </w: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东南</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黄金坳居民点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113.320756</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29.452080</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25户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约75人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东南</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新条</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113.318224</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29.446175</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13户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约39人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南</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丁家居民点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113.340937</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29.461552</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18户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约54人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东北</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象形湾居民点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113.341699</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29.466952</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10户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约54人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东北</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拓木岭居民点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113.331399</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113.331399</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25户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约30人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东</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青坡社区居民点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113.307753</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29.485501</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250户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约75人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西北</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别家垄居民点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113.300629</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29.449389</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30户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约750人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西南</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镇龙村居民点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113.300457</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29.466316</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150户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约450人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金盆二区居民点</w:t>
            </w:r>
          </w:p>
        </w:tc>
        <w:tc>
          <w:tcPr>
            <w:tcW w:w="86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113.301723</w:t>
            </w:r>
          </w:p>
        </w:tc>
        <w:tc>
          <w:tcPr>
            <w:tcW w:w="8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29.461571</w:t>
            </w:r>
          </w:p>
        </w:tc>
        <w:tc>
          <w:tcPr>
            <w:tcW w:w="3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500户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约1500人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w:t>
            </w:r>
          </w:p>
        </w:tc>
        <w:tc>
          <w:tcPr>
            <w:tcW w:w="512" w:type="pct"/>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1" w:type="pct"/>
            <w:tcBorders>
              <w:left w:val="nil"/>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皮匠坡居民点</w:t>
            </w:r>
          </w:p>
        </w:tc>
        <w:tc>
          <w:tcPr>
            <w:tcW w:w="86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113.306980</w:t>
            </w:r>
          </w:p>
        </w:tc>
        <w:tc>
          <w:tcPr>
            <w:tcW w:w="844"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29.456825</w:t>
            </w:r>
          </w:p>
        </w:tc>
        <w:tc>
          <w:tcPr>
            <w:tcW w:w="34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200户</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约600人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西北</w:t>
            </w:r>
          </w:p>
        </w:tc>
        <w:tc>
          <w:tcPr>
            <w:tcW w:w="512" w:type="pct"/>
            <w:tcBorders>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岳化工矿区巴陵石化岳化医院</w:t>
            </w:r>
          </w:p>
        </w:tc>
        <w:tc>
          <w:tcPr>
            <w:tcW w:w="86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113.295264</w:t>
            </w:r>
          </w:p>
        </w:tc>
        <w:tc>
          <w:tcPr>
            <w:tcW w:w="844"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29.474303</w:t>
            </w:r>
          </w:p>
        </w:tc>
        <w:tc>
          <w:tcPr>
            <w:tcW w:w="34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医院</w:t>
            </w:r>
          </w:p>
        </w:tc>
        <w:tc>
          <w:tcPr>
            <w:tcW w:w="439"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病人、医生</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约500人</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西北</w:t>
            </w:r>
          </w:p>
        </w:tc>
        <w:tc>
          <w:tcPr>
            <w:tcW w:w="512" w:type="pct"/>
            <w:tcBorders>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岳化二小</w:t>
            </w:r>
          </w:p>
        </w:tc>
        <w:tc>
          <w:tcPr>
            <w:tcW w:w="86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113.284578</w:t>
            </w:r>
          </w:p>
        </w:tc>
        <w:tc>
          <w:tcPr>
            <w:tcW w:w="844"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29.472070</w:t>
            </w:r>
          </w:p>
        </w:tc>
        <w:tc>
          <w:tcPr>
            <w:tcW w:w="34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学校</w:t>
            </w:r>
          </w:p>
        </w:tc>
        <w:tc>
          <w:tcPr>
            <w:tcW w:w="439"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学生和老师</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约2000名师生</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西北</w:t>
            </w:r>
          </w:p>
        </w:tc>
        <w:tc>
          <w:tcPr>
            <w:tcW w:w="512" w:type="pct"/>
            <w:tcBorders>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炼油部办公楼</w:t>
            </w:r>
          </w:p>
        </w:tc>
        <w:tc>
          <w:tcPr>
            <w:tcW w:w="86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113.310370</w:t>
            </w:r>
          </w:p>
        </w:tc>
        <w:tc>
          <w:tcPr>
            <w:tcW w:w="844"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29.465158</w:t>
            </w:r>
          </w:p>
        </w:tc>
        <w:tc>
          <w:tcPr>
            <w:tcW w:w="34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行政办公区</w:t>
            </w:r>
          </w:p>
        </w:tc>
        <w:tc>
          <w:tcPr>
            <w:tcW w:w="439"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工作人员</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约300工作人员</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西面</w:t>
            </w:r>
          </w:p>
        </w:tc>
        <w:tc>
          <w:tcPr>
            <w:tcW w:w="512" w:type="pct"/>
            <w:tcBorders>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巴陵石化云溪社区</w:t>
            </w:r>
          </w:p>
        </w:tc>
        <w:tc>
          <w:tcPr>
            <w:tcW w:w="86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113.299341</w:t>
            </w:r>
          </w:p>
        </w:tc>
        <w:tc>
          <w:tcPr>
            <w:tcW w:w="844"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29.461347</w:t>
            </w:r>
          </w:p>
        </w:tc>
        <w:tc>
          <w:tcPr>
            <w:tcW w:w="34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居民区</w:t>
            </w:r>
          </w:p>
        </w:tc>
        <w:tc>
          <w:tcPr>
            <w:tcW w:w="439"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人群</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约300户</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西面</w:t>
            </w:r>
          </w:p>
        </w:tc>
        <w:tc>
          <w:tcPr>
            <w:tcW w:w="512" w:type="pct"/>
            <w:tcBorders>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tcBorders>
              <w:left w:val="nil"/>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岳化一中</w:t>
            </w:r>
          </w:p>
        </w:tc>
        <w:tc>
          <w:tcPr>
            <w:tcW w:w="86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113.300972</w:t>
            </w:r>
          </w:p>
        </w:tc>
        <w:tc>
          <w:tcPr>
            <w:tcW w:w="844"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29.456564</w:t>
            </w:r>
          </w:p>
        </w:tc>
        <w:tc>
          <w:tcPr>
            <w:tcW w:w="343"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学校</w:t>
            </w:r>
          </w:p>
        </w:tc>
        <w:tc>
          <w:tcPr>
            <w:tcW w:w="439"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学生和老师</w:t>
            </w:r>
          </w:p>
        </w:tc>
        <w:tc>
          <w:tcPr>
            <w:tcW w:w="46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约1000名师生</w:t>
            </w:r>
          </w:p>
        </w:tc>
        <w:tc>
          <w:tcPr>
            <w:tcW w:w="66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p>
        </w:tc>
        <w:tc>
          <w:tcPr>
            <w:tcW w:w="297"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西南</w:t>
            </w:r>
          </w:p>
        </w:tc>
        <w:tc>
          <w:tcPr>
            <w:tcW w:w="512" w:type="pct"/>
            <w:tcBorders>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1540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left w:val="nil"/>
              <w:bottom w:val="single" w:color="auto" w:sz="12" w:space="0"/>
              <w:right w:val="nil"/>
            </w:tcBorders>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注：</w:t>
            </w:r>
            <w:r>
              <w:rPr>
                <w:rFonts w:hint="default" w:ascii="Times New Roman" w:hAnsi="Times New Roman" w:eastAsia="Times New Roman" w:cs="Times New Roman"/>
                <w:color w:val="000000" w:themeColor="text1"/>
                <w:position w:val="1"/>
                <w:sz w:val="21"/>
                <w:szCs w:val="21"/>
                <w:u w:val="single"/>
                <w14:textFill>
                  <w14:solidFill>
                    <w14:schemeClr w14:val="tx1"/>
                  </w14:solidFill>
                </w14:textFill>
              </w:rPr>
              <w:t>2.5km</w:t>
            </w:r>
            <w:r>
              <w:rPr>
                <w:rFonts w:hint="default" w:ascii="Times New Roman" w:hAnsi="Times New Roman" w:eastAsia="宋体" w:cs="Times New Roman"/>
                <w:color w:val="000000" w:themeColor="text1"/>
                <w:sz w:val="21"/>
                <w:szCs w:val="21"/>
                <w:u w:val="single"/>
                <w14:textFill>
                  <w14:solidFill>
                    <w14:schemeClr w14:val="tx1"/>
                  </w14:solidFill>
                </w14:textFill>
              </w:rPr>
              <w:t>范围内为大气环境保护目标；</w:t>
            </w:r>
            <w:r>
              <w:rPr>
                <w:rFonts w:hint="default" w:ascii="Times New Roman" w:hAnsi="Times New Roman" w:eastAsia="Times New Roman" w:cs="Times New Roman"/>
                <w:color w:val="000000" w:themeColor="text1"/>
                <w:position w:val="1"/>
                <w:sz w:val="21"/>
                <w:szCs w:val="21"/>
                <w:u w:val="single"/>
                <w14:textFill>
                  <w14:solidFill>
                    <w14:schemeClr w14:val="tx1"/>
                  </w14:solidFill>
                </w14:textFill>
              </w:rPr>
              <w:t>3km</w:t>
            </w:r>
            <w:r>
              <w:rPr>
                <w:rFonts w:hint="default" w:ascii="Times New Roman" w:hAnsi="Times New Roman" w:eastAsia="宋体" w:cs="Times New Roman"/>
                <w:color w:val="000000" w:themeColor="text1"/>
                <w:sz w:val="21"/>
                <w:szCs w:val="21"/>
                <w:u w:val="single"/>
                <w14:textFill>
                  <w14:solidFill>
                    <w14:schemeClr w14:val="tx1"/>
                  </w14:solidFill>
                </w14:textFill>
              </w:rPr>
              <w:t>范围内环境风险保护目标</w:t>
            </w:r>
          </w:p>
        </w:tc>
      </w:tr>
    </w:tbl>
    <w:p>
      <w:pPr>
        <w:jc w:val="center"/>
        <w:rPr>
          <w:rFonts w:hint="default" w:ascii="Times New Roman" w:hAnsi="Times New Roman" w:cs="Times New Roman"/>
          <w:b/>
          <w:color w:val="000000" w:themeColor="text1"/>
          <w:szCs w:val="24"/>
          <w14:textFill>
            <w14:solidFill>
              <w14:schemeClr w14:val="tx1"/>
            </w14:solidFill>
          </w14:textFill>
        </w:rPr>
      </w:pPr>
      <w:bookmarkStart w:id="109" w:name="_Toc532497619"/>
      <w:bookmarkStart w:id="110" w:name="_Toc532376139"/>
      <w:bookmarkStart w:id="111" w:name="_Toc532498732"/>
      <w:bookmarkStart w:id="112" w:name="_Toc532763196"/>
      <w:r>
        <w:rPr>
          <w:rFonts w:hint="default" w:ascii="Times New Roman" w:hAnsi="Times New Roman" w:cs="Times New Roman"/>
          <w:b/>
          <w:color w:val="000000" w:themeColor="text1"/>
          <w:szCs w:val="24"/>
          <w14:textFill>
            <w14:solidFill>
              <w14:schemeClr w14:val="tx1"/>
            </w14:solidFill>
          </w14:textFill>
        </w:rPr>
        <w:t>表</w:t>
      </w:r>
      <w:r>
        <w:rPr>
          <w:rFonts w:hint="default" w:ascii="Times New Roman" w:hAnsi="Times New Roman" w:cs="Times New Roman"/>
          <w:b/>
          <w:color w:val="000000" w:themeColor="text1"/>
          <w:szCs w:val="24"/>
          <w14:textFill>
            <w14:solidFill>
              <w14:schemeClr w14:val="tx1"/>
            </w14:solidFill>
          </w14:textFill>
        </w:rPr>
        <w:fldChar w:fldCharType="begin"/>
      </w:r>
      <w:r>
        <w:rPr>
          <w:rFonts w:hint="default" w:ascii="Times New Roman" w:hAnsi="Times New Roman" w:cs="Times New Roman"/>
          <w:b/>
          <w:color w:val="000000" w:themeColor="text1"/>
          <w:szCs w:val="24"/>
          <w14:textFill>
            <w14:solidFill>
              <w14:schemeClr w14:val="tx1"/>
            </w14:solidFill>
          </w14:textFill>
        </w:rPr>
        <w:instrText xml:space="preserve"> STYLEREF 2 \s </w:instrText>
      </w:r>
      <w:r>
        <w:rPr>
          <w:rFonts w:hint="default" w:ascii="Times New Roman" w:hAnsi="Times New Roman" w:cs="Times New Roman"/>
          <w:b/>
          <w:color w:val="000000" w:themeColor="text1"/>
          <w:szCs w:val="24"/>
          <w14:textFill>
            <w14:solidFill>
              <w14:schemeClr w14:val="tx1"/>
            </w14:solidFill>
          </w14:textFill>
        </w:rPr>
        <w:fldChar w:fldCharType="separate"/>
      </w:r>
      <w:r>
        <w:rPr>
          <w:rFonts w:hint="default" w:ascii="Times New Roman" w:hAnsi="Times New Roman" w:cs="Times New Roman"/>
          <w:b/>
          <w:color w:val="000000" w:themeColor="text1"/>
          <w:szCs w:val="24"/>
          <w14:textFill>
            <w14:solidFill>
              <w14:schemeClr w14:val="tx1"/>
            </w14:solidFill>
          </w14:textFill>
        </w:rPr>
        <w:t>2</w:t>
      </w:r>
      <w:r>
        <w:rPr>
          <w:rFonts w:hint="eastAsia" w:cs="Times New Roman"/>
          <w:b/>
          <w:color w:val="000000" w:themeColor="text1"/>
          <w:szCs w:val="24"/>
          <w:lang w:val="en-US" w:eastAsia="zh-CN"/>
          <w14:textFill>
            <w14:solidFill>
              <w14:schemeClr w14:val="tx1"/>
            </w14:solidFill>
          </w14:textFill>
        </w:rPr>
        <w:t>.</w:t>
      </w:r>
      <w:r>
        <w:rPr>
          <w:rFonts w:hint="default" w:ascii="Times New Roman" w:hAnsi="Times New Roman" w:cs="Times New Roman"/>
          <w:b/>
          <w:color w:val="000000" w:themeColor="text1"/>
          <w:szCs w:val="24"/>
          <w14:textFill>
            <w14:solidFill>
              <w14:schemeClr w14:val="tx1"/>
            </w14:solidFill>
          </w14:textFill>
        </w:rPr>
        <w:t>9</w:t>
      </w:r>
      <w:r>
        <w:rPr>
          <w:rFonts w:hint="default" w:ascii="Times New Roman" w:hAnsi="Times New Roman" w:cs="Times New Roman"/>
          <w:b/>
          <w:color w:val="000000" w:themeColor="text1"/>
          <w:szCs w:val="24"/>
          <w14:textFill>
            <w14:solidFill>
              <w14:schemeClr w14:val="tx1"/>
            </w14:solidFill>
          </w14:textFill>
        </w:rPr>
        <w:fldChar w:fldCharType="end"/>
      </w:r>
      <w:r>
        <w:rPr>
          <w:rFonts w:hint="default" w:ascii="Times New Roman" w:hAnsi="Times New Roman" w:cs="Times New Roman"/>
          <w:b/>
          <w:color w:val="000000" w:themeColor="text1"/>
          <w:szCs w:val="24"/>
          <w14:textFill>
            <w14:solidFill>
              <w14:schemeClr w14:val="tx1"/>
            </w14:solidFill>
          </w14:textFill>
        </w:rPr>
        <w:noBreakHyphen/>
      </w:r>
      <w:r>
        <w:rPr>
          <w:rFonts w:hint="default" w:ascii="Times New Roman" w:hAnsi="Times New Roman" w:cs="Times New Roman"/>
          <w:b/>
          <w:color w:val="000000" w:themeColor="text1"/>
          <w:szCs w:val="24"/>
          <w14:textFill>
            <w14:solidFill>
              <w14:schemeClr w14:val="tx1"/>
            </w14:solidFill>
          </w14:textFill>
        </w:rPr>
        <w:fldChar w:fldCharType="begin"/>
      </w:r>
      <w:r>
        <w:rPr>
          <w:rFonts w:hint="default" w:ascii="Times New Roman" w:hAnsi="Times New Roman" w:cs="Times New Roman"/>
          <w:b/>
          <w:color w:val="000000" w:themeColor="text1"/>
          <w:szCs w:val="24"/>
          <w14:textFill>
            <w14:solidFill>
              <w14:schemeClr w14:val="tx1"/>
            </w14:solidFill>
          </w14:textFill>
        </w:rPr>
        <w:instrText xml:space="preserve"> SEQ 表 \* ARABIC \s 2 </w:instrText>
      </w:r>
      <w:r>
        <w:rPr>
          <w:rFonts w:hint="default" w:ascii="Times New Roman" w:hAnsi="Times New Roman" w:cs="Times New Roman"/>
          <w:b/>
          <w:color w:val="000000" w:themeColor="text1"/>
          <w:szCs w:val="24"/>
          <w14:textFill>
            <w14:solidFill>
              <w14:schemeClr w14:val="tx1"/>
            </w14:solidFill>
          </w14:textFill>
        </w:rPr>
        <w:fldChar w:fldCharType="separate"/>
      </w:r>
      <w:r>
        <w:rPr>
          <w:rFonts w:hint="default" w:ascii="Times New Roman" w:hAnsi="Times New Roman" w:cs="Times New Roman"/>
          <w:b/>
          <w:color w:val="000000" w:themeColor="text1"/>
          <w:szCs w:val="24"/>
          <w14:textFill>
            <w14:solidFill>
              <w14:schemeClr w14:val="tx1"/>
            </w14:solidFill>
          </w14:textFill>
        </w:rPr>
        <w:t>2</w:t>
      </w:r>
      <w:r>
        <w:rPr>
          <w:rFonts w:hint="default" w:ascii="Times New Roman" w:hAnsi="Times New Roman" w:cs="Times New Roman"/>
          <w:b/>
          <w:color w:val="000000" w:themeColor="text1"/>
          <w:szCs w:val="24"/>
          <w14:textFill>
            <w14:solidFill>
              <w14:schemeClr w14:val="tx1"/>
            </w14:solidFill>
          </w14:textFill>
        </w:rPr>
        <w:fldChar w:fldCharType="end"/>
      </w:r>
      <w:r>
        <w:rPr>
          <w:rFonts w:hint="default" w:ascii="Times New Roman" w:hAnsi="Times New Roman" w:cs="Times New Roman"/>
          <w:b/>
          <w:color w:val="000000" w:themeColor="text1"/>
          <w:kern w:val="44"/>
          <w:szCs w:val="24"/>
          <w14:textFill>
            <w14:solidFill>
              <w14:schemeClr w14:val="tx1"/>
            </w14:solidFill>
          </w14:textFill>
        </w:rPr>
        <w:t xml:space="preserve">  </w:t>
      </w:r>
      <w:r>
        <w:rPr>
          <w:rFonts w:hint="default" w:ascii="Times New Roman" w:hAnsi="Times New Roman" w:cs="Times New Roman"/>
          <w:b/>
          <w:color w:val="000000" w:themeColor="text1"/>
          <w:szCs w:val="24"/>
          <w14:textFill>
            <w14:solidFill>
              <w14:schemeClr w14:val="tx1"/>
            </w14:solidFill>
          </w14:textFill>
        </w:rPr>
        <w:t>环境保护目标表（水环境、声环境、生态环境、土壤环境）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289"/>
        <w:gridCol w:w="707"/>
        <w:gridCol w:w="1657"/>
        <w:gridCol w:w="2173"/>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项目</w:t>
            </w:r>
          </w:p>
        </w:tc>
        <w:tc>
          <w:tcPr>
            <w:tcW w:w="1289"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环境保护目标</w:t>
            </w:r>
          </w:p>
        </w:tc>
        <w:tc>
          <w:tcPr>
            <w:tcW w:w="707" w:type="dxa"/>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方位</w:t>
            </w:r>
          </w:p>
        </w:tc>
        <w:tc>
          <w:tcPr>
            <w:tcW w:w="0" w:type="auto"/>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与厂界最近距离m</w:t>
            </w:r>
          </w:p>
        </w:tc>
        <w:tc>
          <w:tcPr>
            <w:tcW w:w="0" w:type="auto"/>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规模、功能</w:t>
            </w:r>
          </w:p>
        </w:tc>
        <w:tc>
          <w:tcPr>
            <w:tcW w:w="0" w:type="auto"/>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声环境</w:t>
            </w:r>
          </w:p>
        </w:tc>
        <w:tc>
          <w:tcPr>
            <w:tcW w:w="0" w:type="auto"/>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200m范围内无声环境敏感目标</w:t>
            </w:r>
          </w:p>
        </w:tc>
        <w:tc>
          <w:tcPr>
            <w:tcW w:w="0" w:type="auto"/>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GB3096-2008中3类标准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水环境</w:t>
            </w:r>
          </w:p>
        </w:tc>
        <w:tc>
          <w:tcPr>
            <w:tcW w:w="12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长江道仁矶江段</w:t>
            </w:r>
          </w:p>
        </w:tc>
        <w:tc>
          <w:tcPr>
            <w:tcW w:w="7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W</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11.45km</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SimSun-ExtB" w:cs="Times New Roman"/>
                <w:color w:val="000000" w:themeColor="text1"/>
                <w:sz w:val="21"/>
                <w:u w:val="single"/>
                <w:lang w:bidi="zh-CN"/>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大河</w:t>
            </w:r>
            <w:r>
              <w:rPr>
                <w:rFonts w:hint="default" w:ascii="Times New Roman" w:hAnsi="Times New Roman" w:eastAsia="SimSun-ExtB" w:cs="Times New Roman"/>
                <w:color w:val="000000" w:themeColor="text1"/>
                <w:sz w:val="21"/>
                <w:u w:val="single"/>
                <w14:textFill>
                  <w14:solidFill>
                    <w14:schemeClr w14:val="tx1"/>
                  </w14:solidFill>
                </w14:textFill>
              </w:rPr>
              <w:t>(</w:t>
            </w:r>
            <w:r>
              <w:rPr>
                <w:rFonts w:hint="default" w:ascii="Times New Roman" w:hAnsi="Times New Roman" w:eastAsia="宋体" w:cs="Times New Roman"/>
                <w:color w:val="000000" w:themeColor="text1"/>
                <w:sz w:val="21"/>
                <w:u w:val="single"/>
                <w:lang w:bidi="zh-CN"/>
                <w14:textFill>
                  <w14:solidFill>
                    <w14:schemeClr w14:val="tx1"/>
                  </w14:solidFill>
                </w14:textFill>
              </w:rPr>
              <w:t>平均流量为</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SimSun-ExtB" w:cs="Times New Roman"/>
                <w:color w:val="000000" w:themeColor="text1"/>
                <w:sz w:val="21"/>
                <w:u w:val="single"/>
                <w:lang w:bidi="zh-CN"/>
                <w14:textFill>
                  <w14:solidFill>
                    <w14:schemeClr w14:val="tx1"/>
                  </w14:solidFill>
                </w14:textFill>
              </w:rPr>
              <w:t>20300m</w:t>
            </w:r>
            <w:r>
              <w:rPr>
                <w:rFonts w:hint="default" w:ascii="Times New Roman" w:hAnsi="Times New Roman" w:eastAsia="SimSun-ExtB" w:cs="Times New Roman"/>
                <w:color w:val="000000" w:themeColor="text1"/>
                <w:sz w:val="21"/>
                <w:u w:val="single"/>
                <w:vertAlign w:val="superscript"/>
                <w:lang w:bidi="zh-CN"/>
                <w14:textFill>
                  <w14:solidFill>
                    <w14:schemeClr w14:val="tx1"/>
                  </w14:solidFill>
                </w14:textFill>
              </w:rPr>
              <w:t>3</w:t>
            </w:r>
            <w:r>
              <w:rPr>
                <w:rFonts w:hint="default" w:ascii="Times New Roman" w:hAnsi="Times New Roman" w:eastAsia="SimSun-ExtB" w:cs="Times New Roman"/>
                <w:color w:val="000000" w:themeColor="text1"/>
                <w:sz w:val="21"/>
                <w:u w:val="single"/>
                <w:lang w:bidi="zh-CN"/>
                <w14:textFill>
                  <w14:solidFill>
                    <w14:schemeClr w14:val="tx1"/>
                  </w14:solidFill>
                </w14:textFill>
              </w:rPr>
              <w:t>/s</w:t>
            </w:r>
            <w:r>
              <w:rPr>
                <w:rFonts w:hint="default" w:ascii="Times New Roman" w:hAnsi="Times New Roman" w:eastAsia="SimSun-ExtB" w:cs="Times New Roman"/>
                <w:color w:val="000000" w:themeColor="text1"/>
                <w:sz w:val="21"/>
                <w:u w:val="single"/>
                <w14:textFill>
                  <w14:solidFill>
                    <w14:schemeClr w14:val="tx1"/>
                  </w14:solidFill>
                </w14:textFill>
              </w:rPr>
              <w:t>)</w:t>
            </w:r>
            <w:r>
              <w:rPr>
                <w:rFonts w:hint="default" w:ascii="Times New Roman" w:hAnsi="Times New Roman" w:eastAsia="宋体" w:cs="Times New Roman"/>
                <w:color w:val="000000" w:themeColor="text1"/>
                <w:sz w:val="21"/>
                <w:u w:val="single"/>
                <w14:textFill>
                  <w14:solidFill>
                    <w14:schemeClr w14:val="tx1"/>
                  </w14:solidFill>
                </w14:textFill>
              </w:rPr>
              <w:t>，渔业用水区</w:t>
            </w:r>
          </w:p>
        </w:tc>
        <w:tc>
          <w:tcPr>
            <w:tcW w:w="0" w:type="auto"/>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GB3838-2002中Ⅲ类标准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松阳湖</w:t>
            </w:r>
          </w:p>
        </w:tc>
        <w:tc>
          <w:tcPr>
            <w:tcW w:w="7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NW</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8.1km</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lang w:bidi="zh-CN"/>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小湖</w:t>
            </w:r>
            <w:r>
              <w:rPr>
                <w:rFonts w:hint="default" w:ascii="Times New Roman" w:hAnsi="Times New Roman" w:eastAsia="SimSun-ExtB" w:cs="Times New Roman"/>
                <w:color w:val="000000" w:themeColor="text1"/>
                <w:sz w:val="21"/>
                <w:u w:val="single"/>
                <w14:textFill>
                  <w14:solidFill>
                    <w14:schemeClr w14:val="tx1"/>
                  </w14:solidFill>
                </w14:textFill>
              </w:rPr>
              <w:t>(</w:t>
            </w:r>
            <w:r>
              <w:rPr>
                <w:rFonts w:hint="default" w:ascii="Times New Roman" w:hAnsi="Times New Roman" w:eastAsia="宋体" w:cs="Times New Roman"/>
                <w:color w:val="000000" w:themeColor="text1"/>
                <w:sz w:val="21"/>
                <w:u w:val="single"/>
                <w:lang w:bidi="zh-CN"/>
                <w14:textFill>
                  <w14:solidFill>
                    <w14:schemeClr w14:val="tx1"/>
                  </w14:solidFill>
                </w14:textFill>
              </w:rPr>
              <w:t>面积约</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lang w:bidi="zh-CN"/>
                <w14:textFill>
                  <w14:solidFill>
                    <w14:schemeClr w14:val="tx1"/>
                  </w14:solidFill>
                </w14:textFill>
              </w:rPr>
              <w:t>4km</w:t>
            </w:r>
            <w:r>
              <w:rPr>
                <w:rFonts w:hint="default" w:ascii="Times New Roman" w:hAnsi="Times New Roman" w:eastAsia="宋体" w:cs="Times New Roman"/>
                <w:color w:val="000000" w:themeColor="text1"/>
                <w:sz w:val="21"/>
                <w:u w:val="single"/>
                <w:vertAlign w:val="superscript"/>
                <w:lang w:bidi="zh-CN"/>
                <w14:textFill>
                  <w14:solidFill>
                    <w14:schemeClr w14:val="tx1"/>
                  </w14:solidFill>
                </w14:textFill>
              </w:rPr>
              <w:t>2</w:t>
            </w:r>
            <w:r>
              <w:rPr>
                <w:rFonts w:hint="default" w:ascii="Times New Roman" w:hAnsi="Times New Roman" w:eastAsia="SimSun-ExtB" w:cs="Times New Roman"/>
                <w:color w:val="000000" w:themeColor="text1"/>
                <w:sz w:val="21"/>
                <w:u w:val="single"/>
                <w14:textFill>
                  <w14:solidFill>
                    <w14:schemeClr w14:val="tx1"/>
                  </w14:solidFill>
                </w14:textFill>
              </w:rPr>
              <w:t>)</w:t>
            </w:r>
            <w:r>
              <w:rPr>
                <w:rFonts w:hint="default" w:ascii="Times New Roman" w:hAnsi="Times New Roman" w:eastAsia="宋体" w:cs="Times New Roman"/>
                <w:color w:val="000000" w:themeColor="text1"/>
                <w:sz w:val="21"/>
                <w:u w:val="single"/>
                <w14:textFill>
                  <w14:solidFill>
                    <w14:schemeClr w14:val="tx1"/>
                  </w14:solidFill>
                </w14:textFill>
              </w:rPr>
              <w:t>，景观用水区</w:t>
            </w:r>
          </w:p>
        </w:tc>
        <w:tc>
          <w:tcPr>
            <w:tcW w:w="0" w:type="auto"/>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GB3838-2002中Ⅳ类标准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8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区域地下水</w:t>
            </w:r>
          </w:p>
        </w:tc>
        <w:tc>
          <w:tcPr>
            <w:tcW w:w="70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无饮用水功能</w:t>
            </w:r>
          </w:p>
        </w:tc>
        <w:tc>
          <w:tcPr>
            <w:tcW w:w="0" w:type="auto"/>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GB/T14848-2017中Ⅲ类标准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生态环境</w:t>
            </w:r>
          </w:p>
        </w:tc>
        <w:tc>
          <w:tcPr>
            <w:tcW w:w="0" w:type="auto"/>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工业园现有厂区内，无需要特殊保护物种</w:t>
            </w:r>
          </w:p>
        </w:tc>
        <w:tc>
          <w:tcPr>
            <w:tcW w:w="0" w:type="auto"/>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对生态不造成影响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土壤环境</w:t>
            </w:r>
          </w:p>
        </w:tc>
        <w:tc>
          <w:tcPr>
            <w:tcW w:w="0" w:type="auto"/>
            <w:gridSpan w:val="4"/>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项目位于工业园内，周边200m范围内并没有耕地</w:t>
            </w:r>
          </w:p>
        </w:tc>
        <w:tc>
          <w:tcPr>
            <w:tcW w:w="0" w:type="auto"/>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GB15618-2018</w:t>
            </w:r>
          </w:p>
        </w:tc>
      </w:tr>
      <w:bookmarkEnd w:id="109"/>
      <w:bookmarkEnd w:id="110"/>
      <w:bookmarkEnd w:id="111"/>
      <w:bookmarkEnd w:id="112"/>
    </w:tbl>
    <w:p>
      <w:pPr>
        <w:pStyle w:val="14"/>
        <w:spacing w:line="240" w:lineRule="auto"/>
        <w:rPr>
          <w:rFonts w:hint="default" w:ascii="Times New Roman" w:hAnsi="Times New Roman" w:cs="Times New Roman"/>
          <w:color w:val="000000" w:themeColor="text1"/>
          <w14:textFill>
            <w14:solidFill>
              <w14:schemeClr w14:val="tx1"/>
            </w14:solidFill>
          </w14:textFill>
        </w:rPr>
      </w:pPr>
      <w:bookmarkStart w:id="113" w:name="_Ref19365"/>
      <w:r>
        <w:rPr>
          <w:rFonts w:hint="default" w:ascii="Times New Roman" w:hAnsi="Times New Roman" w:cs="Times New Roman"/>
          <w:color w:val="000000" w:themeColor="text1"/>
          <w14:textFill>
            <w14:solidFill>
              <w14:schemeClr w14:val="tx1"/>
            </w14:solidFill>
          </w14:textFill>
        </w:rPr>
        <w:t xml:space="preserve">表 </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bookmarkEnd w:id="113"/>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szCs w:val="22"/>
          <w14:textFill>
            <w14:solidFill>
              <w14:schemeClr w14:val="tx1"/>
            </w14:solidFill>
          </w14:textFill>
        </w:rPr>
        <w:t>环境风险敏感目标一览表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579"/>
        <w:gridCol w:w="2085"/>
        <w:gridCol w:w="1211"/>
        <w:gridCol w:w="1351"/>
        <w:gridCol w:w="1228"/>
        <w:gridCol w:w="1355"/>
      </w:tblGrid>
      <w:tr>
        <w:tblPrEx>
          <w:tblCellMar>
            <w:top w:w="0" w:type="dxa"/>
            <w:left w:w="108" w:type="dxa"/>
            <w:bottom w:w="0" w:type="dxa"/>
            <w:right w:w="108" w:type="dxa"/>
          </w:tblCellMar>
        </w:tblPrEx>
        <w:trPr>
          <w:trHeight w:val="397" w:hRule="atLeast"/>
        </w:trPr>
        <w:tc>
          <w:tcPr>
            <w:tcW w:w="234" w:type="pct"/>
            <w:vMerge w:val="restar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类别</w:t>
            </w:r>
          </w:p>
        </w:tc>
        <w:tc>
          <w:tcPr>
            <w:tcW w:w="4765" w:type="pct"/>
            <w:gridSpan w:val="6"/>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765" w:type="pct"/>
            <w:gridSpan w:val="6"/>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厂址周边5km范围内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restar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大气环境</w:t>
            </w:r>
          </w:p>
          <w:p>
            <w:pPr>
              <w:keepNext w:val="0"/>
              <w:keepLines w:val="0"/>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序号</w:t>
            </w:r>
          </w:p>
        </w:tc>
        <w:tc>
          <w:tcPr>
            <w:tcW w:w="1128"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敏感目标名称</w:t>
            </w:r>
          </w:p>
        </w:tc>
        <w:tc>
          <w:tcPr>
            <w:tcW w:w="655"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相对方位</w:t>
            </w:r>
          </w:p>
        </w:tc>
        <w:tc>
          <w:tcPr>
            <w:tcW w:w="73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距离/m</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属性</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人口数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老屋地居民点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1200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黄金坳居民点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1490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新条</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2140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丁家居民点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东北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2500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象形湾居民点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东北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2550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拓木岭居民点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东</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1730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青坡社区居民点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2190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别家垄居民点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2008</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镇龙村居民点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1308</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金盆二区居民点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1300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皮匠坡居民点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1213</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sz w:val="21"/>
                <w14:textFill>
                  <w14:solidFill>
                    <w14:schemeClr w14:val="tx1"/>
                  </w14:solidFill>
                </w14:textFill>
              </w:rPr>
              <w:t>老屋地居民点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bCs/>
                <w:color w:val="000000" w:themeColor="text1"/>
                <w:sz w:val="21"/>
                <w14:textFill>
                  <w14:solidFill>
                    <w14:schemeClr w14:val="tx1"/>
                  </w14:solidFill>
                </w14:textFill>
              </w:rPr>
              <w:t>1200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岳化工矿区巴陵石化岳化医院</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2120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医院</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岳化二小</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2991</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学校</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炼油部办公楼</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西面</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455</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办公楼</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巴陵石化云溪社区</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西面</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1220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居民区</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岳化一中</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西南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1540</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学校</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18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南冲岭</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4943</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19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长冲源</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Cs/>
                <w:color w:val="000000" w:themeColor="text1"/>
                <w:sz w:val="21"/>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4811</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茶港铺</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4643</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邓家冲老屋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4716</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介家冲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4157</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刘家坳</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4603</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新桥</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4865</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杜马野</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2940</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eastAsia="宋体"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下清溪村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3282</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天子山</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3929</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清溪</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4082</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冷家冲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4146</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吴松冲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4916</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上清溪村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4488</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毛园屋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东南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4677</w:t>
            </w:r>
          </w:p>
        </w:tc>
        <w:tc>
          <w:tcPr>
            <w:tcW w:w="661"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石相冲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4463</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黄杨冲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3244</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八一村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3369</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李家老屋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3940</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春山坡</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4725</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老马冲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4486</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土公塘</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3470</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40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团结村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3950</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41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lang w:eastAsia="zh-CN"/>
                <w14:textFill>
                  <w14:solidFill>
                    <w14:schemeClr w14:val="tx1"/>
                  </w14:solidFill>
                </w14:textFill>
              </w:rPr>
            </w:pPr>
            <w:r>
              <w:rPr>
                <w:rFonts w:hint="eastAsia" w:cs="Times New Roman"/>
                <w:color w:val="000000" w:themeColor="text1"/>
                <w:sz w:val="21"/>
                <w:lang w:eastAsia="zh-CN"/>
                <w14:textFill>
                  <w14:solidFill>
                    <w14:schemeClr w14:val="tx1"/>
                  </w14:solidFill>
                </w14:textFill>
              </w:rPr>
              <w:t>上四屋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bCs/>
                <w:color w:val="000000" w:themeColor="text1"/>
                <w:sz w:val="21"/>
                <w:lang w:eastAsia="zh-CN"/>
                <w14:textFill>
                  <w14:solidFill>
                    <w14:schemeClr w14:val="tx1"/>
                  </w14:solidFill>
                </w14:textFill>
              </w:rPr>
            </w:pPr>
            <w:r>
              <w:rPr>
                <w:rFonts w:hint="eastAsia" w:cs="Times New Roman"/>
                <w:bCs/>
                <w:color w:val="000000" w:themeColor="text1"/>
                <w:sz w:val="21"/>
                <w:lang w:eastAsia="zh-CN"/>
                <w14:textFill>
                  <w14:solidFill>
                    <w14:schemeClr w14:val="tx1"/>
                  </w14:solidFill>
                </w14:textFill>
              </w:rPr>
              <w:t>西南</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bCs/>
                <w:color w:val="000000" w:themeColor="text1"/>
                <w:sz w:val="21"/>
                <w:lang w:val="en-US" w:eastAsia="zh-CN"/>
                <w14:textFill>
                  <w14:solidFill>
                    <w14:schemeClr w14:val="tx1"/>
                  </w14:solidFill>
                </w14:textFill>
              </w:rPr>
            </w:pPr>
            <w:r>
              <w:rPr>
                <w:rFonts w:hint="eastAsia" w:cs="Times New Roman"/>
                <w:bCs/>
                <w:color w:val="000000" w:themeColor="text1"/>
                <w:sz w:val="21"/>
                <w:lang w:val="en-US" w:eastAsia="zh-CN"/>
                <w14:textFill>
                  <w14:solidFill>
                    <w14:schemeClr w14:val="tx1"/>
                  </w14:solidFill>
                </w14:textFill>
              </w:rPr>
              <w:t>3081</w:t>
            </w:r>
          </w:p>
        </w:tc>
        <w:tc>
          <w:tcPr>
            <w:tcW w:w="661" w:type="pct"/>
            <w:noWrap w:val="0"/>
            <w:vAlign w:val="center"/>
          </w:tcPr>
          <w:p>
            <w:pPr>
              <w:keepNext w:val="0"/>
              <w:keepLines w:val="0"/>
              <w:widowControl/>
              <w:suppressLineNumbers w:val="0"/>
              <w:spacing w:before="0" w:beforeAutospacing="0" w:after="0" w:afterAutospacing="0"/>
              <w:ind w:left="0" w:right="0"/>
              <w:jc w:val="center"/>
              <w:rPr>
                <w:rFonts w:hint="eastAsia" w:cs="Times New Roman"/>
                <w:color w:val="000000" w:themeColor="text1"/>
                <w:kern w:val="0"/>
                <w:sz w:val="21"/>
                <w:lang w:eastAsia="zh-CN"/>
                <w14:textFill>
                  <w14:solidFill>
                    <w14:schemeClr w14:val="tx1"/>
                  </w14:solidFill>
                </w14:textFill>
              </w:rPr>
            </w:pPr>
            <w:r>
              <w:rPr>
                <w:rFonts w:hint="eastAsia"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cs="Times New Roman"/>
                <w:color w:val="000000" w:themeColor="text1"/>
                <w:kern w:val="0"/>
                <w:sz w:val="21"/>
                <w:lang w:val="en-US" w:eastAsia="zh-CN"/>
                <w14:textFill>
                  <w14:solidFill>
                    <w14:schemeClr w14:val="tx1"/>
                  </w14:solidFill>
                </w14:textFill>
              </w:rPr>
            </w:pPr>
            <w:r>
              <w:rPr>
                <w:rFonts w:hint="eastAsia" w:cs="Times New Roman"/>
                <w:color w:val="000000" w:themeColor="text1"/>
                <w:kern w:val="0"/>
                <w:sz w:val="21"/>
                <w:lang w:val="en-US" w:eastAsia="zh-CN"/>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032" w:type="pct"/>
            <w:gridSpan w:val="5"/>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厂址周边500m范围内人口小计</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约500人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032" w:type="pct"/>
            <w:gridSpan w:val="5"/>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厂址周边5km范围内人口小计</w:t>
            </w:r>
          </w:p>
        </w:tc>
        <w:tc>
          <w:tcPr>
            <w:tcW w:w="733"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约8.8万人</w:t>
            </w:r>
          </w:p>
        </w:tc>
      </w:tr>
    </w:tbl>
    <w:p>
      <w:pPr>
        <w:pStyle w:val="14"/>
        <w:spacing w:line="240" w:lineRule="auto"/>
        <w:rPr>
          <w:rFonts w:hint="default" w:ascii="Times New Roman" w:hAnsi="Times New Roman" w:cs="Times New Roman"/>
          <w:color w:val="000000" w:themeColor="text1"/>
          <w14:textFill>
            <w14:solidFill>
              <w14:schemeClr w14:val="tx1"/>
            </w14:solidFill>
          </w14:textFill>
        </w:rPr>
      </w:pPr>
    </w:p>
    <w:p>
      <w:pPr>
        <w:pStyle w:val="2"/>
        <w:keepLines/>
        <w:pageBreakBefore w:val="0"/>
        <w:widowControl w:val="0"/>
        <w:kinsoku/>
        <w:wordWrap/>
        <w:overflowPunct/>
        <w:topLinePunct w:val="0"/>
        <w:autoSpaceDE/>
        <w:autoSpaceDN/>
        <w:bidi w:val="0"/>
        <w:adjustRightInd w:val="0"/>
        <w:snapToGrid w:val="0"/>
        <w:spacing w:line="36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114" w:name="_Toc373"/>
      <w:r>
        <w:rPr>
          <w:color w:val="000000" w:themeColor="text1"/>
          <w14:textFill>
            <w14:solidFill>
              <w14:schemeClr w14:val="tx1"/>
            </w14:solidFill>
          </w14:textFill>
        </w:rPr>
        <w:t>现有工程</w:t>
      </w:r>
      <w:bookmarkEnd w:id="114"/>
    </w:p>
    <w:p>
      <w:pPr>
        <w:pStyle w:val="4"/>
        <w:keepLines/>
        <w:pageBreakBefore w:val="0"/>
        <w:widowControl w:val="0"/>
        <w:kinsoku/>
        <w:wordWrap/>
        <w:overflowPunct/>
        <w:topLinePunct w:val="0"/>
        <w:autoSpaceDE/>
        <w:autoSpaceDN/>
        <w:bidi w:val="0"/>
        <w:adjustRightInd w:val="0"/>
        <w:snapToGrid w:val="0"/>
        <w:spacing w:line="360" w:lineRule="auto"/>
        <w:textAlignment w:val="auto"/>
        <w:rPr>
          <w:color w:val="000000" w:themeColor="text1"/>
          <w14:textFill>
            <w14:solidFill>
              <w14:schemeClr w14:val="tx1"/>
            </w14:solidFill>
          </w14:textFill>
        </w:rPr>
      </w:pPr>
      <w:bookmarkStart w:id="115" w:name="_Toc28828"/>
      <w:r>
        <w:rPr>
          <w:color w:val="000000" w:themeColor="text1"/>
          <w14:textFill>
            <w14:solidFill>
              <w14:schemeClr w14:val="tx1"/>
            </w14:solidFill>
          </w14:textFill>
        </w:rPr>
        <w:t>现有工程概况</w:t>
      </w:r>
      <w:bookmarkEnd w:id="115"/>
    </w:p>
    <w:p>
      <w:pPr>
        <w:pStyle w:val="20"/>
        <w:spacing w:after="0" w:line="360" w:lineRule="auto"/>
        <w:ind w:left="0" w:leftChars="0" w:firstLine="480"/>
        <w:rPr>
          <w:rFonts w:hint="default" w:ascii="Times New Roman" w:hAnsi="Times New Roman" w:cs="Times New Roman"/>
          <w:color w:val="000000" w:themeColor="text1"/>
          <w:sz w:val="24"/>
          <w:szCs w:val="24"/>
          <w:u w:val="single"/>
          <w14:textFill>
            <w14:solidFill>
              <w14:schemeClr w14:val="tx1"/>
            </w14:solidFill>
          </w14:textFill>
        </w:rPr>
      </w:pPr>
      <w:r>
        <w:rPr>
          <w:rFonts w:hint="default" w:ascii="Times New Roman" w:hAnsi="Times New Roman" w:cs="Times New Roman"/>
          <w:color w:val="000000" w:themeColor="text1"/>
          <w:sz w:val="24"/>
          <w:szCs w:val="24"/>
          <w:u w:val="single"/>
          <w14:textFill>
            <w14:solidFill>
              <w14:schemeClr w14:val="tx1"/>
            </w14:solidFill>
          </w14:textFill>
        </w:rPr>
        <w:t>本次</w:t>
      </w:r>
      <w:r>
        <w:rPr>
          <w:rFonts w:hint="default" w:ascii="Times New Roman" w:hAnsi="Times New Roman" w:cs="Times New Roman"/>
          <w:color w:val="000000" w:themeColor="text1"/>
          <w:sz w:val="24"/>
          <w:szCs w:val="24"/>
          <w:u w:val="single"/>
          <w:lang w:eastAsia="zh-CN"/>
          <w14:textFill>
            <w14:solidFill>
              <w14:schemeClr w14:val="tx1"/>
            </w14:solidFill>
          </w14:textFill>
        </w:rPr>
        <w:t>项目建设</w:t>
      </w:r>
      <w:r>
        <w:rPr>
          <w:rFonts w:hint="default" w:ascii="Times New Roman" w:hAnsi="Times New Roman" w:cs="Times New Roman"/>
          <w:color w:val="000000" w:themeColor="text1"/>
          <w:sz w:val="24"/>
          <w:szCs w:val="24"/>
          <w:u w:val="single"/>
          <w14:textFill>
            <w14:solidFill>
              <w14:schemeClr w14:val="tx1"/>
            </w14:solidFill>
          </w14:textFill>
        </w:rPr>
        <w:t>主要位于炼油装置车间</w:t>
      </w:r>
      <w:r>
        <w:rPr>
          <w:rFonts w:hint="default" w:ascii="Times New Roman" w:hAnsi="Times New Roman" w:cs="Times New Roman"/>
          <w:color w:val="000000" w:themeColor="text1"/>
          <w:sz w:val="24"/>
          <w:szCs w:val="24"/>
          <w:u w:val="single"/>
          <w:lang w:eastAsia="zh-CN"/>
          <w14:textFill>
            <w14:solidFill>
              <w14:schemeClr w14:val="tx1"/>
            </w14:solidFill>
          </w14:textFill>
        </w:rPr>
        <w:t>的</w:t>
      </w:r>
      <w:r>
        <w:rPr>
          <w:rFonts w:hint="default" w:ascii="Times New Roman" w:hAnsi="Times New Roman" w:cs="Times New Roman"/>
          <w:color w:val="000000" w:themeColor="text1"/>
          <w:sz w:val="24"/>
          <w:szCs w:val="24"/>
          <w:u w:val="single"/>
          <w14:textFill>
            <w14:solidFill>
              <w14:schemeClr w14:val="tx1"/>
            </w14:solidFill>
          </w14:textFill>
        </w:rPr>
        <w:t>炼油部常压蒸馏装置</w:t>
      </w:r>
      <w:r>
        <w:rPr>
          <w:rFonts w:hint="default" w:ascii="Times New Roman" w:hAnsi="Times New Roman" w:cs="Times New Roman"/>
          <w:color w:val="000000" w:themeColor="text1"/>
          <w:sz w:val="24"/>
          <w:szCs w:val="24"/>
          <w:u w:val="single"/>
          <w:lang w:eastAsia="zh-CN"/>
          <w14:textFill>
            <w14:solidFill>
              <w14:schemeClr w14:val="tx1"/>
            </w14:solidFill>
          </w14:textFill>
        </w:rPr>
        <w:t>附近</w:t>
      </w:r>
      <w:r>
        <w:rPr>
          <w:rFonts w:hint="default" w:ascii="Times New Roman" w:hAnsi="Times New Roman" w:cs="Times New Roman"/>
          <w:color w:val="000000" w:themeColor="text1"/>
          <w:sz w:val="24"/>
          <w:szCs w:val="24"/>
          <w:u w:val="single"/>
          <w14:textFill>
            <w14:solidFill>
              <w14:schemeClr w14:val="tx1"/>
            </w14:solidFill>
          </w14:textFill>
        </w:rPr>
        <w:t>，常压蒸馏装置的产物溶剂油、航煤组分油进入本次</w:t>
      </w:r>
      <w:r>
        <w:rPr>
          <w:rFonts w:hint="default" w:ascii="Times New Roman" w:hAnsi="Times New Roman" w:cs="Times New Roman"/>
          <w:color w:val="000000" w:themeColor="text1"/>
          <w:sz w:val="24"/>
          <w:szCs w:val="24"/>
          <w:u w:val="single"/>
          <w:lang w:eastAsia="zh-CN"/>
          <w14:textFill>
            <w14:solidFill>
              <w14:schemeClr w14:val="tx1"/>
            </w14:solidFill>
          </w14:textFill>
        </w:rPr>
        <w:t>新</w:t>
      </w:r>
      <w:r>
        <w:rPr>
          <w:rFonts w:hint="default" w:ascii="Times New Roman" w:hAnsi="Times New Roman" w:cs="Times New Roman"/>
          <w:color w:val="000000" w:themeColor="text1"/>
          <w:sz w:val="24"/>
          <w:szCs w:val="24"/>
          <w:u w:val="single"/>
          <w14:textFill>
            <w14:solidFill>
              <w14:schemeClr w14:val="tx1"/>
            </w14:solidFill>
          </w14:textFill>
        </w:rPr>
        <w:t>建项目的原料过滤器再进入加氢反应器，最后进入分馏塔。常压蒸馏装置于2012年9月10以取得环评批复，批复文号为湘环评[2012]290号。项目生产试运行后于2014年10月30日获得岳阳市生态环境局关于《</w:t>
      </w:r>
      <w:r>
        <w:rPr>
          <w:rFonts w:hint="default" w:ascii="Times New Roman" w:hAnsi="Times New Roman" w:cs="Times New Roman"/>
          <w:color w:val="000000" w:themeColor="text1"/>
          <w:sz w:val="24"/>
          <w:szCs w:val="24"/>
          <w:u w:val="single"/>
          <w:lang w:eastAsia="zh-CN"/>
          <w14:textFill>
            <w14:solidFill>
              <w14:schemeClr w14:val="tx1"/>
            </w14:solidFill>
          </w14:textFill>
        </w:rPr>
        <w:t>湖南省环境保护厅关于中国石化集团资产经营管理有限公司巴陵石化分公司常压蒸馏装置安全隐患治理项目竣工环保保护验收意见的函</w:t>
      </w:r>
      <w:r>
        <w:rPr>
          <w:rFonts w:hint="default" w:ascii="Times New Roman" w:hAnsi="Times New Roman" w:cs="Times New Roman"/>
          <w:color w:val="000000" w:themeColor="text1"/>
          <w:sz w:val="24"/>
          <w:szCs w:val="24"/>
          <w:u w:val="single"/>
          <w14:textFill>
            <w14:solidFill>
              <w14:schemeClr w14:val="tx1"/>
            </w14:solidFill>
          </w14:textFill>
        </w:rPr>
        <w:t>》</w:t>
      </w:r>
      <w:r>
        <w:rPr>
          <w:rStyle w:val="45"/>
          <w:rFonts w:hint="default" w:ascii="Times New Roman" w:hAnsi="Times New Roman" w:cs="Times New Roman"/>
          <w:color w:val="000000" w:themeColor="text1"/>
          <w:sz w:val="24"/>
          <w:szCs w:val="24"/>
          <w:u w:val="single"/>
          <w:lang w:val="en-US" w:eastAsia="zh-CN"/>
          <w14:textFill>
            <w14:solidFill>
              <w14:schemeClr w14:val="tx1"/>
            </w14:solidFill>
          </w14:textFill>
        </w:rPr>
        <w:t>（湘环评验</w:t>
      </w:r>
      <w:r>
        <w:rPr>
          <w:rStyle w:val="45"/>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w:t>
      </w:r>
      <w:r>
        <w:rPr>
          <w:rStyle w:val="45"/>
          <w:rFonts w:hint="default" w:ascii="Times New Roman" w:hAnsi="Times New Roman" w:cs="Times New Roman"/>
          <w:color w:val="000000" w:themeColor="text1"/>
          <w:sz w:val="24"/>
          <w:szCs w:val="24"/>
          <w:u w:val="single"/>
          <w:lang w:val="en-US" w:eastAsia="zh-CN"/>
          <w14:textFill>
            <w14:solidFill>
              <w14:schemeClr w14:val="tx1"/>
            </w14:solidFill>
          </w14:textFill>
        </w:rPr>
        <w:t>2016</w:t>
      </w:r>
      <w:r>
        <w:rPr>
          <w:rStyle w:val="45"/>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w:t>
      </w:r>
      <w:r>
        <w:rPr>
          <w:rStyle w:val="45"/>
          <w:rFonts w:hint="default" w:ascii="Times New Roman" w:hAnsi="Times New Roman" w:cs="Times New Roman"/>
          <w:color w:val="000000" w:themeColor="text1"/>
          <w:sz w:val="24"/>
          <w:szCs w:val="24"/>
          <w:u w:val="single"/>
          <w:lang w:val="en-US" w:eastAsia="zh-CN"/>
          <w14:textFill>
            <w14:solidFill>
              <w14:schemeClr w14:val="tx1"/>
            </w14:solidFill>
          </w14:textFill>
        </w:rPr>
        <w:t>10号）</w:t>
      </w:r>
      <w:r>
        <w:rPr>
          <w:rFonts w:hint="default" w:ascii="Times New Roman" w:hAnsi="Times New Roman" w:cs="Times New Roman"/>
          <w:color w:val="000000" w:themeColor="text1"/>
          <w:sz w:val="24"/>
          <w:szCs w:val="24"/>
          <w:u w:val="single"/>
          <w14:textFill>
            <w14:solidFill>
              <w14:schemeClr w14:val="tx1"/>
            </w14:solidFill>
          </w14:textFill>
        </w:rPr>
        <w:t>。由于本次主要是在常压蒸馏装置后面添加原料过滤器、加氢反应器和分馏塔。对于本项目的现有情况着重介绍炼油部常压蒸馏装置，具体介绍情况如以下所示。</w:t>
      </w:r>
    </w:p>
    <w:p>
      <w:pPr>
        <w:pStyle w:val="5"/>
        <w:rPr>
          <w:color w:val="000000" w:themeColor="text1"/>
          <w14:textFill>
            <w14:solidFill>
              <w14:schemeClr w14:val="tx1"/>
            </w14:solidFill>
          </w14:textFill>
        </w:rPr>
      </w:pPr>
      <w:r>
        <w:rPr>
          <w:color w:val="000000" w:themeColor="text1"/>
          <w14:textFill>
            <w14:solidFill>
              <w14:schemeClr w14:val="tx1"/>
            </w14:solidFill>
          </w14:textFill>
        </w:rPr>
        <w:t>现有常压蒸馏工程基本情况</w:t>
      </w:r>
    </w:p>
    <w:p>
      <w:pPr>
        <w:adjustRightInd w:val="0"/>
        <w:snapToGrid w:val="0"/>
        <w:spacing w:line="360" w:lineRule="auto"/>
        <w:ind w:firstLine="480" w:firstLineChars="200"/>
        <w:jc w:val="left"/>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项目名称：中石化巴陵石油化工有限公司常压蒸馏装置</w:t>
      </w:r>
      <w:r>
        <w:rPr>
          <w:rFonts w:hint="eastAsia"/>
          <w:color w:val="000000" w:themeColor="text1"/>
          <w:lang w:eastAsia="zh-CN"/>
          <w14:textFill>
            <w14:solidFill>
              <w14:schemeClr w14:val="tx1"/>
            </w14:solidFill>
          </w14:textFill>
        </w:rPr>
        <w:t>建设项目</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建设地点：中石化巴陵石油化工有限公司炼油部</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建设单位：中石化巴陵石油化工有限公司</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产品方案：干气、石脑油、柴油、常压渣油</w:t>
      </w:r>
    </w:p>
    <w:p>
      <w:pPr>
        <w:adjustRightInd w:val="0"/>
        <w:snapToGrid w:val="0"/>
        <w:spacing w:line="360" w:lineRule="auto"/>
        <w:ind w:firstLine="480" w:firstLineChars="200"/>
        <w:rPr>
          <w:bCs/>
          <w:color w:val="000000" w:themeColor="text1"/>
          <w14:textFill>
            <w14:solidFill>
              <w14:schemeClr w14:val="tx1"/>
            </w14:solidFill>
          </w14:textFill>
        </w:rPr>
      </w:pPr>
      <w:r>
        <w:rPr>
          <w:color w:val="000000" w:themeColor="text1"/>
          <w14:textFill>
            <w14:solidFill>
              <w14:schemeClr w14:val="tx1"/>
            </w14:solidFill>
          </w14:textFill>
        </w:rPr>
        <w:t>投资情况：</w:t>
      </w:r>
      <w:r>
        <w:rPr>
          <w:bCs/>
          <w:color w:val="000000" w:themeColor="text1"/>
          <w14:textFill>
            <w14:solidFill>
              <w14:schemeClr w14:val="tx1"/>
            </w14:solidFill>
          </w14:textFill>
        </w:rPr>
        <w:t>本项目建设投资</w:t>
      </w:r>
      <w:r>
        <w:rPr>
          <w:color w:val="000000" w:themeColor="text1"/>
          <w14:textFill>
            <w14:solidFill>
              <w14:schemeClr w14:val="tx1"/>
            </w14:solidFill>
          </w14:textFill>
        </w:rPr>
        <w:t>19563</w:t>
      </w:r>
      <w:r>
        <w:rPr>
          <w:bCs/>
          <w:color w:val="000000" w:themeColor="text1"/>
          <w14:textFill>
            <w14:solidFill>
              <w14:schemeClr w14:val="tx1"/>
            </w14:solidFill>
          </w14:textFill>
        </w:rPr>
        <w:t>万元，其中建设投资18995万元（不含增值税），建设期利息568万元。</w:t>
      </w:r>
    </w:p>
    <w:p>
      <w:pPr>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工作制度及生产定员：年开工时间为</w:t>
      </w:r>
      <w:r>
        <w:rPr>
          <w:rFonts w:hint="eastAsia"/>
          <w:color w:val="000000" w:themeColor="text1"/>
          <w:lang w:val="en-US" w:eastAsia="zh-CN"/>
          <w14:textFill>
            <w14:solidFill>
              <w14:schemeClr w14:val="tx1"/>
            </w14:solidFill>
          </w14:textFill>
        </w:rPr>
        <w:t>7920</w:t>
      </w:r>
      <w:r>
        <w:rPr>
          <w:color w:val="000000" w:themeColor="text1"/>
          <w14:textFill>
            <w14:solidFill>
              <w14:schemeClr w14:val="tx1"/>
            </w14:solidFill>
          </w14:textFill>
        </w:rPr>
        <w:t>小时；本项目不增加定员，新建蒸馏装置开工后，老蒸馏装置停车，人员不变。</w:t>
      </w:r>
    </w:p>
    <w:p>
      <w:pPr>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生产规模：主要加工阿曼原油(15%)、卡滨达原油(20%)、勃南原油(15%)、文昌原油(30%)以及番禺原油(20%)等的混合原油。原油加工规模不变，按200万吨/年进行规划。</w:t>
      </w:r>
    </w:p>
    <w:p>
      <w:pPr>
        <w:pStyle w:val="5"/>
        <w:rPr>
          <w:color w:val="000000" w:themeColor="text1"/>
          <w14:textFill>
            <w14:solidFill>
              <w14:schemeClr w14:val="tx1"/>
            </w14:solidFill>
          </w14:textFill>
        </w:rPr>
      </w:pPr>
      <w:r>
        <w:rPr>
          <w:color w:val="000000" w:themeColor="text1"/>
          <w14:textFill>
            <w14:solidFill>
              <w14:schemeClr w14:val="tx1"/>
            </w14:solidFill>
          </w14:textFill>
        </w:rPr>
        <w:t>常压蒸馏工程建设内容</w:t>
      </w:r>
    </w:p>
    <w:p>
      <w:pPr>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现有常压蒸馏工程建设内容详见表</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.1-1。</w:t>
      </w:r>
    </w:p>
    <w:p>
      <w:pPr>
        <w:pStyle w:val="14"/>
        <w:spacing w:line="240" w:lineRule="auto"/>
        <w:rPr>
          <w:color w:val="000000" w:themeColor="text1"/>
          <w14:textFill>
            <w14:solidFill>
              <w14:schemeClr w14:val="tx1"/>
            </w14:solidFill>
          </w14:textFill>
        </w:rPr>
      </w:pPr>
      <w:bookmarkStart w:id="116" w:name="_Ref271275573"/>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116"/>
      <w:r>
        <w:rPr>
          <w:color w:val="000000" w:themeColor="text1"/>
          <w14:textFill>
            <w14:solidFill>
              <w14:schemeClr w14:val="tx1"/>
            </w14:solidFill>
          </w14:textFill>
        </w:rPr>
        <w:t xml:space="preserve">  现有常压蒸馏工程主要工艺装置一览表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01"/>
        <w:gridCol w:w="1365"/>
        <w:gridCol w:w="2635"/>
        <w:gridCol w:w="22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序号</w:t>
            </w: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项目名称</w:t>
            </w:r>
          </w:p>
        </w:tc>
        <w:tc>
          <w:tcPr>
            <w:tcW w:w="6299" w:type="dxa"/>
            <w:gridSpan w:val="3"/>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工程内容及规模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2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主体工程</w:t>
            </w: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常压装置</w:t>
            </w:r>
          </w:p>
        </w:tc>
        <w:tc>
          <w:tcPr>
            <w:tcW w:w="6299" w:type="dxa"/>
            <w:gridSpan w:val="3"/>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有闪蒸塔、常压塔、常压气提塔、电脱盐等装置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公用工程</w:t>
            </w: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供水</w:t>
            </w:r>
          </w:p>
        </w:tc>
        <w:tc>
          <w:tcPr>
            <w:tcW w:w="6299" w:type="dxa"/>
            <w:gridSpan w:val="3"/>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b/>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用水依托</w:t>
            </w:r>
            <w:r>
              <w:rPr>
                <w:rFonts w:hint="default" w:ascii="Times New Roman" w:hAnsi="Times New Roman" w:cs="Times New Roman"/>
                <w:color w:val="000000" w:themeColor="text1"/>
                <w:sz w:val="21"/>
                <w:u w:val="single"/>
                <w:lang w:eastAsia="zh-CN"/>
                <w14:textFill>
                  <w14:solidFill>
                    <w14:schemeClr w14:val="tx1"/>
                  </w14:solidFill>
                </w14:textFill>
              </w:rPr>
              <w:t>中石化巴陵石油化工有限公司</w:t>
            </w:r>
            <w:r>
              <w:rPr>
                <w:rFonts w:hint="default" w:ascii="Times New Roman" w:hAnsi="Times New Roman" w:eastAsia="宋体" w:cs="Times New Roman"/>
                <w:color w:val="000000" w:themeColor="text1"/>
                <w:sz w:val="21"/>
                <w:u w:val="single"/>
                <w14:textFill>
                  <w14:solidFill>
                    <w14:schemeClr w14:val="tx1"/>
                  </w14:solidFill>
                </w14:textFill>
              </w:rPr>
              <w:t>已有的供水管网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排水</w:t>
            </w:r>
          </w:p>
        </w:tc>
        <w:tc>
          <w:tcPr>
            <w:tcW w:w="6299" w:type="dxa"/>
            <w:gridSpan w:val="3"/>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采用雨污分流、清污分流排水方式，雨水排入厂区明沟，项目废水经炼油部废水预处理站处理后入巴陵石化水务部云溪生化装置集中处理达标后排入长江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供电</w:t>
            </w:r>
          </w:p>
        </w:tc>
        <w:tc>
          <w:tcPr>
            <w:tcW w:w="6299"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由公司现有配电室电网接入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循环冷却水系统</w:t>
            </w:r>
          </w:p>
        </w:tc>
        <w:tc>
          <w:tcPr>
            <w:tcW w:w="6299" w:type="dxa"/>
            <w:gridSpan w:val="3"/>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1座循环冷却水，设计规模为400m</w:t>
            </w:r>
            <w:r>
              <w:rPr>
                <w:rFonts w:hint="default" w:ascii="Times New Roman" w:hAnsi="Times New Roman" w:eastAsia="宋体" w:cs="Times New Roman"/>
                <w:color w:val="000000" w:themeColor="text1"/>
                <w:sz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u w:val="single"/>
                <w14:textFill>
                  <w14:solidFill>
                    <w14:schemeClr w14:val="tx1"/>
                  </w14:solidFill>
                </w14:textFill>
              </w:rPr>
              <w:t>/h（循环量）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氮气</w:t>
            </w:r>
          </w:p>
        </w:tc>
        <w:tc>
          <w:tcPr>
            <w:tcW w:w="6299" w:type="dxa"/>
            <w:gridSpan w:val="3"/>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氮气供应依托巴陵石化分公司已有的装置，目前巴陵石化云溪片KDONAr-3600/7200/100 装置的产氮能力 7200Nm</w:t>
            </w:r>
            <w:r>
              <w:rPr>
                <w:rFonts w:hint="default" w:ascii="Times New Roman" w:hAnsi="Times New Roman" w:eastAsia="宋体" w:cs="Times New Roman"/>
                <w:color w:val="000000" w:themeColor="text1"/>
                <w:sz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u w:val="single"/>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蒸汽</w:t>
            </w:r>
          </w:p>
        </w:tc>
        <w:tc>
          <w:tcPr>
            <w:tcW w:w="629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项目蒸汽依托巴陵石化分公司热电事业部，由该部设置的蒸汽管道接入生产装置区内，完全能够满足生产需求。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消防</w:t>
            </w:r>
          </w:p>
        </w:tc>
        <w:tc>
          <w:tcPr>
            <w:tcW w:w="629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设计消防用水量为100L/s，消防水压为12MPa,消防水由巴陵石化分公司独立稳高压消防给水系统供给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污水处理厂</w:t>
            </w:r>
          </w:p>
        </w:tc>
        <w:tc>
          <w:tcPr>
            <w:tcW w:w="629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本项目废水最终送巴陵石化水务部云溪生化装置处理，巴陵石化水务部云溪生化装置处理规模</w:t>
            </w:r>
            <w:r>
              <w:rPr>
                <w:rFonts w:hint="eastAsia" w:cs="Times New Roman"/>
                <w:color w:val="000000" w:themeColor="text1"/>
                <w:sz w:val="21"/>
                <w:u w:val="single"/>
                <w:lang w:eastAsia="zh-CN"/>
                <w14:textFill>
                  <w14:solidFill>
                    <w14:schemeClr w14:val="tx1"/>
                  </w14:solidFill>
                </w14:textFill>
              </w:rPr>
              <w:t>为</w:t>
            </w:r>
            <w:r>
              <w:rPr>
                <w:rFonts w:hint="default" w:ascii="Times New Roman" w:hAnsi="Times New Roman" w:eastAsia="宋体" w:cs="Times New Roman"/>
                <w:color w:val="000000" w:themeColor="text1"/>
                <w:sz w:val="21"/>
                <w:u w:val="single"/>
                <w14:textFill>
                  <w14:solidFill>
                    <w14:schemeClr w14:val="tx1"/>
                  </w14:solidFill>
                </w14:textFill>
              </w:rPr>
              <w:t>厂1200m</w:t>
            </w:r>
            <w:r>
              <w:rPr>
                <w:rFonts w:hint="default" w:ascii="Times New Roman" w:hAnsi="Times New Roman" w:eastAsia="宋体" w:cs="Times New Roman"/>
                <w:color w:val="000000" w:themeColor="text1"/>
                <w:sz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u w:val="single"/>
                <w14:textFill>
                  <w14:solidFill>
                    <w14:schemeClr w14:val="tx1"/>
                  </w14:solidFill>
                </w14:textFill>
              </w:rPr>
              <w:t>/h，同时依托巴陵石化分公司20000m</w:t>
            </w:r>
            <w:r>
              <w:rPr>
                <w:rFonts w:hint="default" w:ascii="Times New Roman" w:hAnsi="Times New Roman" w:eastAsia="宋体" w:cs="Times New Roman"/>
                <w:color w:val="000000" w:themeColor="text1"/>
                <w:sz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u w:val="single"/>
                <w14:textFill>
                  <w14:solidFill>
                    <w14:schemeClr w14:val="tx1"/>
                  </w14:solidFill>
                </w14:textFill>
              </w:rPr>
              <w:t>事故池。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储运工程</w:t>
            </w: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产品运输</w:t>
            </w:r>
          </w:p>
        </w:tc>
        <w:tc>
          <w:tcPr>
            <w:tcW w:w="400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本项目粗白油和溶剂油产品、燃料干气依托管道运输，其他化学物料及包装材料依托汽车运输</w:t>
            </w:r>
          </w:p>
        </w:tc>
        <w:tc>
          <w:tcPr>
            <w:tcW w:w="2299" w:type="dxa"/>
            <w:noWrap w:val="0"/>
            <w:vAlign w:val="center"/>
          </w:tcPr>
          <w:p>
            <w:pPr>
              <w:pStyle w:val="1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78" w:right="0"/>
              <w:textAlignment w:val="auto"/>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依托现有运输管网的基础上新建设备运输管道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环保工程</w:t>
            </w:r>
          </w:p>
        </w:tc>
        <w:tc>
          <w:tcPr>
            <w:tcW w:w="170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废气处理</w:t>
            </w: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常压烟气</w:t>
            </w:r>
          </w:p>
        </w:tc>
        <w:tc>
          <w:tcPr>
            <w:tcW w:w="26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both"/>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经50m烟囱外排</w:t>
            </w:r>
          </w:p>
        </w:tc>
        <w:tc>
          <w:tcPr>
            <w:tcW w:w="2299"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经处理的烟气可达标排放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塔顶不凝气</w:t>
            </w:r>
          </w:p>
        </w:tc>
        <w:tc>
          <w:tcPr>
            <w:tcW w:w="26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原有火炬系统管网送气柜回收轻烃，回收不完时引入火炬</w:t>
            </w:r>
            <w:r>
              <w:rPr>
                <w:rStyle w:val="45"/>
                <w:rFonts w:hint="default" w:ascii="Times New Roman" w:hAnsi="Times New Roman" w:eastAsia="宋体" w:cs="Times New Roman"/>
                <w:color w:val="000000" w:themeColor="text1"/>
                <w:u w:val="single"/>
                <w:lang w:eastAsia="zh-CN"/>
                <w14:textFill>
                  <w14:solidFill>
                    <w14:schemeClr w14:val="tx1"/>
                  </w14:solidFill>
                </w14:textFill>
              </w:rPr>
              <w:t>焚烧</w:t>
            </w:r>
          </w:p>
        </w:tc>
        <w:tc>
          <w:tcPr>
            <w:tcW w:w="229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p>
        </w:tc>
        <w:tc>
          <w:tcPr>
            <w:tcW w:w="136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油品在加工过程中的跑、冒、滴、漏等</w:t>
            </w:r>
          </w:p>
        </w:tc>
        <w:tc>
          <w:tcPr>
            <w:tcW w:w="263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集气系统涵盖每个产气点，并增加系统的密封性保证足够的处理能力</w:t>
            </w:r>
          </w:p>
        </w:tc>
        <w:tc>
          <w:tcPr>
            <w:tcW w:w="2299"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废水处理</w:t>
            </w:r>
          </w:p>
        </w:tc>
        <w:tc>
          <w:tcPr>
            <w:tcW w:w="400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按照雨污分流、清污排水要求，雨水排入雨水沟；生产废水由污水提升泵送至炼油部预处理站处理后，经厂区污水管道进入巴陵石化水务部云溪生化装置处理达标后排入长江。</w:t>
            </w:r>
          </w:p>
        </w:tc>
        <w:tc>
          <w:tcPr>
            <w:tcW w:w="22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依托现有炼油部管网及污水预处理系统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噪声处理</w:t>
            </w:r>
          </w:p>
        </w:tc>
        <w:tc>
          <w:tcPr>
            <w:tcW w:w="629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实行运程操作，压缩机、风机等设备采取敞开布置或单独布置，设备设隔声罩，放空管道出口安装消音器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固废</w:t>
            </w:r>
          </w:p>
        </w:tc>
        <w:tc>
          <w:tcPr>
            <w:tcW w:w="400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kern w:val="0"/>
                <w:sz w:val="21"/>
                <w:u w:val="single"/>
                <w14:textFill>
                  <w14:solidFill>
                    <w14:schemeClr w14:val="tx1"/>
                  </w14:solidFill>
                </w14:textFill>
              </w:rPr>
              <w:t>生活垃</w:t>
            </w:r>
            <w:r>
              <w:rPr>
                <w:rFonts w:hint="default" w:ascii="Times New Roman" w:hAnsi="Times New Roman" w:eastAsia="宋体" w:cs="Times New Roman"/>
                <w:color w:val="000000" w:themeColor="text1"/>
                <w:spacing w:val="-5"/>
                <w:sz w:val="21"/>
                <w:u w:val="single"/>
                <w14:textFill>
                  <w14:solidFill>
                    <w14:schemeClr w14:val="tx1"/>
                  </w14:solidFill>
                </w14:textFill>
              </w:rPr>
              <w:t>圾收集后交由环卫部门处理</w:t>
            </w:r>
          </w:p>
        </w:tc>
        <w:tc>
          <w:tcPr>
            <w:tcW w:w="229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已妥善处理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70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环境风险</w:t>
            </w:r>
          </w:p>
        </w:tc>
        <w:tc>
          <w:tcPr>
            <w:tcW w:w="6299"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pacing w:val="-5"/>
                <w:sz w:val="21"/>
                <w:u w:val="single"/>
                <w14:textFill>
                  <w14:solidFill>
                    <w14:schemeClr w14:val="tx1"/>
                  </w14:solidFill>
                </w14:textFill>
              </w:rPr>
              <w:t>装置区、储罐区周边设立明显的禁止明火</w:t>
            </w:r>
            <w:r>
              <w:rPr>
                <w:rFonts w:hint="default" w:ascii="Times New Roman" w:hAnsi="Times New Roman" w:eastAsia="宋体" w:cs="Times New Roman"/>
                <w:color w:val="000000" w:themeColor="text1"/>
                <w:spacing w:val="-9"/>
                <w:sz w:val="21"/>
                <w:u w:val="single"/>
                <w14:textFill>
                  <w14:solidFill>
                    <w14:schemeClr w14:val="tx1"/>
                  </w14:solidFill>
                </w14:textFill>
              </w:rPr>
              <w:t>标志、安全防火标志和防火距离警示牌及火灾报警信号</w:t>
            </w:r>
            <w:r>
              <w:rPr>
                <w:rFonts w:hint="default" w:ascii="Times New Roman" w:hAnsi="Times New Roman" w:eastAsia="宋体" w:cs="Times New Roman"/>
                <w:color w:val="000000" w:themeColor="text1"/>
                <w:sz w:val="21"/>
                <w:u w:val="single"/>
                <w14:textFill>
                  <w14:solidFill>
                    <w14:schemeClr w14:val="tx1"/>
                  </w14:solidFill>
                </w14:textFill>
              </w:rPr>
              <w:t>系统，并配备各种消防器材。本项目依托巴陵石化分公司事故应急池，该事故应急池有效容积为20000m</w:t>
            </w:r>
            <w:r>
              <w:rPr>
                <w:rFonts w:hint="default" w:ascii="Times New Roman" w:hAnsi="Times New Roman" w:eastAsia="宋体" w:cs="Times New Roman"/>
                <w:color w:val="000000" w:themeColor="text1"/>
                <w:sz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u w:val="single"/>
                <w14:textFill>
                  <w14:solidFill>
                    <w14:schemeClr w14:val="tx1"/>
                  </w14:solidFill>
                </w14:textFill>
              </w:rPr>
              <w:t>，初期雨水排入含油污水系统或水体防控系统，后期雨水通过清污分流切换阀进入公司雨水排放沟，最后流入松阳湖。</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现有常压蒸馏工程主要设备</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现有常压蒸馏工程主要设备详见表</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现有常压蒸馏工艺设备汇总</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3487"/>
        <w:gridCol w:w="1678"/>
        <w:gridCol w:w="2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序号</w:t>
            </w:r>
          </w:p>
        </w:tc>
        <w:tc>
          <w:tcPr>
            <w:tcW w:w="193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设备类型</w:t>
            </w:r>
          </w:p>
        </w:tc>
        <w:tc>
          <w:tcPr>
            <w:tcW w:w="929"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单位</w:t>
            </w:r>
          </w:p>
        </w:tc>
        <w:tc>
          <w:tcPr>
            <w:tcW w:w="1187"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193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塔类</w:t>
            </w:r>
          </w:p>
        </w:tc>
        <w:tc>
          <w:tcPr>
            <w:tcW w:w="929"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座</w:t>
            </w:r>
          </w:p>
        </w:tc>
        <w:tc>
          <w:tcPr>
            <w:tcW w:w="1187"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95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193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容器类</w:t>
            </w:r>
          </w:p>
        </w:tc>
        <w:tc>
          <w:tcPr>
            <w:tcW w:w="929"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台</w:t>
            </w:r>
          </w:p>
        </w:tc>
        <w:tc>
          <w:tcPr>
            <w:tcW w:w="1187"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193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冷换类</w:t>
            </w:r>
          </w:p>
        </w:tc>
        <w:tc>
          <w:tcPr>
            <w:tcW w:w="929"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台</w:t>
            </w:r>
          </w:p>
        </w:tc>
        <w:tc>
          <w:tcPr>
            <w:tcW w:w="1187"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w:t>
            </w:r>
          </w:p>
        </w:tc>
        <w:tc>
          <w:tcPr>
            <w:tcW w:w="193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空冷类</w:t>
            </w:r>
          </w:p>
        </w:tc>
        <w:tc>
          <w:tcPr>
            <w:tcW w:w="929"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台</w:t>
            </w:r>
          </w:p>
        </w:tc>
        <w:tc>
          <w:tcPr>
            <w:tcW w:w="1187"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w:t>
            </w:r>
          </w:p>
        </w:tc>
        <w:tc>
          <w:tcPr>
            <w:tcW w:w="193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加热炉</w:t>
            </w:r>
          </w:p>
        </w:tc>
        <w:tc>
          <w:tcPr>
            <w:tcW w:w="929"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座</w:t>
            </w:r>
          </w:p>
        </w:tc>
        <w:tc>
          <w:tcPr>
            <w:tcW w:w="1187"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5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6</w:t>
            </w:r>
          </w:p>
        </w:tc>
        <w:tc>
          <w:tcPr>
            <w:tcW w:w="1931"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机泵</w:t>
            </w:r>
          </w:p>
        </w:tc>
        <w:tc>
          <w:tcPr>
            <w:tcW w:w="929" w:type="pct"/>
            <w:tcBorders>
              <w:tl2br w:val="nil"/>
              <w:tr2bl w:val="nil"/>
            </w:tcBorders>
            <w:noWrap w:val="0"/>
            <w:tcMar>
              <w:left w:w="0" w:type="dxa"/>
              <w:right w:w="0" w:type="dxa"/>
            </w:tcMar>
            <w:vAlign w:val="center"/>
          </w:tcPr>
          <w:p>
            <w:pPr>
              <w:pStyle w:val="19"/>
              <w:keepNext w:val="0"/>
              <w:keepLines w:val="0"/>
              <w:suppressLineNumbers w:val="0"/>
              <w:spacing w:before="0" w:beforeAutospacing="0" w:after="0" w:afterAutospacing="0" w:line="240" w:lineRule="auto"/>
              <w:ind w:left="0" w:right="0" w:firstLine="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台</w:t>
            </w:r>
          </w:p>
        </w:tc>
        <w:tc>
          <w:tcPr>
            <w:tcW w:w="1187"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34</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现有工程产品方案</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现有项目常压蒸馏产品方案一览表详见表</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现有常压蒸馏产品方案一览表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9"/>
        <w:gridCol w:w="1889"/>
        <w:gridCol w:w="2951"/>
        <w:gridCol w:w="33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7" w:type="pct"/>
            <w:tcBorders>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1022" w:type="pct"/>
            <w:tcBorders>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产品名称</w:t>
            </w:r>
          </w:p>
        </w:tc>
        <w:tc>
          <w:tcPr>
            <w:tcW w:w="1596" w:type="pct"/>
            <w:tcBorders>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产量</w:t>
            </w:r>
          </w:p>
        </w:tc>
        <w:tc>
          <w:tcPr>
            <w:tcW w:w="1822" w:type="pct"/>
            <w:tcBorders>
              <w:left w:val="single" w:color="auto" w:sz="4" w:space="0"/>
              <w:bottom w:val="single" w:color="auto"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022"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气体</w:t>
            </w:r>
          </w:p>
        </w:tc>
        <w:tc>
          <w:tcPr>
            <w:tcW w:w="1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w:t>
            </w:r>
            <w:r>
              <w:rPr>
                <w:rFonts w:hint="default" w:ascii="Times New Roman" w:hAnsi="Times New Roman" w:eastAsia="宋体" w:cs="Times New Roman"/>
                <w:color w:val="000000" w:themeColor="text1"/>
                <w:kern w:val="0"/>
                <w:sz w:val="21"/>
                <w14:textFill>
                  <w14:solidFill>
                    <w14:schemeClr w14:val="tx1"/>
                  </w14:solidFill>
                </w14:textFill>
              </w:rPr>
              <w:t>t/a</w:t>
            </w:r>
          </w:p>
        </w:tc>
        <w:tc>
          <w:tcPr>
            <w:tcW w:w="1822"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常顶气线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1022"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石脑油</w:t>
            </w:r>
          </w:p>
        </w:tc>
        <w:tc>
          <w:tcPr>
            <w:tcW w:w="1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29.44</w:t>
            </w:r>
            <w:r>
              <w:rPr>
                <w:rFonts w:hint="default" w:ascii="Times New Roman" w:hAnsi="Times New Roman" w:eastAsia="宋体" w:cs="Times New Roman"/>
                <w:color w:val="000000" w:themeColor="text1"/>
                <w:kern w:val="0"/>
                <w:sz w:val="21"/>
                <w14:textFill>
                  <w14:solidFill>
                    <w14:schemeClr w14:val="tx1"/>
                  </w14:solidFill>
                </w14:textFill>
              </w:rPr>
              <w:t>×10</w:t>
            </w:r>
            <w:r>
              <w:rPr>
                <w:rFonts w:hint="default" w:ascii="Times New Roman" w:hAnsi="Times New Roman" w:eastAsia="宋体" w:cs="Times New Roman"/>
                <w:color w:val="000000" w:themeColor="text1"/>
                <w:kern w:val="0"/>
                <w:sz w:val="21"/>
                <w:vertAlign w:val="superscript"/>
                <w14:textFill>
                  <w14:solidFill>
                    <w14:schemeClr w14:val="tx1"/>
                  </w14:solidFill>
                </w14:textFill>
              </w:rPr>
              <w:t>4</w:t>
            </w:r>
            <w:r>
              <w:rPr>
                <w:rFonts w:hint="default" w:ascii="Times New Roman" w:hAnsi="Times New Roman" w:eastAsia="宋体" w:cs="Times New Roman"/>
                <w:color w:val="000000" w:themeColor="text1"/>
                <w:kern w:val="0"/>
                <w:sz w:val="21"/>
                <w14:textFill>
                  <w14:solidFill>
                    <w14:schemeClr w14:val="tx1"/>
                  </w14:solidFill>
                </w14:textFill>
              </w:rPr>
              <w:t>t/a</w:t>
            </w:r>
          </w:p>
        </w:tc>
        <w:tc>
          <w:tcPr>
            <w:tcW w:w="1822"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产品及溶剂油分离装置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1022"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GPS-200溶剂油</w:t>
            </w:r>
          </w:p>
        </w:tc>
        <w:tc>
          <w:tcPr>
            <w:tcW w:w="1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1"/>
                <w14:textFill>
                  <w14:solidFill>
                    <w14:schemeClr w14:val="tx1"/>
                  </w14:solidFill>
                </w14:textFill>
              </w:rPr>
              <w:t>×10</w:t>
            </w:r>
            <w:r>
              <w:rPr>
                <w:rFonts w:hint="default" w:ascii="Times New Roman" w:hAnsi="Times New Roman" w:eastAsia="宋体" w:cs="Times New Roman"/>
                <w:color w:val="000000" w:themeColor="text1"/>
                <w:kern w:val="0"/>
                <w:sz w:val="21"/>
                <w:vertAlign w:val="superscript"/>
                <w14:textFill>
                  <w14:solidFill>
                    <w14:schemeClr w14:val="tx1"/>
                  </w14:solidFill>
                </w14:textFill>
              </w:rPr>
              <w:t>4</w:t>
            </w:r>
            <w:r>
              <w:rPr>
                <w:rFonts w:hint="default" w:ascii="Times New Roman" w:hAnsi="Times New Roman" w:eastAsia="宋体" w:cs="Times New Roman"/>
                <w:color w:val="000000" w:themeColor="text1"/>
                <w:kern w:val="0"/>
                <w:sz w:val="21"/>
                <w14:textFill>
                  <w14:solidFill>
                    <w14:schemeClr w14:val="tx1"/>
                  </w14:solidFill>
                </w14:textFill>
              </w:rPr>
              <w:t>t/a</w:t>
            </w:r>
          </w:p>
        </w:tc>
        <w:tc>
          <w:tcPr>
            <w:tcW w:w="1822"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出售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1022"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航煤组分油</w:t>
            </w:r>
          </w:p>
        </w:tc>
        <w:tc>
          <w:tcPr>
            <w:tcW w:w="1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20</w:t>
            </w:r>
            <w:r>
              <w:rPr>
                <w:rFonts w:hint="default" w:ascii="Times New Roman" w:hAnsi="Times New Roman" w:eastAsia="宋体" w:cs="Times New Roman"/>
                <w:color w:val="000000" w:themeColor="text1"/>
                <w:kern w:val="0"/>
                <w:sz w:val="21"/>
                <w14:textFill>
                  <w14:solidFill>
                    <w14:schemeClr w14:val="tx1"/>
                  </w14:solidFill>
                </w14:textFill>
              </w:rPr>
              <w:t>×10</w:t>
            </w:r>
            <w:r>
              <w:rPr>
                <w:rFonts w:hint="default" w:ascii="Times New Roman" w:hAnsi="Times New Roman" w:eastAsia="宋体" w:cs="Times New Roman"/>
                <w:color w:val="000000" w:themeColor="text1"/>
                <w:kern w:val="0"/>
                <w:sz w:val="21"/>
                <w:vertAlign w:val="superscript"/>
                <w14:textFill>
                  <w14:solidFill>
                    <w14:schemeClr w14:val="tx1"/>
                  </w14:solidFill>
                </w14:textFill>
              </w:rPr>
              <w:t>4</w:t>
            </w:r>
            <w:r>
              <w:rPr>
                <w:rFonts w:hint="default" w:ascii="Times New Roman" w:hAnsi="Times New Roman" w:eastAsia="宋体" w:cs="Times New Roman"/>
                <w:color w:val="000000" w:themeColor="text1"/>
                <w:kern w:val="0"/>
                <w:sz w:val="21"/>
                <w14:textFill>
                  <w14:solidFill>
                    <w14:schemeClr w14:val="tx1"/>
                  </w14:solidFill>
                </w14:textFill>
              </w:rPr>
              <w:t>t/a</w:t>
            </w:r>
          </w:p>
        </w:tc>
        <w:tc>
          <w:tcPr>
            <w:tcW w:w="1822"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出售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5</w:t>
            </w:r>
          </w:p>
        </w:tc>
        <w:tc>
          <w:tcPr>
            <w:tcW w:w="1022"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直馏柴油</w:t>
            </w:r>
          </w:p>
        </w:tc>
        <w:tc>
          <w:tcPr>
            <w:tcW w:w="1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66.16</w:t>
            </w:r>
            <w:r>
              <w:rPr>
                <w:rFonts w:hint="default" w:ascii="Times New Roman" w:hAnsi="Times New Roman" w:eastAsia="宋体" w:cs="Times New Roman"/>
                <w:color w:val="000000" w:themeColor="text1"/>
                <w:kern w:val="0"/>
                <w:sz w:val="21"/>
                <w14:textFill>
                  <w14:solidFill>
                    <w14:schemeClr w14:val="tx1"/>
                  </w14:solidFill>
                </w14:textFill>
              </w:rPr>
              <w:t>×10</w:t>
            </w:r>
            <w:r>
              <w:rPr>
                <w:rFonts w:hint="default" w:ascii="Times New Roman" w:hAnsi="Times New Roman" w:eastAsia="宋体" w:cs="Times New Roman"/>
                <w:color w:val="000000" w:themeColor="text1"/>
                <w:kern w:val="0"/>
                <w:sz w:val="21"/>
                <w:vertAlign w:val="superscript"/>
                <w14:textFill>
                  <w14:solidFill>
                    <w14:schemeClr w14:val="tx1"/>
                  </w14:solidFill>
                </w14:textFill>
              </w:rPr>
              <w:t>4</w:t>
            </w:r>
            <w:r>
              <w:rPr>
                <w:rFonts w:hint="default" w:ascii="Times New Roman" w:hAnsi="Times New Roman" w:eastAsia="宋体" w:cs="Times New Roman"/>
                <w:color w:val="000000" w:themeColor="text1"/>
                <w:kern w:val="0"/>
                <w:sz w:val="21"/>
                <w14:textFill>
                  <w14:solidFill>
                    <w14:schemeClr w14:val="tx1"/>
                  </w14:solidFill>
                </w14:textFill>
              </w:rPr>
              <w:t>t/a</w:t>
            </w:r>
          </w:p>
        </w:tc>
        <w:tc>
          <w:tcPr>
            <w:tcW w:w="1822"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出售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57" w:type="pct"/>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6</w:t>
            </w:r>
          </w:p>
        </w:tc>
        <w:tc>
          <w:tcPr>
            <w:tcW w:w="1022" w:type="pct"/>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常压渣油</w:t>
            </w:r>
          </w:p>
        </w:tc>
        <w:tc>
          <w:tcPr>
            <w:tcW w:w="1596" w:type="pc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104.36</w:t>
            </w:r>
            <w:r>
              <w:rPr>
                <w:rFonts w:hint="default" w:ascii="Times New Roman" w:hAnsi="Times New Roman" w:eastAsia="宋体" w:cs="Times New Roman"/>
                <w:color w:val="000000" w:themeColor="text1"/>
                <w:kern w:val="0"/>
                <w:sz w:val="21"/>
                <w14:textFill>
                  <w14:solidFill>
                    <w14:schemeClr w14:val="tx1"/>
                  </w14:solidFill>
                </w14:textFill>
              </w:rPr>
              <w:t>×10</w:t>
            </w:r>
            <w:r>
              <w:rPr>
                <w:rFonts w:hint="default" w:ascii="Times New Roman" w:hAnsi="Times New Roman" w:eastAsia="宋体" w:cs="Times New Roman"/>
                <w:color w:val="000000" w:themeColor="text1"/>
                <w:kern w:val="0"/>
                <w:sz w:val="21"/>
                <w:vertAlign w:val="superscript"/>
                <w14:textFill>
                  <w14:solidFill>
                    <w14:schemeClr w14:val="tx1"/>
                  </w14:solidFill>
                </w14:textFill>
              </w:rPr>
              <w:t>4</w:t>
            </w:r>
            <w:r>
              <w:rPr>
                <w:rFonts w:hint="default" w:ascii="Times New Roman" w:hAnsi="Times New Roman" w:eastAsia="宋体" w:cs="Times New Roman"/>
                <w:color w:val="000000" w:themeColor="text1"/>
                <w:kern w:val="0"/>
                <w:sz w:val="21"/>
                <w14:textFill>
                  <w14:solidFill>
                    <w14:schemeClr w14:val="tx1"/>
                  </w14:solidFill>
                </w14:textFill>
              </w:rPr>
              <w:t>t/a</w:t>
            </w:r>
          </w:p>
        </w:tc>
        <w:tc>
          <w:tcPr>
            <w:tcW w:w="1822" w:type="pct"/>
            <w:tcBorders>
              <w:top w:val="single" w:color="auto" w:sz="4" w:space="0"/>
              <w:left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催化装置</w:t>
            </w:r>
          </w:p>
        </w:tc>
      </w:tr>
    </w:tbl>
    <w:p>
      <w:pPr>
        <w:pStyle w:val="4"/>
        <w:rPr>
          <w:color w:val="000000" w:themeColor="text1"/>
          <w14:textFill>
            <w14:solidFill>
              <w14:schemeClr w14:val="tx1"/>
            </w14:solidFill>
          </w14:textFill>
        </w:rPr>
      </w:pPr>
      <w:bookmarkStart w:id="117" w:name="_Toc11957"/>
      <w:r>
        <w:rPr>
          <w:color w:val="000000" w:themeColor="text1"/>
          <w14:textFill>
            <w14:solidFill>
              <w14:schemeClr w14:val="tx1"/>
            </w14:solidFill>
          </w14:textFill>
        </w:rPr>
        <w:t>现有常压蒸馏工程生产工艺流程及产污节点</w:t>
      </w:r>
      <w:bookmarkEnd w:id="117"/>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现有常压蒸馏工程生产工艺流程及产污节点见下图所示。</w:t>
      </w:r>
    </w:p>
    <w:p>
      <w:pPr>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245.95pt;width:482.7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现有常压装置工艺流程及产污环节图</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常压蒸馏装置为整套炼油装置的第一套生产装置，其生产工艺流程如下：</w:t>
      </w:r>
    </w:p>
    <w:p>
      <w:pPr>
        <w:adjustRightInd w:val="0"/>
        <w:snapToGrid w:val="0"/>
        <w:spacing w:line="360" w:lineRule="auto"/>
        <w:ind w:right="-188" w:firstLine="480" w:firstLineChars="20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原油自罐区进入本装置，升压、换热后进入电脱盐罐进行脱盐脱水，再经过换热后进入闪蒸塔。塔顶油气进常压塔。闪底油由泵抽出经换热后去催化装置与催化油浆进一步换热后回常压蒸馏装置进常压炉加热，然后进入常压塔。</w:t>
      </w:r>
      <w:r>
        <w:rPr>
          <w:rFonts w:hint="eastAsia"/>
          <w:color w:val="000000" w:themeColor="text1"/>
          <w:lang w:eastAsia="zh-CN"/>
          <w14:textFill>
            <w14:solidFill>
              <w14:schemeClr w14:val="tx1"/>
            </w14:solidFill>
          </w14:textFill>
        </w:rPr>
        <w:t>电脱盐主要产生</w:t>
      </w:r>
      <w:r>
        <w:rPr>
          <w:rFonts w:hint="eastAsia"/>
          <w:color w:val="000000" w:themeColor="text1"/>
          <w:lang w:val="en-US" w:eastAsia="zh-CN"/>
          <w14:textFill>
            <w14:solidFill>
              <w14:schemeClr w14:val="tx1"/>
            </w14:solidFill>
          </w14:textFill>
        </w:rPr>
        <w:t>W1</w:t>
      </w:r>
      <w:r>
        <w:rPr>
          <w:rFonts w:hint="eastAsia"/>
          <w:color w:val="000000" w:themeColor="text1"/>
          <w:lang w:eastAsia="zh-CN"/>
          <w14:textFill>
            <w14:solidFill>
              <w14:schemeClr w14:val="tx1"/>
            </w14:solidFill>
          </w14:textFill>
        </w:rPr>
        <w:t>脱盐污水。常压炉加热主要会产生</w:t>
      </w:r>
      <w:r>
        <w:rPr>
          <w:rFonts w:hint="eastAsia"/>
          <w:color w:val="000000" w:themeColor="text1"/>
          <w:lang w:val="en-US" w:eastAsia="zh-CN"/>
          <w14:textFill>
            <w14:solidFill>
              <w14:schemeClr w14:val="tx1"/>
            </w14:solidFill>
          </w14:textFill>
        </w:rPr>
        <w:t>G1常压炉烟气</w:t>
      </w:r>
    </w:p>
    <w:p>
      <w:pPr>
        <w:adjustRightInd w:val="0"/>
        <w:snapToGrid w:val="0"/>
        <w:spacing w:line="360" w:lineRule="auto"/>
        <w:ind w:right="-188" w:firstLine="480" w:firstLineChars="20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常压塔顶油气经换热、冷凝冷却后进入塔顶回流罐进行气液分离。分离出的常顶油由泵抽出后一路作为回流，另一部分作为石脑油送出装置，分出的气体升压后去硫酸装置。罐底（含硫）切水一路打循环，一路送至酸性水汽提。</w:t>
      </w:r>
      <w:r>
        <w:rPr>
          <w:rFonts w:hint="eastAsia"/>
          <w:color w:val="000000" w:themeColor="text1"/>
          <w:lang w:eastAsia="zh-CN"/>
          <w14:textFill>
            <w14:solidFill>
              <w14:schemeClr w14:val="tx1"/>
            </w14:solidFill>
          </w14:textFill>
        </w:rPr>
        <w:t>油水分离器主要会产生</w:t>
      </w:r>
      <w:r>
        <w:rPr>
          <w:rFonts w:hint="eastAsia"/>
          <w:color w:val="000000" w:themeColor="text1"/>
          <w:lang w:val="en-US" w:eastAsia="zh-CN"/>
          <w14:textFill>
            <w14:solidFill>
              <w14:schemeClr w14:val="tx1"/>
            </w14:solidFill>
          </w14:textFill>
        </w:rPr>
        <w:t>G2不凝气、W2含硫废水和水泵产生的W3含油废水。</w:t>
      </w:r>
    </w:p>
    <w:p>
      <w:pPr>
        <w:adjustRightInd w:val="0"/>
        <w:snapToGrid w:val="0"/>
        <w:spacing w:line="360" w:lineRule="auto"/>
        <w:ind w:right="-188"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常一线油由常压塔自流入常压汽提塔上段，经汽提后由泵抽出经换热、冷却后作为产品出装置。</w:t>
      </w:r>
    </w:p>
    <w:p>
      <w:pPr>
        <w:pStyle w:val="120"/>
        <w:spacing w:line="360" w:lineRule="auto"/>
        <w:ind w:firstLine="480" w:firstLineChars="200"/>
        <w:rPr>
          <w:rFonts w:ascii="Times New Roman" w:hAnsi="Times New Roman" w:eastAsia="宋体"/>
          <w:bCs/>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常二线油从常压塔自流入常压汽提塔中段，经汽提由泵抽出经换热后作为柴油和常三线一起作为产品出装置。</w:t>
      </w:r>
      <w:r>
        <w:rPr>
          <w:rFonts w:ascii="Times New Roman" w:hAnsi="Times New Roman" w:eastAsia="宋体"/>
          <w:bCs/>
          <w:color w:val="000000" w:themeColor="text1"/>
          <w:sz w:val="24"/>
          <w14:textFill>
            <w14:solidFill>
              <w14:schemeClr w14:val="tx1"/>
            </w14:solidFill>
          </w14:textFill>
        </w:rPr>
        <w:t>常压汽提塔使用催化装置自产蒸汽作为气提介质，常压汽提塔无废油产生。</w:t>
      </w:r>
    </w:p>
    <w:p>
      <w:pPr>
        <w:adjustRightInd w:val="0"/>
        <w:snapToGrid w:val="0"/>
        <w:spacing w:line="360" w:lineRule="auto"/>
        <w:ind w:right="-188"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常三线油从常压塔自流入常压汽提塔下段（可不汽提），经汽提由泵抽出经换热后作为柴油和常二线一起作为产品出装置。常底油由泵抽出经换热后至催化进料或至渣油罐。</w:t>
      </w:r>
    </w:p>
    <w:p>
      <w:pPr>
        <w:adjustRightInd w:val="0"/>
        <w:snapToGrid w:val="0"/>
        <w:spacing w:line="360" w:lineRule="auto"/>
        <w:ind w:firstLine="480" w:firstLineChars="200"/>
        <w:rPr>
          <w:color w:val="000000" w:themeColor="text1"/>
          <w:sz w:val="21"/>
          <w14:textFill>
            <w14:solidFill>
              <w14:schemeClr w14:val="tx1"/>
            </w14:solidFill>
          </w14:textFill>
        </w:rPr>
      </w:pPr>
      <w:r>
        <w:rPr>
          <w:color w:val="000000" w:themeColor="text1"/>
          <w14:textFill>
            <w14:solidFill>
              <w14:schemeClr w14:val="tx1"/>
            </w14:solidFill>
          </w14:textFill>
        </w:rPr>
        <w:t>闪蒸塔为闪蒸原油的作用，闪蒸的塔顶油气进常压塔，闪底油去常压炉加热。</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电脱盐设备原理：</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由于原油中的盐大部分能溶于水，为了能脱除悬浮在原油中的盐颗粒，在脱盐之前向原油中注入一定量的除盐水充分混合，然后在破乳剂和高压电场的作用下，使微小水滴聚集成较大水滴，借重力从油品分离，达到脱盐的目的。电脱盐产生的废水排入二联合污水预处理场。</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软水注入量为原油量的5~8%，年注入量约为10~16万吨/年。</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破乳剂注入量约为9.5kg/h，年注入量约为80吨/年。</w:t>
      </w:r>
    </w:p>
    <w:p>
      <w:pPr>
        <w:adjustRightInd w:val="0"/>
        <w:snapToGrid w:val="0"/>
        <w:spacing w:line="360" w:lineRule="auto"/>
        <w:ind w:right="-188"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主要操作条件：</w:t>
      </w:r>
    </w:p>
    <w:p>
      <w:pPr>
        <w:keepNext/>
        <w:adjustRightInd w:val="0"/>
        <w:snapToGrid w:val="0"/>
        <w:ind w:right="-187"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w:t>
      </w:r>
      <w:r>
        <w:rPr>
          <w:b/>
          <w:bCs/>
          <w:color w:val="000000" w:themeColor="text1"/>
          <w14:textFill>
            <w14:solidFill>
              <w14:schemeClr w14:val="tx1"/>
            </w14:solidFill>
          </w14:textFill>
        </w:rPr>
        <w:t>主要操作条件</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7"/>
        <w:gridCol w:w="4334"/>
        <w:gridCol w:w="1950"/>
        <w:gridCol w:w="19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45" w:type="pct"/>
            <w:tcBorders>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2345" w:type="pct"/>
            <w:tcBorders>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w:t>
            </w:r>
          </w:p>
        </w:tc>
        <w:tc>
          <w:tcPr>
            <w:tcW w:w="1055" w:type="pct"/>
            <w:tcBorders>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单位</w:t>
            </w:r>
          </w:p>
        </w:tc>
        <w:tc>
          <w:tcPr>
            <w:tcW w:w="1055" w:type="pct"/>
            <w:tcBorders>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电脱盐温度</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130~135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闪蒸塔</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塔顶压力</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MPa(g)</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塔顶温度</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常压炉</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常压炉入口温度（原油换热终温）</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常压炉出口温度</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常压塔</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9</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常压塔顶压力</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MPa(g)</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常压塔顶温度</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11</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常一中温度（抽出/返回）</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214/154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w:t>
            </w:r>
          </w:p>
        </w:tc>
        <w:tc>
          <w:tcPr>
            <w:tcW w:w="23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常二中温度（抽出/返回）</w:t>
            </w:r>
          </w:p>
        </w:tc>
        <w:tc>
          <w:tcPr>
            <w:tcW w:w="105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bottom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288/218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45" w:type="pct"/>
            <w:tcBorders>
              <w:top w:val="single" w:color="auto" w:sz="4" w:space="0"/>
              <w:left w:val="nil"/>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13</w:t>
            </w:r>
          </w:p>
        </w:tc>
        <w:tc>
          <w:tcPr>
            <w:tcW w:w="2345" w:type="pct"/>
            <w:tcBorders>
              <w:top w:val="single" w:color="auto" w:sz="4" w:space="0"/>
              <w:left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常压塔底温度</w:t>
            </w:r>
          </w:p>
        </w:tc>
        <w:tc>
          <w:tcPr>
            <w:tcW w:w="1055" w:type="pct"/>
            <w:tcBorders>
              <w:top w:val="single" w:color="auto" w:sz="4" w:space="0"/>
              <w:left w:val="single" w:color="auto" w:sz="4" w:space="0"/>
              <w:right w:val="single" w:color="auto" w:sz="4" w:space="0"/>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055" w:type="pct"/>
            <w:tcBorders>
              <w:top w:val="single" w:color="auto" w:sz="4" w:space="0"/>
              <w:left w:val="single" w:color="auto" w:sz="4" w:space="0"/>
              <w:right w:val="nil"/>
            </w:tcBorders>
            <w:noWrap w:val="0"/>
            <w:vAlign w:val="center"/>
          </w:tcPr>
          <w:p>
            <w:pPr>
              <w:keepNext w:val="0"/>
              <w:keepLines w:val="0"/>
              <w:suppressLineNumbers w:val="0"/>
              <w:tabs>
                <w:tab w:val="left" w:pos="1080"/>
              </w:tabs>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350</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现有常压蒸馏工程污染源分析</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中国石油化工股份有限公司巴陵石化分公司常压蒸馏装置安全隐患治理验收时间较早（2016</w:t>
      </w:r>
      <w:r>
        <w:rPr>
          <w:color w:val="000000" w:themeColor="text1"/>
          <w:spacing w:val="-21"/>
          <w14:textFill>
            <w14:solidFill>
              <w14:schemeClr w14:val="tx1"/>
            </w14:solidFill>
          </w14:textFill>
        </w:rPr>
        <w:t>年</w:t>
      </w:r>
      <w:r>
        <w:rPr>
          <w:color w:val="000000" w:themeColor="text1"/>
          <w14:textFill>
            <w14:solidFill>
              <w14:schemeClr w14:val="tx1"/>
            </w14:solidFill>
          </w14:textFill>
        </w:rPr>
        <w:t>10</w:t>
      </w:r>
      <w:r>
        <w:rPr>
          <w:color w:val="000000" w:themeColor="text1"/>
          <w:spacing w:val="-1"/>
          <w14:textFill>
            <w14:solidFill>
              <w14:schemeClr w14:val="tx1"/>
            </w14:solidFill>
          </w14:textFill>
        </w:rPr>
        <w:t>日通过了湖南省环境保护厅的验收</w:t>
      </w:r>
      <w:r>
        <w:rPr>
          <w:color w:val="000000" w:themeColor="text1"/>
          <w14:textFill>
            <w14:solidFill>
              <w14:schemeClr w14:val="tx1"/>
            </w14:solidFill>
          </w14:textFill>
        </w:rPr>
        <w:t>），</w:t>
      </w:r>
      <w:r>
        <w:rPr>
          <w:color w:val="000000" w:themeColor="text1"/>
          <w:spacing w:val="-2"/>
          <w14:textFill>
            <w14:solidFill>
              <w14:schemeClr w14:val="tx1"/>
            </w14:solidFill>
          </w14:textFill>
        </w:rPr>
        <w:t>本次对现有污染</w:t>
      </w:r>
      <w:r>
        <w:rPr>
          <w:color w:val="000000" w:themeColor="text1"/>
          <w:spacing w:val="-6"/>
          <w14:textFill>
            <w14:solidFill>
              <w14:schemeClr w14:val="tx1"/>
            </w14:solidFill>
          </w14:textFill>
        </w:rPr>
        <w:t>源调查主要是通过收集现有资料与现状监测数据，分析现有装置运营过程中污染</w:t>
      </w:r>
      <w:r>
        <w:rPr>
          <w:color w:val="000000" w:themeColor="text1"/>
          <w14:textFill>
            <w14:solidFill>
              <w14:schemeClr w14:val="tx1"/>
            </w14:solidFill>
          </w14:textFill>
        </w:rPr>
        <w:t>环保措施运行情况及是否满足相关环保要求。</w:t>
      </w:r>
    </w:p>
    <w:p>
      <w:pPr>
        <w:pStyle w:val="6"/>
        <w:rPr>
          <w:color w:val="000000" w:themeColor="text1"/>
          <w14:textFill>
            <w14:solidFill>
              <w14:schemeClr w14:val="tx1"/>
            </w14:solidFill>
          </w14:textFill>
        </w:rPr>
      </w:pPr>
      <w:r>
        <w:rPr>
          <w:color w:val="000000" w:themeColor="text1"/>
          <w14:textFill>
            <w14:solidFill>
              <w14:schemeClr w14:val="tx1"/>
            </w14:solidFill>
          </w14:textFill>
        </w:rPr>
        <w:t>废水污染源及处理措施</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（1）废水产生及处理措施</w:t>
      </w:r>
    </w:p>
    <w:p>
      <w:pPr>
        <w:pStyle w:val="14"/>
        <w:ind w:firstLine="480" w:firstLineChars="200"/>
        <w:jc w:val="both"/>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本项目的污水主要为电脱盐污水</w:t>
      </w:r>
      <w:r>
        <w:rPr>
          <w:rFonts w:hint="default" w:ascii="Times New Roman" w:hAnsi="Times New Roman" w:cs="Times New Roman"/>
          <w:b w:val="0"/>
          <w:color w:val="000000" w:themeColor="text1"/>
          <w:lang w:val="en-US" w:eastAsia="zh-CN"/>
          <w14:textFill>
            <w14:solidFill>
              <w14:schemeClr w14:val="tx1"/>
            </w14:solidFill>
          </w14:textFill>
        </w:rPr>
        <w:t>（W1）</w:t>
      </w:r>
      <w:r>
        <w:rPr>
          <w:rFonts w:hint="default" w:ascii="Times New Roman" w:hAnsi="Times New Roman" w:cs="Times New Roman"/>
          <w:b w:val="0"/>
          <w:color w:val="000000" w:themeColor="text1"/>
          <w14:textFill>
            <w14:solidFill>
              <w14:schemeClr w14:val="tx1"/>
            </w14:solidFill>
          </w14:textFill>
        </w:rPr>
        <w:t>、含硫污水</w:t>
      </w:r>
      <w:r>
        <w:rPr>
          <w:rFonts w:hint="default" w:ascii="Times New Roman" w:hAnsi="Times New Roman" w:cs="Times New Roman"/>
          <w:b w:val="0"/>
          <w:color w:val="000000" w:themeColor="text1"/>
          <w:lang w:val="en-US" w:eastAsia="zh-CN"/>
          <w14:textFill>
            <w14:solidFill>
              <w14:schemeClr w14:val="tx1"/>
            </w14:solidFill>
          </w14:textFill>
        </w:rPr>
        <w:t>（W2）</w:t>
      </w:r>
      <w:r>
        <w:rPr>
          <w:rFonts w:hint="default" w:ascii="Times New Roman" w:hAnsi="Times New Roman" w:cs="Times New Roman"/>
          <w:b w:val="0"/>
          <w:color w:val="000000" w:themeColor="text1"/>
          <w14:textFill>
            <w14:solidFill>
              <w14:schemeClr w14:val="tx1"/>
            </w14:solidFill>
          </w14:textFill>
        </w:rPr>
        <w:t>、含油污水</w:t>
      </w:r>
      <w:r>
        <w:rPr>
          <w:rFonts w:hint="default" w:ascii="Times New Roman" w:hAnsi="Times New Roman" w:cs="Times New Roman"/>
          <w:b w:val="0"/>
          <w:color w:val="000000" w:themeColor="text1"/>
          <w:lang w:val="en-US" w:eastAsia="zh-CN"/>
          <w14:textFill>
            <w14:solidFill>
              <w14:schemeClr w14:val="tx1"/>
            </w14:solidFill>
          </w14:textFill>
        </w:rPr>
        <w:t>（W3）</w:t>
      </w:r>
      <w:r>
        <w:rPr>
          <w:rFonts w:hint="default" w:ascii="Times New Roman" w:hAnsi="Times New Roman" w:cs="Times New Roman"/>
          <w:b w:val="0"/>
          <w:color w:val="000000" w:themeColor="text1"/>
          <w14:textFill>
            <w14:solidFill>
              <w14:schemeClr w14:val="tx1"/>
            </w14:solidFill>
          </w14:textFill>
        </w:rPr>
        <w:t>。电脱盐污水来自常压装置脱盐设施的排水，含硫污水来至常压装置塔顶油水分流罐排水，含油污水主要为常压装置机泵冷却排水。</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废水污染分析及主要处理设施详见表，烯烃事业部（炼油事业部）污水预处理站处理装置处理工艺见图</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-1。酸性水汽工艺流程图见图</w:t>
      </w:r>
      <w:r>
        <w:rPr>
          <w:rStyle w:val="45"/>
          <w:rFonts w:hint="eastAsia"/>
          <w:color w:val="000000" w:themeColor="text1"/>
          <w:sz w:val="24"/>
          <w:szCs w:val="24"/>
          <w:lang w:val="en-US" w:eastAsia="zh-CN"/>
          <w14:textFill>
            <w14:solidFill>
              <w14:schemeClr w14:val="tx1"/>
            </w14:solidFill>
          </w14:textFill>
        </w:rPr>
        <w:t>8</w:t>
      </w:r>
      <w:r>
        <w:rPr>
          <w:rStyle w:val="45"/>
          <w:color w:val="000000" w:themeColor="text1"/>
          <w:sz w:val="24"/>
          <w:szCs w:val="24"/>
          <w14:textFill>
            <w14:solidFill>
              <w14:schemeClr w14:val="tx1"/>
            </w14:solidFill>
          </w14:textFill>
        </w:rPr>
        <w:t>.</w:t>
      </w:r>
      <w:r>
        <w:rPr>
          <w:rStyle w:val="45"/>
          <w:rFonts w:hint="eastAsia"/>
          <w:color w:val="000000" w:themeColor="text1"/>
          <w:sz w:val="24"/>
          <w:szCs w:val="24"/>
          <w:lang w:val="en-US" w:eastAsia="zh-CN"/>
          <w14:textFill>
            <w14:solidFill>
              <w14:schemeClr w14:val="tx1"/>
            </w14:solidFill>
          </w14:textFill>
        </w:rPr>
        <w:t>3</w:t>
      </w:r>
      <w:r>
        <w:rPr>
          <w:rStyle w:val="45"/>
          <w:color w:val="000000" w:themeColor="text1"/>
          <w:sz w:val="24"/>
          <w:szCs w:val="24"/>
          <w14:textFill>
            <w14:solidFill>
              <w14:schemeClr w14:val="tx1"/>
            </w14:solidFill>
          </w14:textFill>
        </w:rPr>
        <w:t>-2</w:t>
      </w:r>
      <w:r>
        <w:rPr>
          <w:color w:val="000000" w:themeColor="text1"/>
          <w:szCs w:val="24"/>
          <w14:textFill>
            <w14:solidFill>
              <w14:schemeClr w14:val="tx1"/>
            </w14:solidFill>
          </w14:textFill>
        </w:rPr>
        <w:t>。</w:t>
      </w:r>
      <w:r>
        <w:rPr>
          <w:color w:val="000000" w:themeColor="text1"/>
          <w14:textFill>
            <w14:solidFill>
              <w14:schemeClr w14:val="tx1"/>
            </w14:solidFill>
          </w14:textFill>
        </w:rPr>
        <w:t>供水事业部总污水处理厂废水处理流程见图。工程废水走向见</w:t>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REF _Ref10515 \h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图</w:t>
      </w:r>
      <w:r>
        <w:rPr>
          <w:b w:val="0"/>
          <w:bCs w:val="0"/>
          <w:color w:val="000000" w:themeColor="text1"/>
          <w14:textFill>
            <w14:solidFill>
              <w14:schemeClr w14:val="tx1"/>
            </w14:solidFill>
          </w14:textFill>
        </w:rPr>
        <w:fldChar w:fldCharType="begin"/>
      </w:r>
      <w:r>
        <w:rPr>
          <w:b w:val="0"/>
          <w:bCs w:val="0"/>
          <w:color w:val="000000" w:themeColor="text1"/>
          <w14:textFill>
            <w14:solidFill>
              <w14:schemeClr w14:val="tx1"/>
            </w14:solidFill>
          </w14:textFill>
        </w:rPr>
        <w:instrText xml:space="preserve"> STYLEREF 2 \s </w:instrText>
      </w:r>
      <w:r>
        <w:rPr>
          <w:b w:val="0"/>
          <w:bCs w:val="0"/>
          <w:color w:val="000000" w:themeColor="text1"/>
          <w14:textFill>
            <w14:solidFill>
              <w14:schemeClr w14:val="tx1"/>
            </w14:solidFill>
          </w14:textFill>
        </w:rPr>
        <w:fldChar w:fldCharType="separate"/>
      </w:r>
      <w:r>
        <w:rPr>
          <w:b w:val="0"/>
          <w:bCs w:val="0"/>
          <w:color w:val="000000" w:themeColor="text1"/>
          <w14:textFill>
            <w14:solidFill>
              <w14:schemeClr w14:val="tx1"/>
            </w14:solidFill>
          </w14:textFill>
        </w:rPr>
        <w:t>3</w:t>
      </w:r>
      <w:r>
        <w:rPr>
          <w:rFonts w:hint="eastAsia"/>
          <w:b w:val="0"/>
          <w:bCs w:val="0"/>
          <w:color w:val="000000" w:themeColor="text1"/>
          <w:lang w:val="en-US" w:eastAsia="zh-CN"/>
          <w14:textFill>
            <w14:solidFill>
              <w14:schemeClr w14:val="tx1"/>
            </w14:solidFill>
          </w14:textFill>
        </w:rPr>
        <w:t>.</w:t>
      </w:r>
      <w:r>
        <w:rPr>
          <w:b w:val="0"/>
          <w:bCs w:val="0"/>
          <w:color w:val="000000" w:themeColor="text1"/>
          <w14:textFill>
            <w14:solidFill>
              <w14:schemeClr w14:val="tx1"/>
            </w14:solidFill>
          </w14:textFill>
        </w:rPr>
        <w:t>2</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noBreakHyphen/>
      </w:r>
      <w:r>
        <w:rPr>
          <w:b w:val="0"/>
          <w:bCs w:val="0"/>
          <w:color w:val="000000" w:themeColor="text1"/>
          <w14:textFill>
            <w14:solidFill>
              <w14:schemeClr w14:val="tx1"/>
            </w14:solidFill>
          </w14:textFill>
        </w:rPr>
        <w:t>2</w:t>
      </w:r>
      <w:r>
        <w:rPr>
          <w:b w:val="0"/>
          <w:bCs w:val="0"/>
          <w:color w:val="000000" w:themeColor="text1"/>
          <w14:textFill>
            <w14:solidFill>
              <w14:schemeClr w14:val="tx1"/>
            </w14:solidFill>
          </w14:textFill>
        </w:rPr>
        <w:fldChar w:fldCharType="end"/>
      </w:r>
      <w:r>
        <w:rPr>
          <w:b w:val="0"/>
          <w:bCs w:val="0"/>
          <w:color w:val="000000" w:themeColor="text1"/>
          <w14:textFill>
            <w14:solidFill>
              <w14:schemeClr w14:val="tx1"/>
            </w14:solidFill>
          </w14:textFill>
        </w:rPr>
        <w:t>。</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常压蒸馏工程废水污染源分析及处理措施一览表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326"/>
        <w:gridCol w:w="1328"/>
        <w:gridCol w:w="868"/>
        <w:gridCol w:w="5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序号</w:t>
            </w:r>
          </w:p>
        </w:tc>
        <w:tc>
          <w:tcPr>
            <w:tcW w:w="13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废水来源</w:t>
            </w:r>
          </w:p>
        </w:tc>
        <w:tc>
          <w:tcPr>
            <w:tcW w:w="1328"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主要污染物</w:t>
            </w:r>
          </w:p>
        </w:tc>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产生量</w:t>
            </w:r>
          </w:p>
        </w:tc>
        <w:tc>
          <w:tcPr>
            <w:tcW w:w="5185"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1</w:t>
            </w:r>
          </w:p>
        </w:tc>
        <w:tc>
          <w:tcPr>
            <w:tcW w:w="13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含硫废水W2</w:t>
            </w:r>
          </w:p>
        </w:tc>
        <w:tc>
          <w:tcPr>
            <w:tcW w:w="1328"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PH、悬浮物、化学需氧量、氨氮、石油类、硫化物</w:t>
            </w:r>
          </w:p>
        </w:tc>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4t/h</w:t>
            </w:r>
          </w:p>
        </w:tc>
        <w:tc>
          <w:tcPr>
            <w:tcW w:w="5185"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送原有酸性水汽提装置处理后部分回用常压装置，其余排入烯烃事业部（炼油事业部）污水预处理装置处理后，再送巴陵石化水务部云溪生化装置进行处理后，外排长江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2</w:t>
            </w:r>
          </w:p>
        </w:tc>
        <w:tc>
          <w:tcPr>
            <w:tcW w:w="13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电脱盐废水W1</w:t>
            </w:r>
          </w:p>
        </w:tc>
        <w:tc>
          <w:tcPr>
            <w:tcW w:w="1328"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p>
        </w:tc>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16t/h</w:t>
            </w:r>
          </w:p>
        </w:tc>
        <w:tc>
          <w:tcPr>
            <w:tcW w:w="5185"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送炼油事业部污水预处理装置处理后，再送巴陵石化水务部云溪生化装置进行处理后，外排长江。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3</w:t>
            </w:r>
          </w:p>
        </w:tc>
        <w:tc>
          <w:tcPr>
            <w:tcW w:w="13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eastAsia="宋体" w:cs="Times New Roman"/>
                <w:b w:val="0"/>
                <w:bCs w:val="0"/>
                <w:color w:val="000000" w:themeColor="text1"/>
                <w:sz w:val="21"/>
                <w:szCs w:val="21"/>
                <w:u w:val="single"/>
                <w:lang w:eastAsia="zh-CN"/>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含油废水W</w:t>
            </w:r>
            <w:r>
              <w:rPr>
                <w:rFonts w:hint="default" w:ascii="Times New Roman" w:hAnsi="Times New Roman" w:cs="Times New Roman"/>
                <w:b w:val="0"/>
                <w:bCs w:val="0"/>
                <w:color w:val="000000" w:themeColor="text1"/>
                <w:sz w:val="21"/>
                <w:szCs w:val="21"/>
                <w:u w:val="single"/>
                <w:lang w:val="en-US" w:eastAsia="zh-CN"/>
                <w14:textFill>
                  <w14:solidFill>
                    <w14:schemeClr w14:val="tx1"/>
                  </w14:solidFill>
                </w14:textFill>
              </w:rPr>
              <w:t>3</w:t>
            </w:r>
          </w:p>
        </w:tc>
        <w:tc>
          <w:tcPr>
            <w:tcW w:w="1328"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p>
        </w:tc>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2t/h</w:t>
            </w:r>
          </w:p>
        </w:tc>
        <w:tc>
          <w:tcPr>
            <w:tcW w:w="5185"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4</w:t>
            </w:r>
          </w:p>
        </w:tc>
        <w:tc>
          <w:tcPr>
            <w:tcW w:w="13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事故废水</w:t>
            </w:r>
          </w:p>
        </w:tc>
        <w:tc>
          <w:tcPr>
            <w:tcW w:w="1328"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p>
        </w:tc>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w:t>
            </w:r>
          </w:p>
        </w:tc>
        <w:tc>
          <w:tcPr>
            <w:tcW w:w="5185"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经炼油事业部的事故废水收集系统收集后，汇入巴陵石化公司的废水事故池。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5</w:t>
            </w:r>
          </w:p>
        </w:tc>
        <w:tc>
          <w:tcPr>
            <w:tcW w:w="13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初期雨水</w:t>
            </w:r>
          </w:p>
        </w:tc>
        <w:tc>
          <w:tcPr>
            <w:tcW w:w="1328"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p>
        </w:tc>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1082m</w:t>
            </w:r>
            <w:r>
              <w:rPr>
                <w:rFonts w:hint="default" w:ascii="Times New Roman" w:hAnsi="Times New Roman" w:cs="Times New Roman"/>
                <w:b w:val="0"/>
                <w:bCs w:val="0"/>
                <w:color w:val="000000" w:themeColor="text1"/>
                <w:sz w:val="21"/>
                <w:szCs w:val="21"/>
                <w:u w:val="single"/>
                <w:vertAlign w:val="superscript"/>
                <w14:textFill>
                  <w14:solidFill>
                    <w14:schemeClr w14:val="tx1"/>
                  </w14:solidFill>
                </w14:textFill>
              </w:rPr>
              <w:t>3</w:t>
            </w:r>
          </w:p>
        </w:tc>
        <w:tc>
          <w:tcPr>
            <w:tcW w:w="5185"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送炼油事业部污水预处理装置隔油处理后，再送巴陵石化水务部云溪生化装置处理后。外排长江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6</w:t>
            </w:r>
          </w:p>
        </w:tc>
        <w:tc>
          <w:tcPr>
            <w:tcW w:w="1326"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生活废水</w:t>
            </w:r>
          </w:p>
        </w:tc>
        <w:tc>
          <w:tcPr>
            <w:tcW w:w="1328"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u w:val="single"/>
                <w14:textFill>
                  <w14:solidFill>
                    <w14:schemeClr w14:val="tx1"/>
                  </w14:solidFill>
                </w14:textFill>
              </w:rPr>
            </w:pPr>
          </w:p>
        </w:tc>
        <w:tc>
          <w:tcPr>
            <w:tcW w:w="0" w:type="auto"/>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528m</w:t>
            </w:r>
            <w:r>
              <w:rPr>
                <w:rFonts w:hint="default" w:ascii="Times New Roman" w:hAnsi="Times New Roman" w:cs="Times New Roman"/>
                <w:b w:val="0"/>
                <w:bCs w:val="0"/>
                <w:color w:val="000000" w:themeColor="text1"/>
                <w:sz w:val="21"/>
                <w:szCs w:val="21"/>
                <w:u w:val="single"/>
                <w:vertAlign w:val="superscript"/>
                <w14:textFill>
                  <w14:solidFill>
                    <w14:schemeClr w14:val="tx1"/>
                  </w14:solidFill>
                </w14:textFill>
              </w:rPr>
              <w:t>3</w:t>
            </w:r>
          </w:p>
        </w:tc>
        <w:tc>
          <w:tcPr>
            <w:tcW w:w="5185"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themeColor="text1"/>
                <w:sz w:val="21"/>
                <w:szCs w:val="21"/>
                <w:u w:val="single"/>
                <w14:textFill>
                  <w14:solidFill>
                    <w14:schemeClr w14:val="tx1"/>
                  </w14:solidFill>
                </w14:textFill>
              </w:rPr>
            </w:pPr>
            <w:r>
              <w:rPr>
                <w:rFonts w:hint="default" w:ascii="Times New Roman" w:hAnsi="Times New Roman" w:cs="Times New Roman"/>
                <w:b w:val="0"/>
                <w:bCs w:val="0"/>
                <w:color w:val="000000" w:themeColor="text1"/>
                <w:sz w:val="21"/>
                <w:szCs w:val="21"/>
                <w:u w:val="single"/>
                <w14:textFill>
                  <w14:solidFill>
                    <w14:schemeClr w14:val="tx1"/>
                  </w14:solidFill>
                </w14:textFill>
              </w:rPr>
              <w:t>经化粪池处理后排放入巴陵石化水务部云溪生化装置处理达标后排放长江</w:t>
            </w:r>
          </w:p>
        </w:tc>
      </w:tr>
    </w:tbl>
    <w:p>
      <w:pPr>
        <w:keepNext/>
        <w:spacing w:line="360" w:lineRule="auto"/>
        <w:ind w:firstLine="480" w:firstLineChars="200"/>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（1）常压蒸馏装置项目工程废水处理工艺及走向图</w:t>
      </w:r>
    </w:p>
    <w:p>
      <w:pPr>
        <w:keepNext/>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169.35pt;width:413pt;" o:ole="t" filled="f" o:preferrelative="t" stroked="f" coordsize="21600,21600">
            <v:path/>
            <v:fill on="f" focussize="0,0"/>
            <v:stroke on="f"/>
            <v:imagedata r:id="rId18" o:title=""/>
            <o:lock v:ext="edit" aspectratio="t"/>
            <w10:wrap type="none"/>
            <w10:anchorlock/>
          </v:shape>
          <o:OLEObject Type="Embed" ProgID="Visio.Drawing.11" ShapeID="_x0000_i1028" DrawAspect="Content" ObjectID="_1468075728" r:id="rId17">
            <o:LockedField>false</o:LockedField>
          </o:OLEObject>
        </w:object>
      </w:r>
    </w:p>
    <w:p>
      <w:pPr>
        <w:keepNext/>
        <w:spacing w:line="360" w:lineRule="auto"/>
        <w:ind w:firstLine="482" w:firstLineChars="200"/>
        <w:jc w:val="center"/>
        <w:rPr>
          <w:b/>
          <w:color w:val="000000" w:themeColor="text1"/>
          <w14:textFill>
            <w14:solidFill>
              <w14:schemeClr w14:val="tx1"/>
            </w14:solidFill>
          </w14:textFill>
        </w:rPr>
      </w:pPr>
      <w:bookmarkStart w:id="118" w:name="_Ref10515"/>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bookmarkEnd w:id="118"/>
      <w:r>
        <w:rPr>
          <w:b/>
          <w:color w:val="000000" w:themeColor="text1"/>
          <w14:textFill>
            <w14:solidFill>
              <w14:schemeClr w14:val="tx1"/>
            </w14:solidFill>
          </w14:textFill>
        </w:rPr>
        <w:t xml:space="preserve">  常压蒸馏装置项目工程废水处理工艺及走向图</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本项目生产废水经炼油部废水预处理站处理后排入巴陵石化水务部云溪生化装置（供排水事业部总污水场）处理之后排入长江，本次环评收集了2019年</w:t>
      </w:r>
      <w:r>
        <w:rPr>
          <w:rFonts w:hint="default" w:ascii="Times New Roman" w:hAnsi="Times New Roman" w:eastAsia="宋体" w:cs="Times New Roman"/>
          <w:color w:val="000000" w:themeColor="text1"/>
          <w:lang w:eastAsia="zh-CN"/>
          <w14:textFill>
            <w14:solidFill>
              <w14:schemeClr w14:val="tx1"/>
            </w14:solidFill>
          </w14:textFill>
        </w:rPr>
        <w:t>四</w:t>
      </w:r>
      <w:r>
        <w:rPr>
          <w:rFonts w:hint="default" w:ascii="Times New Roman" w:hAnsi="Times New Roman" w:cs="Times New Roman"/>
          <w:color w:val="000000" w:themeColor="text1"/>
          <w14:textFill>
            <w14:solidFill>
              <w14:schemeClr w14:val="tx1"/>
            </w14:solidFill>
          </w14:textFill>
        </w:rPr>
        <w:t>季度巴陵石化分公司污水处理厂排口水质的监督性监测数据，监测结果见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_Ref52215587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w:instrText>
      </w:r>
      <w:r>
        <w:rPr>
          <w:color w:val="000000" w:themeColor="text1"/>
          <w14:textFill>
            <w14:solidFill>
              <w14:schemeClr w14:val="tx1"/>
            </w14:solidFill>
          </w14:textFill>
        </w:rPr>
        <w:instrText xml:space="preserve">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pPr>
        <w:keepNext/>
        <w:ind w:firstLine="482" w:firstLineChars="200"/>
        <w:jc w:val="center"/>
        <w:rPr>
          <w:b/>
          <w:color w:val="000000" w:themeColor="text1"/>
          <w14:textFill>
            <w14:solidFill>
              <w14:schemeClr w14:val="tx1"/>
            </w14:solidFill>
          </w14:textFill>
        </w:rPr>
      </w:pPr>
      <w:bookmarkStart w:id="119" w:name="_Ref52215587"/>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bookmarkEnd w:id="119"/>
      <w:r>
        <w:rPr>
          <w:b/>
          <w:color w:val="000000" w:themeColor="text1"/>
          <w14:textFill>
            <w14:solidFill>
              <w14:schemeClr w14:val="tx1"/>
            </w14:solidFill>
          </w14:textFill>
        </w:rPr>
        <w:t xml:space="preserve">  </w:t>
      </w:r>
      <w:r>
        <w:rPr>
          <w:b/>
          <w:bCs/>
          <w:color w:val="000000" w:themeColor="text1"/>
          <w14:textFill>
            <w14:solidFill>
              <w14:schemeClr w14:val="tx1"/>
            </w14:solidFill>
          </w14:textFill>
        </w:rPr>
        <w:t>巴陵石化分公司污水处理厂水质监测结果表 单位：mg/L，pH 除外</w:t>
      </w:r>
    </w:p>
    <w:tbl>
      <w:tblPr>
        <w:tblStyle w:val="41"/>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79"/>
        <w:gridCol w:w="1992"/>
        <w:gridCol w:w="782"/>
        <w:gridCol w:w="782"/>
        <w:gridCol w:w="860"/>
        <w:gridCol w:w="899"/>
        <w:gridCol w:w="977"/>
        <w:gridCol w:w="941"/>
        <w:gridCol w:w="8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645" w:type="pct"/>
            <w:gridSpan w:val="2"/>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0" w:beforeAutospacing="0" w:after="0" w:afterAutospacing="0"/>
              <w:ind w:left="927" w:right="907"/>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控制项目</w:t>
            </w:r>
          </w:p>
        </w:tc>
        <w:tc>
          <w:tcPr>
            <w:tcW w:w="433"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433"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476"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石油类</w:t>
            </w:r>
          </w:p>
        </w:tc>
        <w:tc>
          <w:tcPr>
            <w:tcW w:w="498"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541"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521"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总磷</w:t>
            </w:r>
          </w:p>
        </w:tc>
        <w:tc>
          <w:tcPr>
            <w:tcW w:w="450" w:type="pct"/>
            <w:tcBorders>
              <w:top w:val="single" w:color="000000" w:sz="12"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542" w:type="pct"/>
            <w:vMerge w:val="restart"/>
            <w:tcBorders>
              <w:top w:val="single" w:color="000000" w:sz="4" w:space="0"/>
              <w:left w:val="nil"/>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9" w:beforeAutospacing="0" w:after="0" w:afterAutospacing="0"/>
              <w:ind w:left="132"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处理设</w:t>
            </w:r>
          </w:p>
          <w:p>
            <w:pPr>
              <w:pStyle w:val="112"/>
              <w:keepNext w:val="0"/>
              <w:keepLines w:val="0"/>
              <w:pageBreakBefore w:val="0"/>
              <w:suppressLineNumbers w:val="0"/>
              <w:kinsoku/>
              <w:wordWrap/>
              <w:overflowPunct/>
              <w:topLinePunct w:val="0"/>
              <w:bidi w:val="0"/>
              <w:adjustRightInd/>
              <w:snapToGrid/>
              <w:spacing w:before="43" w:beforeAutospacing="0" w:after="0" w:afterAutospacing="0"/>
              <w:ind w:left="132"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施排口</w:t>
            </w: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5" w:beforeAutospacing="0" w:after="0" w:afterAutospacing="0"/>
              <w:ind w:left="143" w:right="11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2019 年第一季度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0" w:right="15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7.25</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27" w:right="9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43.71</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1.25</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18.63</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6" w:right="7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3.38</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213" w:right="177"/>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11" w:right="6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left w:val="nil"/>
              <w:right w:val="single" w:color="000000" w:sz="4" w:space="0"/>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1" w:beforeAutospacing="0" w:after="0" w:afterAutospacing="0"/>
              <w:ind w:left="143" w:right="11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2019 年第二季度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0" w:right="15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7.37</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37.02</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0.75</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13.92</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1.84</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213" w:right="177"/>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0.09</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11" w:right="6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left w:val="nil"/>
              <w:right w:val="single" w:color="000000" w:sz="4" w:space="0"/>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1" w:beforeAutospacing="0" w:after="0" w:afterAutospacing="0"/>
              <w:ind w:left="143" w:right="11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2019 年第三季度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0" w:right="15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7.59</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39.06</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1.65</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27.00</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1.09</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213" w:right="177"/>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0.22</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11" w:right="6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left w:val="nil"/>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1" w:beforeAutospacing="0" w:after="0" w:afterAutospacing="0"/>
              <w:ind w:left="143" w:right="11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2019 年第四季度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0" w:right="15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7.62</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35.81</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1.40</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18.62</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1"/>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1.06</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213" w:right="177"/>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11" w:right="64"/>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1645" w:type="pct"/>
            <w:gridSpan w:val="2"/>
            <w:tcBorders>
              <w:top w:val="single" w:color="000000" w:sz="4" w:space="0"/>
              <w:left w:val="nil"/>
              <w:bottom w:val="single" w:color="000000" w:sz="12"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5" w:beforeAutospacing="0" w:after="0" w:afterAutospacing="0"/>
              <w:ind w:left="108"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（GB3157</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-2015）表2 限值</w:t>
            </w:r>
          </w:p>
        </w:tc>
        <w:tc>
          <w:tcPr>
            <w:tcW w:w="433" w:type="pct"/>
            <w:tcBorders>
              <w:top w:val="single" w:color="000000" w:sz="4" w:space="0"/>
              <w:left w:val="nil"/>
              <w:bottom w:val="single" w:color="000000" w:sz="12"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5" w:beforeAutospacing="0" w:after="0" w:afterAutospacing="0"/>
              <w:ind w:left="0" w:right="126"/>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433"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476"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98"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541"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521"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c>
          <w:tcPr>
            <w:tcW w:w="450" w:type="pct"/>
            <w:tcBorders>
              <w:top w:val="single" w:color="000000" w:sz="4" w:space="0"/>
              <w:left w:val="nil"/>
              <w:bottom w:val="single" w:color="000000" w:sz="12" w:space="0"/>
              <w:right w:val="nil"/>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bl>
    <w:p>
      <w:pPr>
        <w:pStyle w:val="122"/>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由上表可知，项目装置区外排生产废水经巴陵石化水务部云溪生化装置处理后，最终浓度能够满足《</w:t>
      </w:r>
      <w:r>
        <w:rPr>
          <w:rFonts w:hint="default" w:ascii="Times New Roman" w:hAnsi="Times New Roman" w:cs="Times New Roman"/>
          <w:color w:val="000000" w:themeColor="text1"/>
          <w:sz w:val="24"/>
          <w:szCs w:val="24"/>
          <w:lang w:eastAsia="zh-CN"/>
          <w14:textFill>
            <w14:solidFill>
              <w14:schemeClr w14:val="tx1"/>
            </w14:solidFill>
          </w14:textFill>
        </w:rPr>
        <w:t>石油炼制工业污染物排放标准</w:t>
      </w:r>
      <w:r>
        <w:rPr>
          <w:rFonts w:hint="default" w:ascii="Times New Roman" w:hAnsi="Times New Roman" w:cs="Times New Roman"/>
          <w:color w:val="000000" w:themeColor="text1"/>
          <w:sz w:val="24"/>
          <w:szCs w:val="24"/>
          <w14:textFill>
            <w14:solidFill>
              <w14:schemeClr w14:val="tx1"/>
            </w14:solidFill>
          </w14:textFill>
        </w:rPr>
        <w:t>》（GB3157</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-2015）表2水污染物特别排放限值要求。</w:t>
      </w:r>
    </w:p>
    <w:p>
      <w:pPr>
        <w:pStyle w:val="6"/>
        <w:rPr>
          <w:color w:val="000000" w:themeColor="text1"/>
          <w14:textFill>
            <w14:solidFill>
              <w14:schemeClr w14:val="tx1"/>
            </w14:solidFill>
          </w14:textFill>
        </w:rPr>
      </w:pPr>
      <w:r>
        <w:rPr>
          <w:color w:val="000000" w:themeColor="text1"/>
          <w14:textFill>
            <w14:solidFill>
              <w14:schemeClr w14:val="tx1"/>
            </w14:solidFill>
          </w14:textFill>
        </w:rPr>
        <w:t>废气污染源及处理措施</w:t>
      </w:r>
    </w:p>
    <w:p>
      <w:pPr>
        <w:spacing w:line="360" w:lineRule="auto"/>
        <w:ind w:firstLine="482" w:firstLineChars="2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（1）废气产生及处理措施</w:t>
      </w:r>
    </w:p>
    <w:p>
      <w:pPr>
        <w:pStyle w:val="122"/>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常压装置产生的有组织废气主要为常压炉烟气、塔顶不凝气，厂区无组织排放的废气主要为生产过程中跑冒滴漏和储罐区无组织排放的VOC</w:t>
      </w:r>
      <w:r>
        <w:rPr>
          <w:rFonts w:hint="default" w:ascii="Times New Roman" w:hAnsi="Times New Roman" w:cs="Times New Roman"/>
          <w:color w:val="000000" w:themeColor="text1"/>
          <w:sz w:val="24"/>
          <w:szCs w:val="24"/>
          <w:vertAlign w:val="subscript"/>
          <w14:textFill>
            <w14:solidFill>
              <w14:schemeClr w14:val="tx1"/>
            </w14:solidFill>
          </w14:textFill>
        </w:rPr>
        <w:t>S</w:t>
      </w:r>
      <w:r>
        <w:rPr>
          <w:rFonts w:hint="default" w:ascii="Times New Roman" w:hAnsi="Times New Roman" w:cs="Times New Roman"/>
          <w:color w:val="000000" w:themeColor="text1"/>
          <w:sz w:val="24"/>
          <w:szCs w:val="24"/>
          <w14:textFill>
            <w14:solidFill>
              <w14:schemeClr w14:val="tx1"/>
            </w14:solidFill>
          </w14:textFill>
        </w:rPr>
        <w:t>。</w:t>
      </w:r>
    </w:p>
    <w:p>
      <w:pPr>
        <w:pStyle w:val="8"/>
        <w:numPr>
          <w:ilvl w:val="0"/>
          <w:numId w:val="0"/>
        </w:numPr>
        <w:spacing w:before="1"/>
        <w:ind w:left="724"/>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①有组织废气（SO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X</w:t>
      </w:r>
      <w:r>
        <w:rPr>
          <w:rFonts w:hint="default" w:ascii="Times New Roman" w:hAnsi="Times New Roman" w:cs="Times New Roman"/>
          <w:color w:val="000000" w:themeColor="text1"/>
          <w14:textFill>
            <w14:solidFill>
              <w14:schemeClr w14:val="tx1"/>
            </w14:solidFill>
          </w14:textFill>
        </w:rPr>
        <w:t>、颗粒物）</w:t>
      </w:r>
    </w:p>
    <w:p>
      <w:pPr>
        <w:pStyle w:val="122"/>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现场踏勘及企业提供情况可知，现有常压装置常压炉的燃气燃烧尾气经50m排气筒外排，为了解其外排污染物情况，本次评价引用企业2020年1月~7月对常压炉排放口进行的监测的定期监测数据，其检测结果见下表所示。</w:t>
      </w:r>
    </w:p>
    <w:p>
      <w:pPr>
        <w:pStyle w:val="122"/>
        <w:widowControl w:val="0"/>
        <w:ind w:firstLine="482" w:firstLineChars="200"/>
        <w:jc w:val="center"/>
        <w:rPr>
          <w:rFonts w:ascii="Times New Roman" w:hAnsi="Times New Roman" w:cs="Times New Roman"/>
          <w:b/>
          <w:color w:val="000000" w:themeColor="text1"/>
          <w:sz w:val="24"/>
          <w:szCs w:val="24"/>
          <w14:textFill>
            <w14:solidFill>
              <w14:schemeClr w14:val="tx1"/>
            </w14:solidFill>
          </w14:textFill>
        </w:rPr>
      </w:pPr>
    </w:p>
    <w:p>
      <w:pPr>
        <w:pStyle w:val="122"/>
        <w:widowControl w:val="0"/>
        <w:ind w:firstLine="482" w:firstLineChars="20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表</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3</w:t>
      </w:r>
      <w:r>
        <w:rPr>
          <w:rFonts w:hint="eastAsia" w:ascii="Times New Roman" w:hAnsi="Times New Roman" w:cs="Times New Roman"/>
          <w:b/>
          <w:color w:val="000000" w:themeColor="text1"/>
          <w:sz w:val="24"/>
          <w:szCs w:val="24"/>
          <w:lang w:val="en-US" w:eastAsia="zh-CN"/>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SEQ 表 \* ARABIC \s 2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t xml:space="preserve">  常压装置常压炉的燃气燃烧尾气检测结果</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078"/>
        <w:gridCol w:w="1134"/>
        <w:gridCol w:w="1326"/>
        <w:gridCol w:w="1576"/>
        <w:gridCol w:w="1172"/>
        <w:gridCol w:w="1008"/>
        <w:gridCol w:w="9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检测点位</w:t>
            </w:r>
          </w:p>
        </w:tc>
        <w:tc>
          <w:tcPr>
            <w:tcW w:w="583"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检测日期</w:t>
            </w:r>
          </w:p>
        </w:tc>
        <w:tc>
          <w:tcPr>
            <w:tcW w:w="1330" w:type="pct"/>
            <w:gridSpan w:val="2"/>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检测项目</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计量单位</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检测结果</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标准值</w:t>
            </w:r>
          </w:p>
        </w:tc>
        <w:tc>
          <w:tcPr>
            <w:tcW w:w="50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常压炉的燃气燃烧尾气排放口</w:t>
            </w:r>
          </w:p>
        </w:tc>
        <w:tc>
          <w:tcPr>
            <w:tcW w:w="58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2020.1.17</w:t>
            </w:r>
          </w:p>
        </w:tc>
        <w:tc>
          <w:tcPr>
            <w:tcW w:w="1330" w:type="pct"/>
            <w:gridSpan w:val="2"/>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标干烟气流量</w:t>
            </w:r>
          </w:p>
        </w:tc>
        <w:tc>
          <w:tcPr>
            <w:tcW w:w="852" w:type="pct"/>
            <w:noWrap w:val="0"/>
            <w:vAlign w:val="center"/>
          </w:tcPr>
          <w:p>
            <w:pPr>
              <w:pStyle w:val="112"/>
              <w:keepNext w:val="0"/>
              <w:keepLines w:val="0"/>
              <w:suppressLineNumbers w:val="0"/>
              <w:spacing w:before="42" w:beforeAutospacing="0" w:after="0" w:afterAutospacing="0"/>
              <w:ind w:left="394"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58650</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13</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0.765</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X</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43</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1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5.9</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1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0.346</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2020.2.19</w:t>
            </w:r>
          </w:p>
        </w:tc>
        <w:tc>
          <w:tcPr>
            <w:tcW w:w="1330" w:type="pct"/>
            <w:gridSpan w:val="2"/>
            <w:noWrap w:val="0"/>
            <w:vAlign w:val="center"/>
          </w:tcPr>
          <w:p>
            <w:pPr>
              <w:pStyle w:val="112"/>
              <w:keepNext w:val="0"/>
              <w:keepLines w:val="0"/>
              <w:suppressLineNumbers w:val="0"/>
              <w:spacing w:before="25"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标干烟气流量</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54256</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14</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0.76</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X</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41</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2.22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5.9</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2020.3.24</w:t>
            </w:r>
          </w:p>
        </w:tc>
        <w:tc>
          <w:tcPr>
            <w:tcW w:w="1330" w:type="pct"/>
            <w:gridSpan w:val="2"/>
            <w:noWrap w:val="0"/>
            <w:vAlign w:val="center"/>
          </w:tcPr>
          <w:p>
            <w:pPr>
              <w:pStyle w:val="112"/>
              <w:keepNext w:val="0"/>
              <w:keepLines w:val="0"/>
              <w:suppressLineNumbers w:val="0"/>
              <w:spacing w:before="25" w:beforeAutospacing="0" w:after="0" w:afterAutospacing="0"/>
              <w:ind w:left="42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标干烟气流量</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52660</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15</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0.79</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NO</w:t>
            </w:r>
            <w:r>
              <w:rPr>
                <w:rFonts w:hint="default" w:ascii="Times New Roman" w:hAnsi="Times New Roman" w:eastAsia="宋体" w:cs="Times New Roman"/>
                <w:color w:val="000000" w:themeColor="text1"/>
                <w:sz w:val="21"/>
                <w:vertAlign w:val="subscript"/>
                <w14:textFill>
                  <w14:solidFill>
                    <w14:schemeClr w14:val="tx1"/>
                  </w14:solidFill>
                </w14:textFill>
              </w:rPr>
              <w:t>X</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44</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2.32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5.9</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0.311</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2020.4.21</w:t>
            </w:r>
          </w:p>
        </w:tc>
        <w:tc>
          <w:tcPr>
            <w:tcW w:w="1330" w:type="pct"/>
            <w:gridSpan w:val="2"/>
            <w:noWrap w:val="0"/>
            <w:vAlign w:val="center"/>
          </w:tcPr>
          <w:p>
            <w:pPr>
              <w:pStyle w:val="112"/>
              <w:keepNext w:val="0"/>
              <w:keepLines w:val="0"/>
              <w:suppressLineNumbers w:val="0"/>
              <w:spacing w:before="25" w:beforeAutospacing="0" w:after="0" w:afterAutospacing="0"/>
              <w:ind w:left="42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标干烟气流量</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54255</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9</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0.488</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X</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47</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2.55</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5.9</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2020.5.26</w:t>
            </w:r>
          </w:p>
        </w:tc>
        <w:tc>
          <w:tcPr>
            <w:tcW w:w="1330" w:type="pct"/>
            <w:gridSpan w:val="2"/>
            <w:noWrap w:val="0"/>
            <w:vAlign w:val="center"/>
          </w:tcPr>
          <w:p>
            <w:pPr>
              <w:pStyle w:val="112"/>
              <w:keepNext w:val="0"/>
              <w:keepLines w:val="0"/>
              <w:suppressLineNumbers w:val="0"/>
              <w:spacing w:before="25" w:beforeAutospacing="0" w:after="0" w:afterAutospacing="0"/>
              <w:ind w:left="42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标干烟气流量</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57606</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14</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0.806</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X</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43</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2.48</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5.9</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0.34</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2020.6.23</w:t>
            </w:r>
          </w:p>
        </w:tc>
        <w:tc>
          <w:tcPr>
            <w:tcW w:w="1330" w:type="pct"/>
            <w:gridSpan w:val="2"/>
            <w:noWrap w:val="0"/>
            <w:vAlign w:val="center"/>
          </w:tcPr>
          <w:p>
            <w:pPr>
              <w:pStyle w:val="112"/>
              <w:keepNext w:val="0"/>
              <w:keepLines w:val="0"/>
              <w:suppressLineNumbers w:val="0"/>
              <w:spacing w:before="25" w:beforeAutospacing="0" w:after="0" w:afterAutospacing="0"/>
              <w:ind w:left="42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标干烟气流量</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54365</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SO</w:t>
            </w:r>
            <w:r>
              <w:rPr>
                <w:rFonts w:hint="default" w:ascii="Times New Roman" w:hAnsi="Times New Roman" w:eastAsia="宋体" w:cs="Times New Roman"/>
                <w:color w:val="000000" w:themeColor="text1"/>
                <w:vertAlign w:val="subscript"/>
                <w14:textFill>
                  <w14:solidFill>
                    <w14:schemeClr w14:val="tx1"/>
                  </w14:solidFill>
                </w14:textFill>
              </w:rPr>
              <w:t>2</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0.652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NO</w:t>
            </w:r>
            <w:r>
              <w:rPr>
                <w:rFonts w:hint="default" w:ascii="Times New Roman" w:hAnsi="Times New Roman" w:eastAsia="宋体" w:cs="Times New Roman"/>
                <w:color w:val="000000" w:themeColor="text1"/>
                <w:vertAlign w:val="subscript"/>
                <w14:textFill>
                  <w14:solidFill>
                    <w14:schemeClr w14:val="tx1"/>
                  </w14:solidFill>
                </w14:textFill>
              </w:rPr>
              <w:t>X</w:t>
            </w: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2.28</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颗粒物</w:t>
            </w:r>
          </w:p>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排放浓度</w:t>
            </w:r>
          </w:p>
        </w:tc>
        <w:tc>
          <w:tcPr>
            <w:tcW w:w="852" w:type="pct"/>
            <w:noWrap w:val="0"/>
            <w:vAlign w:val="center"/>
          </w:tcPr>
          <w:p>
            <w:pPr>
              <w:pStyle w:val="112"/>
              <w:keepNext w:val="0"/>
              <w:keepLines w:val="0"/>
              <w:suppressLineNumbers w:val="0"/>
              <w:spacing w:before="35" w:beforeAutospacing="0" w:after="0" w:afterAutospacing="0"/>
              <w:ind w:left="397" w:right="36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505" w:type="pct"/>
            <w:vMerge w:val="restar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58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613" w:type="pct"/>
            <w:vMerge w:val="continue"/>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c>
          <w:tcPr>
            <w:tcW w:w="716" w:type="pct"/>
            <w:noWrap w:val="0"/>
            <w:vAlign w:val="center"/>
          </w:tcPr>
          <w:p>
            <w:pPr>
              <w:pStyle w:val="112"/>
              <w:keepNext w:val="0"/>
              <w:keepLines w:val="0"/>
              <w:suppressLineNumbers w:val="0"/>
              <w:spacing w:before="25"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排放速率</w:t>
            </w:r>
          </w:p>
        </w:tc>
        <w:tc>
          <w:tcPr>
            <w:tcW w:w="852"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kg/h</w:t>
            </w:r>
          </w:p>
        </w:tc>
        <w:tc>
          <w:tcPr>
            <w:tcW w:w="634"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2.272</w:t>
            </w:r>
          </w:p>
        </w:tc>
        <w:tc>
          <w:tcPr>
            <w:tcW w:w="545" w:type="pct"/>
            <w:noWrap w:val="0"/>
            <w:vAlign w:val="center"/>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505" w:type="pct"/>
            <w:vMerge w:val="continue"/>
            <w:noWrap w:val="0"/>
            <w:vAlign w:val="top"/>
          </w:tcPr>
          <w:p>
            <w:pPr>
              <w:pStyle w:val="122"/>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p>
        </w:tc>
      </w:tr>
    </w:tbl>
    <w:p>
      <w:pPr>
        <w:pStyle w:val="122"/>
        <w:keepNext/>
        <w:spacing w:line="360" w:lineRule="auto"/>
        <w:ind w:firstLine="480" w:firstLineChars="200"/>
        <w:rPr>
          <w:rFonts w:hint="default" w:ascii="Times New Roman" w:hAnsi="Times New Roman" w:cs="Times New Roman"/>
          <w:color w:val="000000" w:themeColor="text1"/>
          <w:sz w:val="24"/>
          <w:szCs w:val="24"/>
          <w:u w:val="single"/>
          <w14:textFill>
            <w14:solidFill>
              <w14:schemeClr w14:val="tx1"/>
            </w14:solidFill>
          </w14:textFill>
        </w:rPr>
      </w:pPr>
      <w:r>
        <w:rPr>
          <w:rFonts w:hint="default" w:ascii="Times New Roman" w:hAnsi="Times New Roman" w:cs="Times New Roman"/>
          <w:color w:val="000000" w:themeColor="text1"/>
          <w:sz w:val="24"/>
          <w:szCs w:val="24"/>
          <w:u w:val="single"/>
          <w14:textFill>
            <w14:solidFill>
              <w14:schemeClr w14:val="tx1"/>
            </w14:solidFill>
          </w14:textFill>
        </w:rPr>
        <w:t>由上表可知，常压加热炉烟气经处理后排放的烟尘</w:t>
      </w:r>
      <w:r>
        <w:rPr>
          <w:rFonts w:hint="default" w:ascii="Times New Roman" w:hAnsi="Times New Roman" w:cs="Times New Roman"/>
          <w:color w:val="000000" w:themeColor="text1"/>
          <w:sz w:val="24"/>
          <w:szCs w:val="24"/>
          <w:u w:val="single"/>
          <w:lang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二氧化硫</w:t>
      </w:r>
      <w:r>
        <w:rPr>
          <w:rFonts w:hint="default" w:ascii="Times New Roman" w:hAnsi="Times New Roman" w:cs="Times New Roman"/>
          <w:color w:val="000000" w:themeColor="text1"/>
          <w:sz w:val="24"/>
          <w:szCs w:val="24"/>
          <w:u w:val="single"/>
          <w:lang w:eastAsia="zh-CN"/>
          <w14:textFill>
            <w14:solidFill>
              <w14:schemeClr w14:val="tx1"/>
            </w14:solidFill>
          </w14:textFill>
        </w:rPr>
        <w:t>和氮氧化物</w:t>
      </w:r>
      <w:r>
        <w:rPr>
          <w:rFonts w:hint="default" w:ascii="Times New Roman" w:hAnsi="Times New Roman" w:cs="Times New Roman"/>
          <w:color w:val="000000" w:themeColor="text1"/>
          <w:sz w:val="24"/>
          <w:szCs w:val="24"/>
          <w:u w:val="single"/>
          <w14:textFill>
            <w14:solidFill>
              <w14:schemeClr w14:val="tx1"/>
            </w14:solidFill>
          </w14:textFill>
        </w:rPr>
        <w:t>可满足</w:t>
      </w:r>
      <w:r>
        <w:rPr>
          <w:rFonts w:hint="default" w:ascii="Times New Roman" w:hAnsi="Times New Roman" w:cs="Times New Roman"/>
          <w:color w:val="000000" w:themeColor="text1"/>
          <w:sz w:val="24"/>
          <w:szCs w:val="24"/>
          <w:u w:val="single"/>
          <w:lang w:eastAsia="zh-CN"/>
          <w14:textFill>
            <w14:solidFill>
              <w14:schemeClr w14:val="tx1"/>
            </w14:solidFill>
          </w14:textFill>
        </w:rPr>
        <w:t>《石油炼制工业污染物排放标准》</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GB3157</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0</w:t>
      </w:r>
      <w:r>
        <w:rPr>
          <w:rFonts w:hint="default" w:ascii="Times New Roman" w:hAnsi="Times New Roman" w:cs="Times New Roman"/>
          <w:color w:val="000000" w:themeColor="text1"/>
          <w:sz w:val="24"/>
          <w:szCs w:val="24"/>
          <w:u w:val="single"/>
          <w14:textFill>
            <w14:solidFill>
              <w14:schemeClr w14:val="tx1"/>
            </w14:solidFill>
          </w14:textFill>
        </w:rPr>
        <w:t>-2015</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）表4大气污染物特别排放限值要求</w:t>
      </w:r>
      <w:r>
        <w:rPr>
          <w:rFonts w:hint="default" w:ascii="Times New Roman" w:hAnsi="Times New Roman" w:cs="Times New Roman"/>
          <w:color w:val="000000" w:themeColor="text1"/>
          <w:sz w:val="24"/>
          <w:szCs w:val="24"/>
          <w:u w:val="single"/>
          <w:lang w:eastAsia="zh-CN"/>
          <w14:textFill>
            <w14:solidFill>
              <w14:schemeClr w14:val="tx1"/>
            </w14:solidFill>
          </w14:textFill>
        </w:rPr>
        <w:t>。</w:t>
      </w:r>
    </w:p>
    <w:p>
      <w:pPr>
        <w:pStyle w:val="8"/>
        <w:numPr>
          <w:ilvl w:val="0"/>
          <w:numId w:val="0"/>
        </w:numPr>
        <w:spacing w:before="1"/>
        <w:ind w:left="72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②常压蒸馏工程无组织废气（非甲烷总烃）</w:t>
      </w:r>
    </w:p>
    <w:p>
      <w:pPr>
        <w:pStyle w:val="122"/>
        <w:keepNext/>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现有常压装置无组织排放主要来自：装置生产及管道输送过程中的跑冒滴漏及储罐区的无组织排放。为了解现有常压装置生产过程中的无组织废气排放情况，本次引用巴陵石化分公司对装置所在炼油部厂区的定期无组织监测值，监测因子为非甲烷总烃。</w:t>
      </w:r>
    </w:p>
    <w:p>
      <w:pPr>
        <w:spacing w:before="77" w:after="21"/>
        <w:ind w:left="1801"/>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t>表</w:t>
      </w:r>
      <w:r>
        <w:rPr>
          <w:rFonts w:hint="default" w:ascii="Times New Roman" w:hAnsi="Times New Roman" w:cs="Times New Roman"/>
          <w:b/>
          <w:color w:val="000000" w:themeColor="text1"/>
          <w:szCs w:val="24"/>
          <w14:textFill>
            <w14:solidFill>
              <w14:schemeClr w14:val="tx1"/>
            </w14:solidFill>
          </w14:textFill>
        </w:rPr>
        <w:fldChar w:fldCharType="begin"/>
      </w:r>
      <w:r>
        <w:rPr>
          <w:rFonts w:hint="default" w:ascii="Times New Roman" w:hAnsi="Times New Roman" w:cs="Times New Roman"/>
          <w:b/>
          <w:color w:val="000000" w:themeColor="text1"/>
          <w:szCs w:val="24"/>
          <w14:textFill>
            <w14:solidFill>
              <w14:schemeClr w14:val="tx1"/>
            </w14:solidFill>
          </w14:textFill>
        </w:rPr>
        <w:instrText xml:space="preserve"> STYLEREF 2 \s </w:instrText>
      </w:r>
      <w:r>
        <w:rPr>
          <w:rFonts w:hint="default" w:ascii="Times New Roman" w:hAnsi="Times New Roman" w:cs="Times New Roman"/>
          <w:b/>
          <w:color w:val="000000" w:themeColor="text1"/>
          <w:szCs w:val="24"/>
          <w14:textFill>
            <w14:solidFill>
              <w14:schemeClr w14:val="tx1"/>
            </w14:solidFill>
          </w14:textFill>
        </w:rPr>
        <w:fldChar w:fldCharType="separate"/>
      </w:r>
      <w:r>
        <w:rPr>
          <w:rFonts w:hint="default" w:ascii="Times New Roman" w:hAnsi="Times New Roman" w:cs="Times New Roman"/>
          <w:b/>
          <w:color w:val="000000" w:themeColor="text1"/>
          <w:szCs w:val="24"/>
          <w14:textFill>
            <w14:solidFill>
              <w14:schemeClr w14:val="tx1"/>
            </w14:solidFill>
          </w14:textFill>
        </w:rPr>
        <w:t>3</w:t>
      </w:r>
      <w:r>
        <w:rPr>
          <w:rFonts w:hint="eastAsia" w:cs="Times New Roman"/>
          <w:b/>
          <w:color w:val="000000" w:themeColor="text1"/>
          <w:szCs w:val="24"/>
          <w:lang w:val="en-US" w:eastAsia="zh-CN"/>
          <w14:textFill>
            <w14:solidFill>
              <w14:schemeClr w14:val="tx1"/>
            </w14:solidFill>
          </w14:textFill>
        </w:rPr>
        <w:t>.</w:t>
      </w:r>
      <w:r>
        <w:rPr>
          <w:rFonts w:hint="default" w:ascii="Times New Roman" w:hAnsi="Times New Roman" w:cs="Times New Roman"/>
          <w:b/>
          <w:color w:val="000000" w:themeColor="text1"/>
          <w:szCs w:val="24"/>
          <w14:textFill>
            <w14:solidFill>
              <w14:schemeClr w14:val="tx1"/>
            </w14:solidFill>
          </w14:textFill>
        </w:rPr>
        <w:t>2</w:t>
      </w:r>
      <w:r>
        <w:rPr>
          <w:rFonts w:hint="default" w:ascii="Times New Roman" w:hAnsi="Times New Roman" w:cs="Times New Roman"/>
          <w:b/>
          <w:color w:val="000000" w:themeColor="text1"/>
          <w:szCs w:val="24"/>
          <w14:textFill>
            <w14:solidFill>
              <w14:schemeClr w14:val="tx1"/>
            </w14:solidFill>
          </w14:textFill>
        </w:rPr>
        <w:fldChar w:fldCharType="end"/>
      </w:r>
      <w:r>
        <w:rPr>
          <w:rFonts w:hint="default" w:ascii="Times New Roman" w:hAnsi="Times New Roman" w:cs="Times New Roman"/>
          <w:b/>
          <w:color w:val="000000" w:themeColor="text1"/>
          <w:szCs w:val="24"/>
          <w14:textFill>
            <w14:solidFill>
              <w14:schemeClr w14:val="tx1"/>
            </w14:solidFill>
          </w14:textFill>
        </w:rPr>
        <w:noBreakHyphen/>
      </w:r>
      <w:r>
        <w:rPr>
          <w:rFonts w:hint="default" w:ascii="Times New Roman" w:hAnsi="Times New Roman" w:cs="Times New Roman"/>
          <w:b/>
          <w:color w:val="000000" w:themeColor="text1"/>
          <w:szCs w:val="24"/>
          <w14:textFill>
            <w14:solidFill>
              <w14:schemeClr w14:val="tx1"/>
            </w14:solidFill>
          </w14:textFill>
        </w:rPr>
        <w:fldChar w:fldCharType="begin"/>
      </w:r>
      <w:r>
        <w:rPr>
          <w:rFonts w:hint="default" w:ascii="Times New Roman" w:hAnsi="Times New Roman" w:cs="Times New Roman"/>
          <w:b/>
          <w:color w:val="000000" w:themeColor="text1"/>
          <w:szCs w:val="24"/>
          <w14:textFill>
            <w14:solidFill>
              <w14:schemeClr w14:val="tx1"/>
            </w14:solidFill>
          </w14:textFill>
        </w:rPr>
        <w:instrText xml:space="preserve"> SEQ 表 \* ARABIC \s 2 </w:instrText>
      </w:r>
      <w:r>
        <w:rPr>
          <w:rFonts w:hint="default" w:ascii="Times New Roman" w:hAnsi="Times New Roman" w:cs="Times New Roman"/>
          <w:b/>
          <w:color w:val="000000" w:themeColor="text1"/>
          <w:szCs w:val="24"/>
          <w14:textFill>
            <w14:solidFill>
              <w14:schemeClr w14:val="tx1"/>
            </w14:solidFill>
          </w14:textFill>
        </w:rPr>
        <w:fldChar w:fldCharType="separate"/>
      </w:r>
      <w:r>
        <w:rPr>
          <w:rFonts w:hint="default" w:ascii="Times New Roman" w:hAnsi="Times New Roman" w:cs="Times New Roman"/>
          <w:b/>
          <w:color w:val="000000" w:themeColor="text1"/>
          <w:szCs w:val="24"/>
          <w14:textFill>
            <w14:solidFill>
              <w14:schemeClr w14:val="tx1"/>
            </w14:solidFill>
          </w14:textFill>
        </w:rPr>
        <w:t>5</w:t>
      </w:r>
      <w:r>
        <w:rPr>
          <w:rFonts w:hint="default" w:ascii="Times New Roman" w:hAnsi="Times New Roman" w:cs="Times New Roman"/>
          <w:b/>
          <w:color w:val="000000" w:themeColor="text1"/>
          <w:szCs w:val="24"/>
          <w14:textFill>
            <w14:solidFill>
              <w14:schemeClr w14:val="tx1"/>
            </w14:solidFill>
          </w14:textFill>
        </w:rPr>
        <w:fldChar w:fldCharType="end"/>
      </w:r>
      <w:r>
        <w:rPr>
          <w:rFonts w:hint="default" w:ascii="Times New Roman" w:hAnsi="Times New Roman" w:cs="Times New Roman"/>
          <w:b/>
          <w:color w:val="000000" w:themeColor="text1"/>
          <w:szCs w:val="24"/>
          <w14:textFill>
            <w14:solidFill>
              <w14:schemeClr w14:val="tx1"/>
            </w14:solidFill>
          </w14:textFill>
        </w:rPr>
        <w:t xml:space="preserve">  常压蒸馏工程</w:t>
      </w:r>
      <w:r>
        <w:rPr>
          <w:rFonts w:hint="default" w:ascii="Times New Roman" w:hAnsi="Times New Roman" w:cs="Times New Roman"/>
          <w:b/>
          <w:bCs/>
          <w:color w:val="000000" w:themeColor="text1"/>
          <w:szCs w:val="24"/>
          <w14:textFill>
            <w14:solidFill>
              <w14:schemeClr w14:val="tx1"/>
            </w14:solidFill>
          </w14:textFill>
        </w:rPr>
        <w:t>无</w:t>
      </w:r>
      <w:r>
        <w:rPr>
          <w:rFonts w:hint="default" w:ascii="Times New Roman" w:hAnsi="Times New Roman" w:cs="Times New Roman"/>
          <w:b/>
          <w:bCs/>
          <w:color w:val="000000" w:themeColor="text1"/>
          <w:spacing w:val="-5"/>
          <w:szCs w:val="24"/>
          <w14:textFill>
            <w14:solidFill>
              <w14:schemeClr w14:val="tx1"/>
            </w14:solidFill>
          </w14:textFill>
        </w:rPr>
        <w:t>组</w:t>
      </w:r>
      <w:r>
        <w:rPr>
          <w:rFonts w:hint="default" w:ascii="Times New Roman" w:hAnsi="Times New Roman" w:cs="Times New Roman"/>
          <w:b/>
          <w:bCs/>
          <w:color w:val="000000" w:themeColor="text1"/>
          <w:szCs w:val="24"/>
          <w14:textFill>
            <w14:solidFill>
              <w14:schemeClr w14:val="tx1"/>
            </w14:solidFill>
          </w14:textFill>
        </w:rPr>
        <w:t>织排放</w:t>
      </w:r>
      <w:r>
        <w:rPr>
          <w:rFonts w:hint="default" w:ascii="Times New Roman" w:hAnsi="Times New Roman" w:cs="Times New Roman"/>
          <w:b/>
          <w:bCs/>
          <w:color w:val="000000" w:themeColor="text1"/>
          <w:spacing w:val="-5"/>
          <w:szCs w:val="24"/>
          <w14:textFill>
            <w14:solidFill>
              <w14:schemeClr w14:val="tx1"/>
            </w14:solidFill>
          </w14:textFill>
        </w:rPr>
        <w:t>检</w:t>
      </w:r>
      <w:r>
        <w:rPr>
          <w:rFonts w:hint="default" w:ascii="Times New Roman" w:hAnsi="Times New Roman" w:cs="Times New Roman"/>
          <w:b/>
          <w:bCs/>
          <w:color w:val="000000" w:themeColor="text1"/>
          <w:szCs w:val="24"/>
          <w14:textFill>
            <w14:solidFill>
              <w14:schemeClr w14:val="tx1"/>
            </w14:solidFill>
          </w14:textFill>
        </w:rPr>
        <w:t>测结果</w:t>
      </w:r>
      <w:r>
        <w:rPr>
          <w:rFonts w:hint="default" w:ascii="Times New Roman" w:hAnsi="Times New Roman" w:cs="Times New Roman"/>
          <w:b/>
          <w:bCs/>
          <w:color w:val="000000" w:themeColor="text1"/>
          <w:szCs w:val="24"/>
          <w14:textFill>
            <w14:solidFill>
              <w14:schemeClr w14:val="tx1"/>
            </w14:solidFill>
          </w14:textFill>
        </w:rPr>
        <w:tab/>
      </w:r>
      <w:r>
        <w:rPr>
          <w:rFonts w:hint="default" w:ascii="Times New Roman" w:hAnsi="Times New Roman" w:cs="Times New Roman"/>
          <w:b/>
          <w:bCs/>
          <w:color w:val="000000" w:themeColor="text1"/>
          <w:szCs w:val="24"/>
          <w14:textFill>
            <w14:solidFill>
              <w14:schemeClr w14:val="tx1"/>
            </w14:solidFill>
          </w14:textFill>
        </w:rPr>
        <w:t>计量单位</w:t>
      </w:r>
      <w:r>
        <w:rPr>
          <w:rFonts w:hint="default" w:ascii="Times New Roman" w:hAnsi="Times New Roman" w:cs="Times New Roman"/>
          <w:b/>
          <w:bCs/>
          <w:color w:val="000000" w:themeColor="text1"/>
          <w:spacing w:val="-3"/>
          <w:szCs w:val="24"/>
          <w14:textFill>
            <w14:solidFill>
              <w14:schemeClr w14:val="tx1"/>
            </w14:solidFill>
          </w14:textFill>
        </w:rPr>
        <w:t>：mg/m</w:t>
      </w:r>
      <w:r>
        <w:rPr>
          <w:rFonts w:hint="default" w:ascii="Times New Roman" w:hAnsi="Times New Roman" w:cs="Times New Roman"/>
          <w:b/>
          <w:bCs/>
          <w:color w:val="000000" w:themeColor="text1"/>
          <w:spacing w:val="-3"/>
          <w:szCs w:val="24"/>
          <w:vertAlign w:val="superscript"/>
          <w14:textFill>
            <w14:solidFill>
              <w14:schemeClr w14:val="tx1"/>
            </w14:solidFill>
          </w14:textFill>
        </w:rPr>
        <w:t>3</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1248"/>
        <w:gridCol w:w="1248"/>
        <w:gridCol w:w="1248"/>
        <w:gridCol w:w="1353"/>
        <w:gridCol w:w="1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检测指标</w:t>
            </w:r>
          </w:p>
        </w:tc>
        <w:tc>
          <w:tcPr>
            <w:tcW w:w="3656" w:type="pct"/>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2020年3月</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2020年4月</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2020年7月</w:t>
            </w:r>
          </w:p>
        </w:tc>
        <w:tc>
          <w:tcPr>
            <w:tcW w:w="7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2020年10月</w:t>
            </w:r>
          </w:p>
        </w:tc>
        <w:tc>
          <w:tcPr>
            <w:tcW w:w="89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平均值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非甲烷总烃</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2.39</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1.26</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0.78</w:t>
            </w:r>
          </w:p>
        </w:tc>
        <w:tc>
          <w:tcPr>
            <w:tcW w:w="7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2.95</w:t>
            </w:r>
          </w:p>
        </w:tc>
        <w:tc>
          <w:tcPr>
            <w:tcW w:w="89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标准值</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c>
          <w:tcPr>
            <w:tcW w:w="7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c>
          <w:tcPr>
            <w:tcW w:w="89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是否达标</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c>
          <w:tcPr>
            <w:tcW w:w="6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c>
          <w:tcPr>
            <w:tcW w:w="73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c>
          <w:tcPr>
            <w:tcW w:w="89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bl>
    <w:p>
      <w:pPr>
        <w:pStyle w:val="122"/>
        <w:keepNext/>
        <w:spacing w:line="360" w:lineRule="auto"/>
        <w:ind w:firstLine="480" w:firstLineChars="20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由上表</w:t>
      </w:r>
      <w:r>
        <w:rPr>
          <w:rFonts w:ascii="Times New Roman" w:hAnsi="Times New Roman" w:cs="Times New Roman"/>
          <w:color w:val="000000" w:themeColor="text1"/>
          <w:sz w:val="24"/>
          <w:szCs w:val="24"/>
          <w14:textFill>
            <w14:solidFill>
              <w14:schemeClr w14:val="tx1"/>
            </w14:solidFill>
          </w14:textFill>
        </w:rPr>
        <w:t>可知</w:t>
      </w:r>
      <w:r>
        <w:rPr>
          <w:rFonts w:ascii="Times New Roman" w:hAnsi="Times New Roman" w:cs="Times New Roman"/>
          <w:bCs/>
          <w:color w:val="000000" w:themeColor="text1"/>
          <w:sz w:val="24"/>
          <w:szCs w:val="24"/>
          <w14:textFill>
            <w14:solidFill>
              <w14:schemeClr w14:val="tx1"/>
            </w14:solidFill>
          </w14:textFill>
        </w:rPr>
        <w:t>，项目生产区无组织排放非甲烷总烃能满足《</w:t>
      </w:r>
      <w:r>
        <w:rPr>
          <w:rFonts w:hint="eastAsia" w:ascii="Times New Roman" w:hAnsi="Times New Roman" w:cs="Times New Roman"/>
          <w:bCs/>
          <w:color w:val="000000" w:themeColor="text1"/>
          <w:sz w:val="24"/>
          <w:szCs w:val="24"/>
          <w:lang w:eastAsia="zh-CN"/>
          <w14:textFill>
            <w14:solidFill>
              <w14:schemeClr w14:val="tx1"/>
            </w14:solidFill>
          </w14:textFill>
        </w:rPr>
        <w:t>石油炼制工业污染物排放标准</w:t>
      </w:r>
      <w:r>
        <w:rPr>
          <w:rFonts w:ascii="Times New Roman" w:hAnsi="Times New Roman" w:cs="Times New Roman"/>
          <w:bCs/>
          <w:color w:val="000000" w:themeColor="text1"/>
          <w:sz w:val="24"/>
          <w:szCs w:val="24"/>
          <w14:textFill>
            <w14:solidFill>
              <w14:schemeClr w14:val="tx1"/>
            </w14:solidFill>
          </w14:textFill>
        </w:rPr>
        <w:t>》（GB</w:t>
      </w:r>
      <w:r>
        <w:rPr>
          <w:rFonts w:hint="eastAsia" w:ascii="Times New Roman" w:hAnsi="Times New Roman" w:cs="Times New Roman"/>
          <w:bCs/>
          <w:color w:val="000000" w:themeColor="text1"/>
          <w:sz w:val="24"/>
          <w:szCs w:val="24"/>
          <w:lang w:val="en-US" w:eastAsia="zh-CN"/>
          <w14:textFill>
            <w14:solidFill>
              <w14:schemeClr w14:val="tx1"/>
            </w14:solidFill>
          </w14:textFill>
        </w:rPr>
        <w:t>31570</w:t>
      </w:r>
      <w:r>
        <w:rPr>
          <w:rFonts w:ascii="Times New Roman" w:hAnsi="Times New Roman" w:cs="Times New Roman"/>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2015</w:t>
      </w:r>
      <w:r>
        <w:rPr>
          <w:rFonts w:ascii="Times New Roman" w:hAnsi="Times New Roman" w:cs="Times New Roman"/>
          <w:bCs/>
          <w:color w:val="000000" w:themeColor="text1"/>
          <w:sz w:val="24"/>
          <w:szCs w:val="24"/>
          <w14:textFill>
            <w14:solidFill>
              <w14:schemeClr w14:val="tx1"/>
            </w14:solidFill>
          </w14:textFill>
        </w:rPr>
        <w:t>）表</w:t>
      </w:r>
      <w:r>
        <w:rPr>
          <w:rFonts w:hint="eastAsia" w:ascii="Times New Roman" w:hAnsi="Times New Roman" w:cs="Times New Roman"/>
          <w:bCs/>
          <w:color w:val="000000" w:themeColor="text1"/>
          <w:sz w:val="24"/>
          <w:szCs w:val="24"/>
          <w:lang w:val="en-US" w:eastAsia="zh-CN"/>
          <w14:textFill>
            <w14:solidFill>
              <w14:schemeClr w14:val="tx1"/>
            </w14:solidFill>
          </w14:textFill>
        </w:rPr>
        <w:t>5</w:t>
      </w:r>
      <w:r>
        <w:rPr>
          <w:rFonts w:ascii="Times New Roman" w:hAnsi="Times New Roman" w:cs="Times New Roman"/>
          <w:bCs/>
          <w:color w:val="000000" w:themeColor="text1"/>
          <w:sz w:val="24"/>
          <w:szCs w:val="24"/>
          <w14:textFill>
            <w14:solidFill>
              <w14:schemeClr w14:val="tx1"/>
            </w14:solidFill>
          </w14:textFill>
        </w:rPr>
        <w:t>无组织排放限值要求。</w:t>
      </w:r>
    </w:p>
    <w:p>
      <w:pPr>
        <w:pStyle w:val="6"/>
        <w:rPr>
          <w:color w:val="000000" w:themeColor="text1"/>
          <w14:textFill>
            <w14:solidFill>
              <w14:schemeClr w14:val="tx1"/>
            </w14:solidFill>
          </w14:textFill>
        </w:rPr>
      </w:pPr>
      <w:r>
        <w:rPr>
          <w:color w:val="000000" w:themeColor="text1"/>
          <w14:textFill>
            <w14:solidFill>
              <w14:schemeClr w14:val="tx1"/>
            </w14:solidFill>
          </w14:textFill>
        </w:rPr>
        <w:t>常压蒸馏</w:t>
      </w:r>
      <w:r>
        <w:rPr>
          <w:rFonts w:hint="eastAsia"/>
          <w:color w:val="000000" w:themeColor="text1"/>
          <w:lang w:eastAsia="zh-CN"/>
          <w14:textFill>
            <w14:solidFill>
              <w14:schemeClr w14:val="tx1"/>
            </w14:solidFill>
          </w14:textFill>
        </w:rPr>
        <w:t>装置</w:t>
      </w:r>
      <w:r>
        <w:rPr>
          <w:color w:val="000000" w:themeColor="text1"/>
          <w14:textFill>
            <w14:solidFill>
              <w14:schemeClr w14:val="tx1"/>
            </w14:solidFill>
          </w14:textFill>
        </w:rPr>
        <w:t>噪声污染源及处理</w:t>
      </w:r>
      <w:r>
        <w:rPr>
          <w:rStyle w:val="45"/>
          <w:rFonts w:hint="eastAsia" w:eastAsia="宋体"/>
          <w:b/>
          <w:bCs/>
          <w:color w:val="000000" w:themeColor="text1"/>
          <w:sz w:val="24"/>
          <w:szCs w:val="24"/>
          <w:lang w:eastAsia="zh-CN"/>
          <w14:textFill>
            <w14:solidFill>
              <w14:schemeClr w14:val="tx1"/>
            </w14:solidFill>
          </w14:textFill>
        </w:rPr>
        <w:t>措施</w:t>
      </w:r>
    </w:p>
    <w:p>
      <w:pPr>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（1）噪声产生及处理措施</w:t>
      </w:r>
    </w:p>
    <w:p>
      <w:pPr>
        <w:pStyle w:val="122"/>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现有装置噪声主要来自各种泵</w:t>
      </w:r>
      <w:r>
        <w:rPr>
          <w:rFonts w:hint="default" w:ascii="Times New Roman" w:hAnsi="Times New Roman" w:cs="Times New Roman"/>
          <w:color w:val="000000" w:themeColor="text1"/>
          <w:spacing w:val="-6"/>
          <w:sz w:val="24"/>
          <w:szCs w:val="24"/>
          <w14:textFill>
            <w14:solidFill>
              <w14:schemeClr w14:val="tx1"/>
            </w14:solidFill>
          </w14:textFill>
        </w:rPr>
        <w:t>。噪声控制主要为：在设备选型方面</w:t>
      </w:r>
      <w:r>
        <w:rPr>
          <w:rFonts w:hint="default" w:ascii="Times New Roman" w:hAnsi="Times New Roman" w:cs="Times New Roman"/>
          <w:color w:val="000000" w:themeColor="text1"/>
          <w:sz w:val="24"/>
          <w:szCs w:val="24"/>
          <w14:textFill>
            <w14:solidFill>
              <w14:schemeClr w14:val="tx1"/>
            </w14:solidFill>
          </w14:textFill>
        </w:rPr>
        <w:t>采用一些低噪声设备、隔声减震等措施。</w:t>
      </w:r>
    </w:p>
    <w:p>
      <w:pPr>
        <w:spacing w:line="360" w:lineRule="auto"/>
        <w:ind w:firstLine="480"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（2）噪声监测结果及评价</w:t>
      </w:r>
    </w:p>
    <w:p>
      <w:pPr>
        <w:pStyle w:val="122"/>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中石化巴陵石油化工有限公司</w:t>
      </w:r>
      <w:r>
        <w:rPr>
          <w:rFonts w:hint="default" w:ascii="Times New Roman" w:hAnsi="Times New Roman" w:cs="Times New Roman"/>
          <w:color w:val="000000" w:themeColor="text1"/>
          <w:sz w:val="24"/>
          <w:szCs w:val="24"/>
          <w14:textFill>
            <w14:solidFill>
              <w14:schemeClr w14:val="tx1"/>
            </w14:solidFill>
          </w14:textFill>
        </w:rPr>
        <w:t>3~9月定期对炼油部厂界噪声现状监测结果可知其昼间噪声值范围为49~52d</w:t>
      </w:r>
      <w:r>
        <w:rPr>
          <w:rFonts w:hint="default" w:ascii="Times New Roman" w:hAnsi="Times New Roman" w:cs="Times New Roman"/>
          <w:color w:val="000000" w:themeColor="text1"/>
          <w:sz w:val="24"/>
          <w:szCs w:val="24"/>
          <w:lang w:val="en-US" w:eastAsia="zh-CN"/>
          <w14:textFill>
            <w14:solidFill>
              <w14:schemeClr w14:val="tx1"/>
            </w14:solidFill>
          </w14:textFill>
        </w:rPr>
        <w:t>B</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)，夜间噪声值范围为41~45d</w:t>
      </w:r>
      <w:r>
        <w:rPr>
          <w:rFonts w:hint="default" w:ascii="Times New Roman" w:hAnsi="Times New Roman" w:cs="Times New Roman"/>
          <w:color w:val="000000" w:themeColor="text1"/>
          <w:sz w:val="24"/>
          <w:szCs w:val="24"/>
          <w:lang w:val="en-US" w:eastAsia="zh-CN"/>
          <w14:textFill>
            <w14:solidFill>
              <w14:schemeClr w14:val="tx1"/>
            </w14:solidFill>
          </w14:textFill>
        </w:rPr>
        <w:t>B</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)，符合《工业企业厂界环境噪声排放标准》（GB12348-2008）的3标准要求。</w:t>
      </w:r>
    </w:p>
    <w:p>
      <w:pPr>
        <w:pStyle w:val="6"/>
        <w:rPr>
          <w:rFonts w:hint="default" w:ascii="Times New Roman" w:hAnsi="Times New Roman" w:cs="Times New Roman"/>
          <w:snapToGrid w:val="0"/>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常压蒸馏</w:t>
      </w:r>
      <w:r>
        <w:rPr>
          <w:rFonts w:hint="eastAsia" w:ascii="Times New Roman" w:hAnsi="Times New Roman" w:cs="Times New Roman"/>
          <w:color w:val="000000" w:themeColor="text1"/>
          <w:lang w:eastAsia="zh-CN"/>
          <w14:textFill>
            <w14:solidFill>
              <w14:schemeClr w14:val="tx1"/>
            </w14:solidFill>
          </w14:textFill>
        </w:rPr>
        <w:t>装置</w:t>
      </w:r>
      <w:r>
        <w:rPr>
          <w:rFonts w:hint="default" w:ascii="Times New Roman" w:hAnsi="Times New Roman" w:cs="Times New Roman"/>
          <w:snapToGrid w:val="0"/>
          <w:color w:val="000000" w:themeColor="text1"/>
          <w14:textFill>
            <w14:solidFill>
              <w14:schemeClr w14:val="tx1"/>
            </w14:solidFill>
          </w14:textFill>
        </w:rPr>
        <w:t>固废污染源及处理措施</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常压装置产品主要有：气体、石脑油、柴油、常压渣油，并无其他固废产生。本项目劳动定员40人，年工作330天，生活垃圾产生量若按每人每天0.5kg计算，则生活垃圾产生量为0.165t/a。</w:t>
      </w:r>
    </w:p>
    <w:p>
      <w:pPr>
        <w:pStyle w:val="6"/>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常压蒸馏装置环境风险措施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5"/>
          <w:sz w:val="24"/>
          <w:szCs w:val="24"/>
          <w14:textFill>
            <w14:solidFill>
              <w14:schemeClr w14:val="tx1"/>
            </w14:solidFill>
          </w14:textFill>
        </w:rPr>
        <w:t>装置区、储罐区周边设立明显的禁止明火</w:t>
      </w:r>
      <w:r>
        <w:rPr>
          <w:rFonts w:hint="default" w:ascii="Times New Roman" w:hAnsi="Times New Roman" w:cs="Times New Roman"/>
          <w:color w:val="000000" w:themeColor="text1"/>
          <w:spacing w:val="-9"/>
          <w:sz w:val="24"/>
          <w:szCs w:val="24"/>
          <w14:textFill>
            <w14:solidFill>
              <w14:schemeClr w14:val="tx1"/>
            </w14:solidFill>
          </w14:textFill>
        </w:rPr>
        <w:t>标志、安全防火标志和防火距离警示牌及火灾报警信号</w:t>
      </w:r>
      <w:r>
        <w:rPr>
          <w:rFonts w:hint="default" w:ascii="Times New Roman" w:hAnsi="Times New Roman" w:cs="Times New Roman"/>
          <w:color w:val="000000" w:themeColor="text1"/>
          <w:sz w:val="24"/>
          <w:szCs w:val="24"/>
          <w14:textFill>
            <w14:solidFill>
              <w14:schemeClr w14:val="tx1"/>
            </w14:solidFill>
          </w14:textFill>
        </w:rPr>
        <w:t>系统，并配备各种消防器材。本项目依托巴陵石化分公司事故应急池，该事故应急池有效容积为20000m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，初期雨水排入含油污水预处理系统处理后排入巴陵石化水务部云溪生化装置处理，后期雨水通过清污分流切换阀进入公司雨水排放沟，最后流入松阳湖。</w:t>
      </w:r>
    </w:p>
    <w:p>
      <w:pPr>
        <w:pStyle w:val="6"/>
        <w:rPr>
          <w:color w:val="000000" w:themeColor="text1"/>
          <w14:textFill>
            <w14:solidFill>
              <w14:schemeClr w14:val="tx1"/>
            </w14:solidFill>
          </w14:textFill>
        </w:rPr>
      </w:pPr>
      <w:r>
        <w:rPr>
          <w:color w:val="000000" w:themeColor="text1"/>
          <w14:textFill>
            <w14:solidFill>
              <w14:schemeClr w14:val="tx1"/>
            </w14:solidFill>
          </w14:textFill>
        </w:rPr>
        <w:t>现有常压蒸馏工程污染物排放汇总</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本次评价根据装置运行情况及污染源现状监测数据，对现有工程污染物排放情况汇总，详见下表所示。</w:t>
      </w:r>
    </w:p>
    <w:p>
      <w:pPr>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3</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6</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t xml:space="preserve">  </w:t>
      </w:r>
      <w:r>
        <w:rPr>
          <w:b/>
          <w:bCs/>
          <w:color w:val="000000" w:themeColor="text1"/>
          <w:szCs w:val="24"/>
          <w14:textFill>
            <w14:solidFill>
              <w14:schemeClr w14:val="tx1"/>
            </w14:solidFill>
          </w14:textFill>
        </w:rPr>
        <w:t>现有常压蒸馏工</w:t>
      </w:r>
      <w:r>
        <w:rPr>
          <w:b/>
          <w:bCs/>
          <w:color w:val="000000" w:themeColor="text1"/>
          <w:spacing w:val="-5"/>
          <w:szCs w:val="24"/>
          <w14:textFill>
            <w14:solidFill>
              <w14:schemeClr w14:val="tx1"/>
            </w14:solidFill>
          </w14:textFill>
        </w:rPr>
        <w:t>程</w:t>
      </w:r>
      <w:r>
        <w:rPr>
          <w:b/>
          <w:bCs/>
          <w:color w:val="000000" w:themeColor="text1"/>
          <w:szCs w:val="24"/>
          <w14:textFill>
            <w14:solidFill>
              <w14:schemeClr w14:val="tx1"/>
            </w14:solidFill>
          </w14:textFill>
        </w:rPr>
        <w:t>污染物</w:t>
      </w:r>
      <w:r>
        <w:rPr>
          <w:b/>
          <w:bCs/>
          <w:color w:val="000000" w:themeColor="text1"/>
          <w:spacing w:val="-5"/>
          <w:szCs w:val="24"/>
          <w14:textFill>
            <w14:solidFill>
              <w14:schemeClr w14:val="tx1"/>
            </w14:solidFill>
          </w14:textFill>
        </w:rPr>
        <w:t>排</w:t>
      </w:r>
      <w:r>
        <w:rPr>
          <w:b/>
          <w:bCs/>
          <w:color w:val="000000" w:themeColor="text1"/>
          <w:szCs w:val="24"/>
          <w14:textFill>
            <w14:solidFill>
              <w14:schemeClr w14:val="tx1"/>
            </w14:solidFill>
          </w14:textFill>
        </w:rPr>
        <w:t>放量</w:t>
      </w:r>
      <w:r>
        <w:rPr>
          <w:b/>
          <w:bCs/>
          <w:color w:val="000000" w:themeColor="text1"/>
          <w:spacing w:val="-5"/>
          <w:szCs w:val="24"/>
          <w14:textFill>
            <w14:solidFill>
              <w14:schemeClr w14:val="tx1"/>
            </w14:solidFill>
          </w14:textFill>
        </w:rPr>
        <w:t>汇</w:t>
      </w:r>
      <w:r>
        <w:rPr>
          <w:b/>
          <w:bCs/>
          <w:color w:val="000000" w:themeColor="text1"/>
          <w:szCs w:val="24"/>
          <w14:textFill>
            <w14:solidFill>
              <w14:schemeClr w14:val="tx1"/>
            </w14:solidFill>
          </w14:textFill>
        </w:rPr>
        <w:t>总</w:t>
      </w:r>
    </w:p>
    <w:tbl>
      <w:tblPr>
        <w:tblStyle w:val="4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32"/>
        <w:gridCol w:w="899"/>
        <w:gridCol w:w="735"/>
        <w:gridCol w:w="1166"/>
        <w:gridCol w:w="1226"/>
        <w:gridCol w:w="1406"/>
        <w:gridCol w:w="29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848" w:type="pct"/>
            <w:gridSpan w:val="2"/>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类别</w:t>
            </w:r>
          </w:p>
        </w:tc>
        <w:tc>
          <w:tcPr>
            <w:tcW w:w="407" w:type="pct"/>
            <w:noWrap w:val="0"/>
            <w:vAlign w:val="center"/>
          </w:tcPr>
          <w:p>
            <w:pPr>
              <w:pStyle w:val="112"/>
              <w:keepNext w:val="0"/>
              <w:keepLines w:val="0"/>
              <w:suppressLineNumbers w:val="0"/>
              <w:spacing w:before="73" w:beforeAutospacing="0" w:after="0" w:afterAutospacing="0"/>
              <w:ind w:left="124" w:right="9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项目名称</w:t>
            </w:r>
          </w:p>
        </w:tc>
        <w:tc>
          <w:tcPr>
            <w:tcW w:w="646" w:type="pct"/>
            <w:noWrap w:val="0"/>
            <w:vAlign w:val="center"/>
          </w:tcPr>
          <w:p>
            <w:pPr>
              <w:pStyle w:val="112"/>
              <w:keepNext w:val="0"/>
              <w:keepLines w:val="0"/>
              <w:suppressLineNumbers w:val="0"/>
              <w:spacing w:before="73" w:beforeAutospacing="0" w:after="0" w:afterAutospacing="0"/>
              <w:ind w:left="108" w:right="76"/>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环评排放总量</w:t>
            </w:r>
            <w:r>
              <w:rPr>
                <w:rFonts w:ascii="Times New Roman" w:hAnsi="Times New Roman" w:cs="Times New Roman"/>
                <w:bCs/>
                <w:color w:val="000000" w:themeColor="text1"/>
                <w:sz w:val="21"/>
                <w:szCs w:val="21"/>
                <w14:textFill>
                  <w14:solidFill>
                    <w14:schemeClr w14:val="tx1"/>
                  </w14:solidFill>
                </w14:textFill>
              </w:rPr>
              <w:t>(t/a)</w:t>
            </w:r>
          </w:p>
        </w:tc>
        <w:tc>
          <w:tcPr>
            <w:tcW w:w="679" w:type="pct"/>
            <w:noWrap w:val="0"/>
            <w:vAlign w:val="center"/>
          </w:tcPr>
          <w:p>
            <w:pPr>
              <w:pStyle w:val="112"/>
              <w:keepNext w:val="0"/>
              <w:keepLines w:val="0"/>
              <w:suppressLineNumbers w:val="0"/>
              <w:spacing w:before="73" w:beforeAutospacing="0" w:after="0" w:afterAutospacing="0"/>
              <w:ind w:left="108" w:right="76"/>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验收排放总量</w:t>
            </w:r>
            <w:r>
              <w:rPr>
                <w:rFonts w:ascii="Times New Roman" w:hAnsi="Times New Roman" w:cs="Times New Roman"/>
                <w:bCs/>
                <w:color w:val="000000" w:themeColor="text1"/>
                <w:sz w:val="21"/>
                <w:szCs w:val="21"/>
                <w14:textFill>
                  <w14:solidFill>
                    <w14:schemeClr w14:val="tx1"/>
                  </w14:solidFill>
                </w14:textFill>
              </w:rPr>
              <w:t>(t/a)</w:t>
            </w:r>
          </w:p>
        </w:tc>
        <w:tc>
          <w:tcPr>
            <w:tcW w:w="779" w:type="pct"/>
            <w:noWrap w:val="0"/>
            <w:vAlign w:val="center"/>
          </w:tcPr>
          <w:p>
            <w:pPr>
              <w:pStyle w:val="112"/>
              <w:keepNext w:val="0"/>
              <w:keepLines w:val="0"/>
              <w:suppressLineNumbers w:val="0"/>
              <w:spacing w:before="73" w:beforeAutospacing="0" w:after="0" w:afterAutospacing="0"/>
              <w:ind w:left="108" w:right="76"/>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实际排放总量</w:t>
            </w:r>
            <w:r>
              <w:rPr>
                <w:rFonts w:ascii="Times New Roman" w:hAnsi="Times New Roman" w:cs="Times New Roman"/>
                <w:bCs/>
                <w:color w:val="000000" w:themeColor="text1"/>
                <w:sz w:val="21"/>
                <w:szCs w:val="21"/>
                <w14:textFill>
                  <w14:solidFill>
                    <w14:schemeClr w14:val="tx1"/>
                  </w14:solidFill>
                </w14:textFill>
              </w:rPr>
              <w:t>(t/a)</w:t>
            </w:r>
          </w:p>
        </w:tc>
        <w:tc>
          <w:tcPr>
            <w:tcW w:w="1638" w:type="pct"/>
            <w:vMerge w:val="restart"/>
            <w:noWrap w:val="0"/>
            <w:vAlign w:val="center"/>
          </w:tcPr>
          <w:p>
            <w:pPr>
              <w:pStyle w:val="112"/>
              <w:keepNext w:val="0"/>
              <w:keepLines w:val="0"/>
              <w:suppressLineNumbers w:val="0"/>
              <w:spacing w:before="73" w:beforeAutospacing="0" w:after="0" w:afterAutospacing="0"/>
              <w:ind w:left="0" w:right="135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 xml:space="preserve">           </w:t>
            </w:r>
            <w:r>
              <w:rPr>
                <w:rFonts w:ascii="Times New Roman" w:hAnsi="Times New Roman" w:cs="Times New Roman"/>
                <w:bCs/>
                <w:color w:val="000000" w:themeColor="text1"/>
                <w:sz w:val="21"/>
                <w:szCs w:val="2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50" w:type="pct"/>
            <w:vMerge w:val="restart"/>
            <w:noWrap w:val="0"/>
            <w:vAlign w:val="center"/>
          </w:tcPr>
          <w:p>
            <w:pPr>
              <w:pStyle w:val="112"/>
              <w:keepNext w:val="0"/>
              <w:keepLines w:val="0"/>
              <w:suppressLineNumbers w:val="0"/>
              <w:spacing w:before="0" w:beforeAutospacing="0" w:after="0" w:afterAutospacing="0"/>
              <w:ind w:left="0" w:righ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废气</w:t>
            </w:r>
          </w:p>
        </w:tc>
        <w:tc>
          <w:tcPr>
            <w:tcW w:w="498" w:type="pct"/>
            <w:vMerge w:val="restart"/>
            <w:noWrap w:val="0"/>
            <w:vAlign w:val="center"/>
          </w:tcPr>
          <w:p>
            <w:pPr>
              <w:pStyle w:val="112"/>
              <w:keepNext w:val="0"/>
              <w:keepLines w:val="0"/>
              <w:suppressLineNumbers w:val="0"/>
              <w:spacing w:before="0" w:beforeAutospacing="0" w:after="0" w:afterAutospacing="0"/>
              <w:ind w:left="132" w:righ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有组织</w:t>
            </w:r>
          </w:p>
        </w:tc>
        <w:tc>
          <w:tcPr>
            <w:tcW w:w="407" w:type="pct"/>
            <w:noWrap w:val="0"/>
            <w:vAlign w:val="center"/>
          </w:tcPr>
          <w:p>
            <w:pPr>
              <w:pStyle w:val="112"/>
              <w:keepNext w:val="0"/>
              <w:keepLines w:val="0"/>
              <w:suppressLineNumbers w:val="0"/>
              <w:spacing w:before="34" w:beforeAutospacing="0" w:after="0" w:afterAutospacing="0"/>
              <w:ind w:left="124" w:right="95"/>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SO</w:t>
            </w:r>
            <w:r>
              <w:rPr>
                <w:rFonts w:ascii="Times New Roman" w:hAnsi="Times New Roman" w:cs="Times New Roman"/>
                <w:color w:val="000000" w:themeColor="text1"/>
                <w:sz w:val="21"/>
                <w:szCs w:val="21"/>
                <w:vertAlign w:val="subscript"/>
                <w14:textFill>
                  <w14:solidFill>
                    <w14:schemeClr w14:val="tx1"/>
                  </w14:solidFill>
                </w14:textFill>
              </w:rPr>
              <w:t>2</w:t>
            </w:r>
          </w:p>
        </w:tc>
        <w:tc>
          <w:tcPr>
            <w:tcW w:w="646" w:type="pct"/>
            <w:noWrap w:val="0"/>
            <w:vAlign w:val="center"/>
          </w:tcPr>
          <w:p>
            <w:pPr>
              <w:pStyle w:val="112"/>
              <w:keepNext w:val="0"/>
              <w:keepLines w:val="0"/>
              <w:suppressLineNumbers w:val="0"/>
              <w:spacing w:before="34"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2.56</w:t>
            </w:r>
          </w:p>
        </w:tc>
        <w:tc>
          <w:tcPr>
            <w:tcW w:w="679" w:type="pct"/>
            <w:noWrap w:val="0"/>
            <w:vAlign w:val="center"/>
          </w:tcPr>
          <w:p>
            <w:pPr>
              <w:pStyle w:val="112"/>
              <w:keepNext w:val="0"/>
              <w:keepLines w:val="0"/>
              <w:suppressLineNumbers w:val="0"/>
              <w:spacing w:before="34"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2.33</w:t>
            </w:r>
          </w:p>
        </w:tc>
        <w:tc>
          <w:tcPr>
            <w:tcW w:w="779" w:type="pct"/>
            <w:noWrap w:val="0"/>
            <w:vAlign w:val="center"/>
          </w:tcPr>
          <w:p>
            <w:pPr>
              <w:pStyle w:val="112"/>
              <w:keepNext w:val="0"/>
              <w:keepLines w:val="0"/>
              <w:suppressLineNumbers w:val="0"/>
              <w:spacing w:before="34"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2.02</w:t>
            </w:r>
          </w:p>
        </w:tc>
        <w:tc>
          <w:tcPr>
            <w:tcW w:w="1638" w:type="pct"/>
            <w:vMerge w:val="restart"/>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根据现状监测值核算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9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34" w:beforeAutospacing="0" w:after="0" w:afterAutospacing="0"/>
              <w:ind w:left="124" w:right="9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NO</w:t>
            </w:r>
            <w:r>
              <w:rPr>
                <w:rFonts w:ascii="Times New Roman" w:hAnsi="Times New Roman" w:cs="Times New Roman"/>
                <w:color w:val="000000" w:themeColor="text1"/>
                <w:sz w:val="21"/>
                <w:szCs w:val="21"/>
                <w:vertAlign w:val="subscript"/>
                <w14:textFill>
                  <w14:solidFill>
                    <w14:schemeClr w14:val="tx1"/>
                  </w14:solidFill>
                </w14:textFill>
              </w:rPr>
              <w:t>X</w:t>
            </w:r>
          </w:p>
        </w:tc>
        <w:tc>
          <w:tcPr>
            <w:tcW w:w="646" w:type="pct"/>
            <w:noWrap w:val="0"/>
            <w:vAlign w:val="center"/>
          </w:tcPr>
          <w:p>
            <w:pPr>
              <w:pStyle w:val="112"/>
              <w:keepNext w:val="0"/>
              <w:keepLines w:val="0"/>
              <w:suppressLineNumbers w:val="0"/>
              <w:spacing w:before="34"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7.89</w:t>
            </w:r>
          </w:p>
        </w:tc>
        <w:tc>
          <w:tcPr>
            <w:tcW w:w="679" w:type="pct"/>
            <w:noWrap w:val="0"/>
            <w:vAlign w:val="center"/>
          </w:tcPr>
          <w:p>
            <w:pPr>
              <w:pStyle w:val="112"/>
              <w:keepNext w:val="0"/>
              <w:keepLines w:val="0"/>
              <w:suppressLineNumbers w:val="0"/>
              <w:spacing w:before="34"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7.34</w:t>
            </w:r>
          </w:p>
        </w:tc>
        <w:tc>
          <w:tcPr>
            <w:tcW w:w="779" w:type="pct"/>
            <w:noWrap w:val="0"/>
            <w:vAlign w:val="center"/>
          </w:tcPr>
          <w:p>
            <w:pPr>
              <w:pStyle w:val="112"/>
              <w:keepNext w:val="0"/>
              <w:keepLines w:val="0"/>
              <w:suppressLineNumbers w:val="0"/>
              <w:spacing w:before="34"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6.65</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50"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9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20" w:beforeAutospacing="0" w:after="0" w:afterAutospacing="0" w:line="268" w:lineRule="exact"/>
              <w:ind w:left="124" w:right="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p>
        </w:tc>
        <w:tc>
          <w:tcPr>
            <w:tcW w:w="646" w:type="pct"/>
            <w:noWrap w:val="0"/>
            <w:vAlign w:val="center"/>
          </w:tcPr>
          <w:p>
            <w:pPr>
              <w:pStyle w:val="112"/>
              <w:keepNext w:val="0"/>
              <w:keepLines w:val="0"/>
              <w:suppressLineNumbers w:val="0"/>
              <w:spacing w:before="30" w:beforeAutospacing="0" w:after="0" w:afterAutospacing="0"/>
              <w:ind w:left="103"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w:t>
            </w:r>
          </w:p>
        </w:tc>
        <w:tc>
          <w:tcPr>
            <w:tcW w:w="679" w:type="pct"/>
            <w:noWrap w:val="0"/>
            <w:vAlign w:val="center"/>
          </w:tcPr>
          <w:p>
            <w:pPr>
              <w:pStyle w:val="112"/>
              <w:keepNext w:val="0"/>
              <w:keepLines w:val="0"/>
              <w:suppressLineNumbers w:val="0"/>
              <w:spacing w:before="30" w:beforeAutospacing="0" w:after="0" w:afterAutospacing="0"/>
              <w:ind w:left="103"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0.66</w:t>
            </w:r>
          </w:p>
        </w:tc>
        <w:tc>
          <w:tcPr>
            <w:tcW w:w="779" w:type="pct"/>
            <w:noWrap w:val="0"/>
            <w:vAlign w:val="center"/>
          </w:tcPr>
          <w:p>
            <w:pPr>
              <w:pStyle w:val="112"/>
              <w:keepNext w:val="0"/>
              <w:keepLines w:val="0"/>
              <w:suppressLineNumbers w:val="0"/>
              <w:spacing w:before="30" w:beforeAutospacing="0" w:after="0" w:afterAutospacing="0"/>
              <w:ind w:left="103"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0.84</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0"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98" w:type="pct"/>
            <w:noWrap w:val="0"/>
            <w:vAlign w:val="center"/>
          </w:tcPr>
          <w:p>
            <w:pPr>
              <w:pStyle w:val="112"/>
              <w:keepNext w:val="0"/>
              <w:keepLines w:val="0"/>
              <w:suppressLineNumbers w:val="0"/>
              <w:spacing w:before="24" w:beforeAutospacing="0" w:after="0" w:afterAutospacing="0" w:line="269" w:lineRule="exact"/>
              <w:ind w:left="132" w:righ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无组织</w:t>
            </w:r>
          </w:p>
        </w:tc>
        <w:tc>
          <w:tcPr>
            <w:tcW w:w="407" w:type="pct"/>
            <w:noWrap w:val="0"/>
            <w:vAlign w:val="center"/>
          </w:tcPr>
          <w:p>
            <w:pPr>
              <w:pStyle w:val="112"/>
              <w:keepNext w:val="0"/>
              <w:keepLines w:val="0"/>
              <w:suppressLineNumbers w:val="0"/>
              <w:spacing w:before="24" w:beforeAutospacing="0" w:after="0" w:afterAutospacing="0" w:line="269" w:lineRule="exact"/>
              <w:ind w:left="124" w:right="9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非甲烷总烃</w:t>
            </w:r>
          </w:p>
        </w:tc>
        <w:tc>
          <w:tcPr>
            <w:tcW w:w="646" w:type="pct"/>
            <w:noWrap w:val="0"/>
            <w:vAlign w:val="center"/>
          </w:tcPr>
          <w:p>
            <w:pPr>
              <w:pStyle w:val="112"/>
              <w:keepNext w:val="0"/>
              <w:keepLines w:val="0"/>
              <w:suppressLineNumbers w:val="0"/>
              <w:spacing w:before="34" w:beforeAutospacing="0" w:after="0" w:afterAutospacing="0"/>
              <w:ind w:left="27" w:right="0"/>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w:t>
            </w:r>
          </w:p>
        </w:tc>
        <w:tc>
          <w:tcPr>
            <w:tcW w:w="679" w:type="pct"/>
            <w:noWrap w:val="0"/>
            <w:vAlign w:val="center"/>
          </w:tcPr>
          <w:p>
            <w:pPr>
              <w:pStyle w:val="112"/>
              <w:keepNext w:val="0"/>
              <w:keepLines w:val="0"/>
              <w:suppressLineNumbers w:val="0"/>
              <w:spacing w:before="34" w:beforeAutospacing="0" w:after="0" w:afterAutospacing="0"/>
              <w:ind w:left="27"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0.45</w:t>
            </w:r>
          </w:p>
        </w:tc>
        <w:tc>
          <w:tcPr>
            <w:tcW w:w="779" w:type="pct"/>
            <w:noWrap w:val="0"/>
            <w:vAlign w:val="center"/>
          </w:tcPr>
          <w:p>
            <w:pPr>
              <w:pStyle w:val="112"/>
              <w:keepNext w:val="0"/>
              <w:keepLines w:val="0"/>
              <w:suppressLineNumbers w:val="0"/>
              <w:spacing w:before="34" w:beforeAutospacing="0" w:after="0" w:afterAutospacing="0"/>
              <w:ind w:left="27" w:right="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0.48</w:t>
            </w:r>
          </w:p>
        </w:tc>
        <w:tc>
          <w:tcPr>
            <w:tcW w:w="1638" w:type="pct"/>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装置区动静密封点泄露会产生挥发性有机废气，根据统计现有设备动静密封点数量，结合《排污许可证申请与核发技术规范石化工业》（HJ 853-2017）中推荐公式，计算出装置区动静密封点的泄露约为0.48t/a。该类废气以无组织形式排放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8" w:type="pct"/>
            <w:gridSpan w:val="2"/>
            <w:vMerge w:val="restart"/>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w:t>
            </w:r>
          </w:p>
        </w:tc>
        <w:tc>
          <w:tcPr>
            <w:tcW w:w="407" w:type="pct"/>
            <w:noWrap w:val="0"/>
            <w:vAlign w:val="center"/>
          </w:tcPr>
          <w:p>
            <w:pPr>
              <w:pStyle w:val="112"/>
              <w:keepNext w:val="0"/>
              <w:keepLines w:val="0"/>
              <w:suppressLineNumbers w:val="0"/>
              <w:spacing w:before="24" w:beforeAutospacing="0" w:after="0" w:afterAutospacing="0" w:line="268" w:lineRule="exact"/>
              <w:ind w:left="124" w:right="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废水量</w:t>
            </w:r>
          </w:p>
        </w:tc>
        <w:tc>
          <w:tcPr>
            <w:tcW w:w="646" w:type="pct"/>
            <w:noWrap w:val="0"/>
            <w:vAlign w:val="center"/>
          </w:tcPr>
          <w:p>
            <w:pPr>
              <w:pStyle w:val="112"/>
              <w:keepNext w:val="0"/>
              <w:keepLines w:val="0"/>
              <w:suppressLineNumbers w:val="0"/>
              <w:spacing w:before="34" w:beforeAutospacing="0" w:after="0" w:afterAutospacing="0"/>
              <w:ind w:left="106" w:right="76"/>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1200</w:t>
            </w:r>
          </w:p>
        </w:tc>
        <w:tc>
          <w:tcPr>
            <w:tcW w:w="679" w:type="pct"/>
            <w:noWrap w:val="0"/>
            <w:vAlign w:val="center"/>
          </w:tcPr>
          <w:p>
            <w:pPr>
              <w:pStyle w:val="112"/>
              <w:keepNext w:val="0"/>
              <w:keepLines w:val="0"/>
              <w:suppressLineNumbers w:val="0"/>
              <w:spacing w:before="34" w:beforeAutospacing="0" w:after="0" w:afterAutospacing="0"/>
              <w:ind w:left="106"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1200</w:t>
            </w:r>
          </w:p>
        </w:tc>
        <w:tc>
          <w:tcPr>
            <w:tcW w:w="779" w:type="pct"/>
            <w:noWrap w:val="0"/>
            <w:vAlign w:val="center"/>
          </w:tcPr>
          <w:p>
            <w:pPr>
              <w:pStyle w:val="112"/>
              <w:keepNext w:val="0"/>
              <w:keepLines w:val="0"/>
              <w:suppressLineNumbers w:val="0"/>
              <w:spacing w:before="34" w:beforeAutospacing="0" w:after="0" w:afterAutospacing="0"/>
              <w:ind w:left="106"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1104</w:t>
            </w:r>
          </w:p>
        </w:tc>
        <w:tc>
          <w:tcPr>
            <w:tcW w:w="1638" w:type="pct"/>
            <w:vMerge w:val="restart"/>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1819" w:right="106" w:hanging="1681"/>
              <w:jc w:val="center"/>
              <w:textAlignment w:val="auto"/>
              <w:rPr>
                <w:rFonts w:ascii="Times New Roman" w:hAnsi="Times New Roman" w:cs="Times New Roman"/>
                <w:color w:val="000000" w:themeColor="text1"/>
                <w:sz w:val="21"/>
                <w:szCs w:val="21"/>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jc w:val="center"/>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排放浓度按</w:t>
            </w:r>
            <w:r>
              <w:rPr>
                <w:rFonts w:hint="eastAsia" w:ascii="Times New Roman" w:hAnsi="Times New Roman" w:cs="Times New Roman"/>
                <w:color w:val="000000" w:themeColor="text1"/>
                <w:sz w:val="21"/>
                <w:szCs w:val="21"/>
                <w14:textFill>
                  <w14:solidFill>
                    <w14:schemeClr w14:val="tx1"/>
                  </w14:solidFill>
                </w14:textFill>
              </w:rPr>
              <w:t>巴陵石化水务部云溪生化装置</w:t>
            </w:r>
            <w:r>
              <w:rPr>
                <w:rFonts w:hint="eastAsia" w:ascii="Times New Roman" w:hAnsi="Times New Roman" w:cs="Times New Roman"/>
                <w:color w:val="000000" w:themeColor="text1"/>
                <w:sz w:val="21"/>
                <w:szCs w:val="21"/>
                <w:lang w:eastAsia="zh-CN"/>
                <w14:textFill>
                  <w14:solidFill>
                    <w14:schemeClr w14:val="tx1"/>
                  </w14:solidFill>
                </w14:textFill>
              </w:rPr>
              <w:t>废水</w:t>
            </w:r>
            <w:r>
              <w:rPr>
                <w:rFonts w:ascii="Times New Roman" w:hAnsi="Times New Roman" w:cs="Times New Roman"/>
                <w:color w:val="000000" w:themeColor="text1"/>
                <w:sz w:val="21"/>
                <w:szCs w:val="21"/>
                <w14:textFill>
                  <w14:solidFill>
                    <w14:schemeClr w14:val="tx1"/>
                  </w14:solidFill>
                </w14:textFill>
              </w:rPr>
              <w:t>排放标准计算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48"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35" w:beforeAutospacing="0" w:after="0" w:afterAutospacing="0"/>
              <w:ind w:left="124" w:right="9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w:t>
            </w:r>
          </w:p>
        </w:tc>
        <w:tc>
          <w:tcPr>
            <w:tcW w:w="646" w:type="pct"/>
            <w:noWrap w:val="0"/>
            <w:vAlign w:val="center"/>
          </w:tcPr>
          <w:p>
            <w:pPr>
              <w:pStyle w:val="112"/>
              <w:keepNext w:val="0"/>
              <w:keepLines w:val="0"/>
              <w:suppressLineNumbers w:val="0"/>
              <w:spacing w:before="35"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0.079</w:t>
            </w:r>
          </w:p>
        </w:tc>
        <w:tc>
          <w:tcPr>
            <w:tcW w:w="679" w:type="pct"/>
            <w:noWrap w:val="0"/>
            <w:vAlign w:val="center"/>
          </w:tcPr>
          <w:p>
            <w:pPr>
              <w:pStyle w:val="112"/>
              <w:keepNext w:val="0"/>
              <w:keepLines w:val="0"/>
              <w:suppressLineNumbers w:val="0"/>
              <w:spacing w:before="35"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0.078</w:t>
            </w:r>
          </w:p>
        </w:tc>
        <w:tc>
          <w:tcPr>
            <w:tcW w:w="779" w:type="pct"/>
            <w:noWrap w:val="0"/>
            <w:vAlign w:val="center"/>
          </w:tcPr>
          <w:p>
            <w:pPr>
              <w:pStyle w:val="112"/>
              <w:keepNext w:val="0"/>
              <w:keepLines w:val="0"/>
              <w:suppressLineNumbers w:val="0"/>
              <w:spacing w:before="35"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0.066</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48"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20" w:beforeAutospacing="0" w:after="0" w:afterAutospacing="0" w:line="269" w:lineRule="exact"/>
              <w:ind w:left="124" w:right="8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646"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0.004</w:t>
            </w:r>
          </w:p>
        </w:tc>
        <w:tc>
          <w:tcPr>
            <w:tcW w:w="679"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0.005</w:t>
            </w:r>
          </w:p>
        </w:tc>
        <w:tc>
          <w:tcPr>
            <w:tcW w:w="779" w:type="pct"/>
            <w:noWrap w:val="0"/>
            <w:vAlign w:val="center"/>
          </w:tcPr>
          <w:p>
            <w:pPr>
              <w:pStyle w:val="112"/>
              <w:keepNext w:val="0"/>
              <w:keepLines w:val="0"/>
              <w:suppressLineNumbers w:val="0"/>
              <w:spacing w:before="30"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0.006</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48"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20" w:beforeAutospacing="0" w:after="0" w:afterAutospacing="0" w:line="269" w:lineRule="exact"/>
              <w:ind w:left="124" w:right="8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w:t>
            </w:r>
          </w:p>
        </w:tc>
        <w:tc>
          <w:tcPr>
            <w:tcW w:w="646"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0.08</w:t>
            </w:r>
          </w:p>
        </w:tc>
        <w:tc>
          <w:tcPr>
            <w:tcW w:w="679"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0.09</w:t>
            </w:r>
          </w:p>
        </w:tc>
        <w:tc>
          <w:tcPr>
            <w:tcW w:w="779" w:type="pct"/>
            <w:noWrap w:val="0"/>
            <w:vAlign w:val="center"/>
          </w:tcPr>
          <w:p>
            <w:pPr>
              <w:pStyle w:val="112"/>
              <w:keepNext w:val="0"/>
              <w:keepLines w:val="0"/>
              <w:suppressLineNumbers w:val="0"/>
              <w:spacing w:before="30"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0.077</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848"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20" w:beforeAutospacing="0" w:after="0" w:afterAutospacing="0" w:line="269" w:lineRule="exact"/>
              <w:ind w:left="124" w:right="8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氨氮</w:t>
            </w:r>
          </w:p>
        </w:tc>
        <w:tc>
          <w:tcPr>
            <w:tcW w:w="646"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0.007</w:t>
            </w:r>
          </w:p>
        </w:tc>
        <w:tc>
          <w:tcPr>
            <w:tcW w:w="679"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0.008</w:t>
            </w:r>
          </w:p>
        </w:tc>
        <w:tc>
          <w:tcPr>
            <w:tcW w:w="779" w:type="pct"/>
            <w:noWrap w:val="0"/>
            <w:vAlign w:val="center"/>
          </w:tcPr>
          <w:p>
            <w:pPr>
              <w:pStyle w:val="112"/>
              <w:keepNext w:val="0"/>
              <w:keepLines w:val="0"/>
              <w:suppressLineNumbers w:val="0"/>
              <w:spacing w:before="30"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0.009</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48"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20" w:beforeAutospacing="0" w:after="0" w:afterAutospacing="0" w:line="269" w:lineRule="exact"/>
              <w:ind w:left="124" w:right="8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总磷</w:t>
            </w:r>
          </w:p>
        </w:tc>
        <w:tc>
          <w:tcPr>
            <w:tcW w:w="646"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0.01</w:t>
            </w:r>
          </w:p>
        </w:tc>
        <w:tc>
          <w:tcPr>
            <w:tcW w:w="679"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0.01</w:t>
            </w:r>
          </w:p>
        </w:tc>
        <w:tc>
          <w:tcPr>
            <w:tcW w:w="779" w:type="pct"/>
            <w:noWrap w:val="0"/>
            <w:vAlign w:val="center"/>
          </w:tcPr>
          <w:p>
            <w:pPr>
              <w:pStyle w:val="112"/>
              <w:keepNext w:val="0"/>
              <w:keepLines w:val="0"/>
              <w:suppressLineNumbers w:val="0"/>
              <w:spacing w:before="30"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0.001</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48"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07" w:type="pct"/>
            <w:noWrap w:val="0"/>
            <w:vAlign w:val="center"/>
          </w:tcPr>
          <w:p>
            <w:pPr>
              <w:pStyle w:val="112"/>
              <w:keepNext w:val="0"/>
              <w:keepLines w:val="0"/>
              <w:suppressLineNumbers w:val="0"/>
              <w:spacing w:before="20" w:beforeAutospacing="0" w:after="0" w:afterAutospacing="0" w:line="269" w:lineRule="exact"/>
              <w:ind w:left="124" w:right="8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p>
        </w:tc>
        <w:tc>
          <w:tcPr>
            <w:tcW w:w="646"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0.02</w:t>
            </w:r>
          </w:p>
        </w:tc>
        <w:tc>
          <w:tcPr>
            <w:tcW w:w="679"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0.01</w:t>
            </w:r>
          </w:p>
        </w:tc>
        <w:tc>
          <w:tcPr>
            <w:tcW w:w="779" w:type="pct"/>
            <w:noWrap w:val="0"/>
            <w:vAlign w:val="center"/>
          </w:tcPr>
          <w:p>
            <w:pPr>
              <w:pStyle w:val="112"/>
              <w:keepNext w:val="0"/>
              <w:keepLines w:val="0"/>
              <w:suppressLineNumbers w:val="0"/>
              <w:spacing w:before="30"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0.02</w:t>
            </w:r>
          </w:p>
        </w:tc>
        <w:tc>
          <w:tcPr>
            <w:tcW w:w="1638"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48" w:type="pct"/>
            <w:gridSpan w:val="2"/>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固废</w:t>
            </w:r>
          </w:p>
        </w:tc>
        <w:tc>
          <w:tcPr>
            <w:tcW w:w="407" w:type="pct"/>
            <w:noWrap w:val="0"/>
            <w:vAlign w:val="center"/>
          </w:tcPr>
          <w:p>
            <w:pPr>
              <w:pStyle w:val="112"/>
              <w:keepNext w:val="0"/>
              <w:keepLines w:val="0"/>
              <w:suppressLineNumbers w:val="0"/>
              <w:spacing w:before="20" w:beforeAutospacing="0" w:after="0" w:afterAutospacing="0" w:line="269" w:lineRule="exact"/>
              <w:ind w:left="124" w:right="89"/>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生活垃圾</w:t>
            </w:r>
          </w:p>
        </w:tc>
        <w:tc>
          <w:tcPr>
            <w:tcW w:w="646" w:type="pct"/>
            <w:noWrap w:val="0"/>
            <w:vAlign w:val="center"/>
          </w:tcPr>
          <w:p>
            <w:pPr>
              <w:pStyle w:val="112"/>
              <w:keepNext w:val="0"/>
              <w:keepLines w:val="0"/>
              <w:suppressLineNumbers w:val="0"/>
              <w:spacing w:before="30" w:beforeAutospacing="0" w:after="0" w:afterAutospacing="0"/>
              <w:ind w:left="102" w:right="76"/>
              <w:jc w:val="center"/>
              <w:rPr>
                <w:rFonts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0.15</w:t>
            </w:r>
          </w:p>
        </w:tc>
        <w:tc>
          <w:tcPr>
            <w:tcW w:w="679" w:type="pct"/>
            <w:noWrap w:val="0"/>
            <w:vAlign w:val="center"/>
          </w:tcPr>
          <w:p>
            <w:pPr>
              <w:pStyle w:val="112"/>
              <w:keepNext w:val="0"/>
              <w:keepLines w:val="0"/>
              <w:suppressLineNumbers w:val="0"/>
              <w:spacing w:before="30" w:beforeAutospacing="0" w:after="0" w:afterAutospacing="0"/>
              <w:ind w:left="102" w:right="7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0.15</w:t>
            </w:r>
          </w:p>
        </w:tc>
        <w:tc>
          <w:tcPr>
            <w:tcW w:w="779" w:type="pct"/>
            <w:noWrap w:val="0"/>
            <w:vAlign w:val="center"/>
          </w:tcPr>
          <w:p>
            <w:pPr>
              <w:pStyle w:val="112"/>
              <w:keepNext w:val="0"/>
              <w:keepLines w:val="0"/>
              <w:suppressLineNumbers w:val="0"/>
              <w:spacing w:before="30" w:beforeAutospacing="0" w:after="0" w:afterAutospacing="0"/>
              <w:ind w:left="102" w:right="7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0.165</w:t>
            </w:r>
          </w:p>
        </w:tc>
        <w:tc>
          <w:tcPr>
            <w:tcW w:w="1638" w:type="pct"/>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收集后交环卫部门处理</w:t>
            </w:r>
          </w:p>
        </w:tc>
      </w:tr>
    </w:tbl>
    <w:p>
      <w:pPr>
        <w:pStyle w:val="4"/>
        <w:rPr>
          <w:color w:val="000000" w:themeColor="text1"/>
          <w14:textFill>
            <w14:solidFill>
              <w14:schemeClr w14:val="tx1"/>
            </w14:solidFill>
          </w14:textFill>
        </w:rPr>
      </w:pPr>
      <w:bookmarkStart w:id="120" w:name="_Toc31276"/>
      <w:r>
        <w:rPr>
          <w:color w:val="000000" w:themeColor="text1"/>
          <w14:textFill>
            <w14:solidFill>
              <w14:schemeClr w14:val="tx1"/>
            </w14:solidFill>
          </w14:textFill>
        </w:rPr>
        <w:t>常压蒸馏现有项目存在的问题及整改措施</w:t>
      </w:r>
      <w:bookmarkEnd w:id="120"/>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中石化巴陵石油化工有限公司</w:t>
      </w:r>
      <w:r>
        <w:rPr>
          <w:rFonts w:hint="default" w:ascii="Times New Roman" w:hAnsi="Times New Roman" w:cs="Times New Roman"/>
          <w:color w:val="000000" w:themeColor="text1"/>
          <w:lang w:eastAsia="zh-CN"/>
          <w14:textFill>
            <w14:solidFill>
              <w14:schemeClr w14:val="tx1"/>
            </w14:solidFill>
          </w14:textFill>
        </w:rPr>
        <w:t>于</w:t>
      </w:r>
      <w:r>
        <w:rPr>
          <w:rFonts w:hint="default" w:ascii="Times New Roman" w:hAnsi="Times New Roman" w:cs="Times New Roman"/>
          <w:color w:val="000000" w:themeColor="text1"/>
          <w:lang w:val="en-US" w:eastAsia="zh-CN"/>
          <w14:textFill>
            <w14:solidFill>
              <w14:schemeClr w14:val="tx1"/>
            </w14:solidFill>
          </w14:textFill>
        </w:rPr>
        <w:t>2018年10月23日签署发布了突发环境事件应急预案，备案条件具备，并取得了岳阳市环境应急与事故调查中心的备案证明（</w:t>
      </w:r>
      <w:r>
        <w:rPr>
          <w:rFonts w:hint="default" w:ascii="Times New Roman" w:hAnsi="Times New Roman" w:cs="Times New Roman"/>
          <w:color w:val="000000" w:themeColor="text1"/>
          <w14:textFill>
            <w14:solidFill>
              <w14:schemeClr w14:val="tx1"/>
            </w14:solidFill>
          </w14:textFill>
        </w:rPr>
        <w:t>中石化巴陵石油化工有限公司</w:t>
      </w:r>
      <w:r>
        <w:rPr>
          <w:rFonts w:hint="default" w:ascii="Times New Roman" w:hAnsi="Times New Roman" w:cs="Times New Roman"/>
          <w:color w:val="000000" w:themeColor="text1"/>
          <w:lang w:eastAsia="zh-CN"/>
          <w14:textFill>
            <w14:solidFill>
              <w14:schemeClr w14:val="tx1"/>
            </w14:solidFill>
          </w14:textFill>
        </w:rPr>
        <w:t>整体的应急预案中包含常压蒸馏装置</w:t>
      </w:r>
      <w:r>
        <w:rPr>
          <w:rFonts w:hint="default" w:ascii="Times New Roman" w:hAnsi="Times New Roman" w:cs="Times New Roman"/>
          <w:color w:val="000000" w:themeColor="text1"/>
          <w:lang w:val="en-US" w:eastAsia="zh-CN"/>
          <w14:textFill>
            <w14:solidFill>
              <w14:schemeClr w14:val="tx1"/>
            </w14:solidFill>
          </w14:textFill>
        </w:rPr>
        <w:t>），备案证明见附件。</w:t>
      </w:r>
      <w:r>
        <w:rPr>
          <w:rFonts w:hint="default" w:ascii="Times New Roman" w:hAnsi="Times New Roman" w:cs="Times New Roman"/>
          <w:color w:val="000000" w:themeColor="text1"/>
          <w14:textFill>
            <w14:solidFill>
              <w14:schemeClr w14:val="tx1"/>
            </w14:solidFill>
          </w14:textFill>
        </w:rPr>
        <w:t>中石化巴陵石油化工有限公司</w:t>
      </w:r>
      <w:r>
        <w:rPr>
          <w:rFonts w:hint="default" w:ascii="Times New Roman" w:hAnsi="Times New Roman" w:cs="Times New Roman"/>
          <w:color w:val="000000" w:themeColor="text1"/>
          <w:lang w:eastAsia="zh-CN"/>
          <w14:textFill>
            <w14:solidFill>
              <w14:schemeClr w14:val="tx1"/>
            </w14:solidFill>
          </w14:textFill>
        </w:rPr>
        <w:t>于</w:t>
      </w:r>
      <w:r>
        <w:rPr>
          <w:rFonts w:hint="default" w:ascii="Times New Roman" w:hAnsi="Times New Roman" w:cs="Times New Roman"/>
          <w:color w:val="000000" w:themeColor="text1"/>
          <w:lang w:val="en-US" w:eastAsia="zh-CN"/>
          <w14:textFill>
            <w14:solidFill>
              <w14:schemeClr w14:val="tx1"/>
            </w14:solidFill>
          </w14:textFill>
        </w:rPr>
        <w:t>2020年06月15日取得排污许可证，排污许可证的编号为：91430603MA4R4PT70H001P，排污许可证具体见附件，（</w:t>
      </w:r>
      <w:r>
        <w:rPr>
          <w:rFonts w:hint="default" w:ascii="Times New Roman" w:hAnsi="Times New Roman" w:cs="Times New Roman"/>
          <w:color w:val="000000" w:themeColor="text1"/>
          <w14:textFill>
            <w14:solidFill>
              <w14:schemeClr w14:val="tx1"/>
            </w14:solidFill>
          </w14:textFill>
        </w:rPr>
        <w:t>中石化巴陵石油化工有限公司</w:t>
      </w:r>
      <w:r>
        <w:rPr>
          <w:rFonts w:hint="default" w:ascii="Times New Roman" w:hAnsi="Times New Roman" w:cs="Times New Roman"/>
          <w:color w:val="000000" w:themeColor="text1"/>
          <w:lang w:eastAsia="zh-CN"/>
          <w14:textFill>
            <w14:solidFill>
              <w14:schemeClr w14:val="tx1"/>
            </w14:solidFill>
          </w14:textFill>
        </w:rPr>
        <w:t>整体的排污许可文本中包含了常压蒸馏装置的情况</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现有常压装置</w:t>
      </w:r>
      <w:r>
        <w:rPr>
          <w:rFonts w:hint="default" w:ascii="Times New Roman" w:hAnsi="Times New Roman" w:cs="Times New Roman"/>
          <w:color w:val="000000" w:themeColor="text1"/>
          <w14:textFill>
            <w14:solidFill>
              <w14:schemeClr w14:val="tx1"/>
            </w14:solidFill>
          </w14:textFill>
        </w:rPr>
        <w:t>具体污染源情况详见污染源分析章节，本次环评思路是在了解现有污染源的基础上，分析项目已经采取的污染防治措施的有效性进行分析，再进一步提出补充措施，通过现场勘察，项目主要污染源、已采取的污染防治措施存在的环境问题见下表所示。</w:t>
      </w:r>
    </w:p>
    <w:p>
      <w:pPr>
        <w:pStyle w:val="14"/>
        <w:spacing w:line="240" w:lineRule="auto"/>
        <w:rPr>
          <w:color w:val="000000" w:themeColor="text1"/>
          <w14:textFill>
            <w14:solidFill>
              <w14:schemeClr w14:val="tx1"/>
            </w14:solidFill>
          </w14:textFill>
        </w:rPr>
      </w:pPr>
      <w:bookmarkStart w:id="121" w:name="_Ref25757677"/>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bookmarkEnd w:id="121"/>
      <w:r>
        <w:rPr>
          <w:color w:val="000000" w:themeColor="text1"/>
          <w14:textFill>
            <w14:solidFill>
              <w14:schemeClr w14:val="tx1"/>
            </w14:solidFill>
          </w14:textFill>
        </w:rPr>
        <w:t xml:space="preserve"> 项目主要污染源、已采取的治理措施及存在的主要问题</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423"/>
        <w:gridCol w:w="4782"/>
        <w:gridCol w:w="2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36"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污染物</w:t>
            </w:r>
          </w:p>
        </w:tc>
        <w:tc>
          <w:tcPr>
            <w:tcW w:w="770"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污染物类型</w:t>
            </w:r>
          </w:p>
        </w:tc>
        <w:tc>
          <w:tcPr>
            <w:tcW w:w="2587"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采取的环保措施</w:t>
            </w:r>
          </w:p>
        </w:tc>
        <w:tc>
          <w:tcPr>
            <w:tcW w:w="1107" w:type="pct"/>
            <w:noWrap w:val="0"/>
            <w:vAlign w:val="center"/>
          </w:tcPr>
          <w:p>
            <w:pPr>
              <w:pStyle w:val="117"/>
              <w:keepNext w:val="0"/>
              <w:keepLines w:val="0"/>
              <w:suppressLineNumbers w:val="0"/>
              <w:snapToGrid w:val="0"/>
              <w:spacing w:before="12" w:beforeLines="5" w:beforeAutospacing="0" w:after="12" w:afterLines="5" w:afterAutospacing="0"/>
              <w:ind w:left="0" w:right="0"/>
              <w:jc w:val="center"/>
              <w:rPr>
                <w:rFonts w:hint="default" w:ascii="Times New Roman" w:hAnsi="Times New Roman" w:cs="Times New Roman"/>
                <w:b/>
                <w:color w:val="000000" w:themeColor="text1"/>
                <w:szCs w:val="4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达标情况/存在的环境问题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536" w:type="pct"/>
            <w:vMerge w:val="restar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废气</w:t>
            </w: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常压烟气</w:t>
            </w:r>
          </w:p>
        </w:tc>
        <w:tc>
          <w:tcPr>
            <w:tcW w:w="2587"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经50m烟囱外排</w:t>
            </w:r>
          </w:p>
        </w:tc>
        <w:tc>
          <w:tcPr>
            <w:tcW w:w="1107"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由表2.11-3可知，现有常压装置常压炉的燃气燃烧产生的SO</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、NOx和颗粒物可满足《</w:t>
            </w:r>
            <w:r>
              <w:rPr>
                <w:rFonts w:hint="default" w:ascii="Times New Roman" w:hAnsi="Times New Roman" w:eastAsia="宋体" w:cs="Times New Roman"/>
                <w:color w:val="000000" w:themeColor="text1"/>
                <w:sz w:val="21"/>
                <w:lang w:eastAsia="zh-CN"/>
                <w14:textFill>
                  <w14:solidFill>
                    <w14:schemeClr w14:val="tx1"/>
                  </w14:solidFill>
                </w14:textFill>
              </w:rPr>
              <w:t>石油炼制工业污染物排放标准</w:t>
            </w:r>
            <w:r>
              <w:rPr>
                <w:rFonts w:hint="default" w:ascii="Times New Roman" w:hAnsi="Times New Roman" w:eastAsia="宋体" w:cs="Times New Roman"/>
                <w:color w:val="000000" w:themeColor="text1"/>
                <w:sz w:val="21"/>
                <w14:textFill>
                  <w14:solidFill>
                    <w14:schemeClr w14:val="tx1"/>
                  </w14:solidFill>
                </w14:textFill>
              </w:rPr>
              <w:t>》（GB3157</w:t>
            </w:r>
            <w:r>
              <w:rPr>
                <w:rFonts w:hint="default" w:ascii="Times New Roman" w:hAnsi="Times New Roman" w:eastAsia="宋体" w:cs="Times New Roman"/>
                <w:color w:val="000000" w:themeColor="text1"/>
                <w:sz w:val="21"/>
                <w:lang w:val="en-US" w:eastAsia="zh-CN"/>
                <w14:textFill>
                  <w14:solidFill>
                    <w14:schemeClr w14:val="tx1"/>
                  </w14:solidFill>
                </w14:textFill>
              </w:rPr>
              <w:t>0</w:t>
            </w:r>
            <w:r>
              <w:rPr>
                <w:rFonts w:hint="default" w:ascii="Times New Roman" w:hAnsi="Times New Roman" w:eastAsia="宋体" w:cs="Times New Roman"/>
                <w:color w:val="000000" w:themeColor="text1"/>
                <w:sz w:val="21"/>
                <w14:textFill>
                  <w14:solidFill>
                    <w14:schemeClr w14:val="tx1"/>
                  </w14:solidFill>
                </w14:textFill>
              </w:rPr>
              <w:t>-2015）中</w:t>
            </w:r>
            <w:r>
              <w:rPr>
                <w:rFonts w:hint="default" w:ascii="Times New Roman" w:hAnsi="Times New Roman" w:eastAsia="宋体" w:cs="Times New Roman"/>
                <w:color w:val="000000" w:themeColor="text1"/>
                <w:sz w:val="21"/>
                <w:lang w:val="en-US" w:eastAsia="zh-CN"/>
                <w14:textFill>
                  <w14:solidFill>
                    <w14:schemeClr w14:val="tx1"/>
                  </w14:solidFill>
                </w14:textFill>
              </w:rPr>
              <w:t>表5大气污染物特别排放限值要求</w:t>
            </w:r>
            <w:r>
              <w:rPr>
                <w:rFonts w:hint="default" w:ascii="Times New Roman" w:hAnsi="Times New Roman" w:eastAsia="宋体" w:cs="Times New Roman"/>
                <w:color w:val="000000" w:themeColor="text1"/>
                <w:sz w:val="2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塔顶不凝气</w:t>
            </w:r>
          </w:p>
        </w:tc>
        <w:tc>
          <w:tcPr>
            <w:tcW w:w="2587" w:type="pct"/>
            <w:vMerge w:val="restar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原有火炬系统管网送气柜回收轻烃，回收不完时引入火炬烧掉经</w:t>
            </w:r>
          </w:p>
        </w:tc>
        <w:tc>
          <w:tcPr>
            <w:tcW w:w="1107" w:type="pct"/>
            <w:vMerge w:val="restar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53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装置开、停工或生产不正常时，排出的各种工艺气</w:t>
            </w:r>
          </w:p>
        </w:tc>
        <w:tc>
          <w:tcPr>
            <w:tcW w:w="2587" w:type="pct"/>
            <w:vMerge w:val="continue"/>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p>
        </w:tc>
        <w:tc>
          <w:tcPr>
            <w:tcW w:w="1107" w:type="pct"/>
            <w:vMerge w:val="continue"/>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53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油品在加工过程中的跑、冒、滴、漏等</w:t>
            </w:r>
          </w:p>
        </w:tc>
        <w:tc>
          <w:tcPr>
            <w:tcW w:w="258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集气系统涵盖每个产气点，并增加系统的密封性保证足够的处理能力</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536" w:type="pct"/>
            <w:vMerge w:val="restar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废水</w:t>
            </w: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含硫废水</w:t>
            </w:r>
          </w:p>
        </w:tc>
        <w:tc>
          <w:tcPr>
            <w:tcW w:w="258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送原有酸性水汽提装置处理后部分回用常压装置，其余排入烯烃事业部（炼油事业部）污水预处理装置处理后，再送入巴陵石化水务部云溪生化装置处理，最后排入长江。</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6" w:hRule="atLeast"/>
          <w:jc w:val="center"/>
        </w:trPr>
        <w:tc>
          <w:tcPr>
            <w:tcW w:w="53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电脱盐废水</w:t>
            </w:r>
          </w:p>
        </w:tc>
        <w:tc>
          <w:tcPr>
            <w:tcW w:w="258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送烯烃事业部（炼油事业部）污水预处理装置处理后，</w:t>
            </w:r>
            <w:r>
              <w:rPr>
                <w:rFonts w:hint="eastAsia" w:cs="Times New Roman"/>
                <w:color w:val="000000" w:themeColor="text1"/>
                <w:lang w:eastAsia="zh-CN"/>
                <w14:textFill>
                  <w14:solidFill>
                    <w14:schemeClr w14:val="tx1"/>
                  </w14:solidFill>
                </w14:textFill>
              </w:rPr>
              <w:t>再</w:t>
            </w:r>
            <w:r>
              <w:rPr>
                <w:rFonts w:hint="default" w:ascii="Times New Roman" w:hAnsi="Times New Roman" w:cs="Times New Roman"/>
                <w:color w:val="000000" w:themeColor="text1"/>
                <w14:textFill>
                  <w14:solidFill>
                    <w14:schemeClr w14:val="tx1"/>
                  </w14:solidFill>
                </w14:textFill>
              </w:rPr>
              <w:t>送巴陵石化水务部云溪生化装置进行处理后，最后排入长江。</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53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含油废水</w:t>
            </w:r>
          </w:p>
        </w:tc>
        <w:tc>
          <w:tcPr>
            <w:tcW w:w="258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送烯烃事业部（炼油事业部）污水预处理装置处理后，</w:t>
            </w:r>
            <w:r>
              <w:rPr>
                <w:rFonts w:hint="eastAsia" w:cs="Times New Roman"/>
                <w:color w:val="000000" w:themeColor="text1"/>
                <w:lang w:eastAsia="zh-CN"/>
                <w14:textFill>
                  <w14:solidFill>
                    <w14:schemeClr w14:val="tx1"/>
                  </w14:solidFill>
                </w14:textFill>
              </w:rPr>
              <w:t>再</w:t>
            </w:r>
            <w:r>
              <w:rPr>
                <w:rFonts w:hint="default" w:ascii="Times New Roman" w:hAnsi="Times New Roman" w:cs="Times New Roman"/>
                <w:color w:val="000000" w:themeColor="text1"/>
                <w14:textFill>
                  <w14:solidFill>
                    <w14:schemeClr w14:val="tx1"/>
                  </w14:solidFill>
                </w14:textFill>
              </w:rPr>
              <w:t>送巴陵石化水务部云溪生化装置进行处理后，最后排入长江。</w:t>
            </w:r>
          </w:p>
        </w:tc>
        <w:tc>
          <w:tcPr>
            <w:tcW w:w="1107"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4" w:hRule="atLeast"/>
          <w:jc w:val="center"/>
        </w:trPr>
        <w:tc>
          <w:tcPr>
            <w:tcW w:w="53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事故废水</w:t>
            </w:r>
          </w:p>
        </w:tc>
        <w:tc>
          <w:tcPr>
            <w:tcW w:w="258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经烯烃事业部（炼油事业部）的事故废水收集系统收集后，汇入巴陵石化公司的废水事故池。</w:t>
            </w:r>
          </w:p>
        </w:tc>
        <w:tc>
          <w:tcPr>
            <w:tcW w:w="1107"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53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70" w:type="pct"/>
            <w:noWrap w:val="0"/>
            <w:vAlign w:val="center"/>
          </w:tcPr>
          <w:p>
            <w:pPr>
              <w:keepNext w:val="0"/>
              <w:keepLines w:val="0"/>
              <w:suppressLineNumbers w:val="0"/>
              <w:tabs>
                <w:tab w:val="left" w:pos="3469"/>
              </w:tabs>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初期雨水</w:t>
            </w:r>
          </w:p>
        </w:tc>
        <w:tc>
          <w:tcPr>
            <w:tcW w:w="258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经烯烃事业部（炼油事业部）污水预处理装置隔油处理后，再送巴陵石化水务部云溪生化装置进行处理后，外排长江</w:t>
            </w:r>
          </w:p>
        </w:tc>
        <w:tc>
          <w:tcPr>
            <w:tcW w:w="1107"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36"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固废</w:t>
            </w:r>
          </w:p>
        </w:tc>
        <w:tc>
          <w:tcPr>
            <w:tcW w:w="3357" w:type="pct"/>
            <w:gridSpan w:val="2"/>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常压装置产品主要有：气体、石脑油、柴油、常压渣油，并无其他固废产生。常压渣油作为原料进入下一个催化裂化装置</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6"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噪声</w:t>
            </w:r>
          </w:p>
        </w:tc>
        <w:tc>
          <w:tcPr>
            <w:tcW w:w="3357" w:type="pct"/>
            <w:gridSpan w:val="2"/>
            <w:noWrap w:val="0"/>
            <w:vAlign w:val="center"/>
          </w:tcPr>
          <w:p>
            <w:pPr>
              <w:pStyle w:val="76"/>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源主要为大功率机泵、鼓风引风机、空气冷却器、气（汽）体放空口等，主要采取的措施为：①机泵选用噪声较低的设备；②空冷器风机选用低噪声叶片；③合理选择调节阀，避免因压降过大而产生高噪声；④各放空口均设消声器以降低噪声</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6"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地下水</w:t>
            </w:r>
          </w:p>
        </w:tc>
        <w:tc>
          <w:tcPr>
            <w:tcW w:w="3357" w:type="pct"/>
            <w:gridSpan w:val="2"/>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项目各装置区在设计中均采取了混凝土硬化地面，阻断了日常操作及事故情况下泄漏至地面的烃类物质向土壤及地下水的分散过程，同时，为防止泄漏物料向装置及设施以外区域流动扩散，各装置区均设置了高不低于15cm的围堰或环绕装置的水泥硬化的集水沟，发生泄漏事故时泄漏物料可以控制在围堰内及集水沟内，泄漏物料不会穿透混凝土地面，向土壤及地下水中扩散。</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6"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b/>
                <w:color w:val="000000" w:themeColor="text1"/>
                <w:sz w:val="21"/>
                <w:szCs w:val="4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环境风险</w:t>
            </w:r>
          </w:p>
        </w:tc>
        <w:tc>
          <w:tcPr>
            <w:tcW w:w="3357"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5"/>
                <w:sz w:val="21"/>
                <w14:textFill>
                  <w14:solidFill>
                    <w14:schemeClr w14:val="tx1"/>
                  </w14:solidFill>
                </w14:textFill>
              </w:rPr>
              <w:t>装置区、储罐区周边设立明显的禁止明火</w:t>
            </w:r>
            <w:r>
              <w:rPr>
                <w:rFonts w:hint="default" w:ascii="Times New Roman" w:hAnsi="Times New Roman" w:eastAsia="宋体" w:cs="Times New Roman"/>
                <w:color w:val="000000" w:themeColor="text1"/>
                <w:spacing w:val="-9"/>
                <w:sz w:val="21"/>
                <w14:textFill>
                  <w14:solidFill>
                    <w14:schemeClr w14:val="tx1"/>
                  </w14:solidFill>
                </w14:textFill>
              </w:rPr>
              <w:t>标志、安全防火标志和防火距离警示牌及火灾报警信号</w:t>
            </w:r>
            <w:r>
              <w:rPr>
                <w:rFonts w:hint="default" w:ascii="Times New Roman" w:hAnsi="Times New Roman" w:eastAsia="宋体" w:cs="Times New Roman"/>
                <w:color w:val="000000" w:themeColor="text1"/>
                <w:sz w:val="21"/>
                <w14:textFill>
                  <w14:solidFill>
                    <w14:schemeClr w14:val="tx1"/>
                  </w14:solidFill>
                </w14:textFill>
              </w:rPr>
              <w:t>系统，并配备各种消防器材。本项目依托巴陵石化分公司事故应急池，该事故应急池有效容积为20000m</w:t>
            </w:r>
            <w:r>
              <w:rPr>
                <w:rFonts w:hint="default" w:ascii="Times New Roman" w:hAnsi="Times New Roman" w:eastAsia="宋体" w:cs="Times New Roman"/>
                <w:color w:val="000000" w:themeColor="text1"/>
                <w:sz w:val="21"/>
                <w:vertAlign w:val="super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，初期雨水排入含油污水预处理系统处理后排入巴陵石化水务部云溪生化装置处理，后期雨水通过清污分流切换阀进入公司雨水排放沟，最后流入松阳湖。</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6" w:type="pct"/>
            <w:noWrap w:val="0"/>
            <w:vAlign w:val="center"/>
          </w:tcPr>
          <w:p>
            <w:pPr>
              <w:keepNext w:val="0"/>
              <w:keepLines w:val="0"/>
              <w:suppressLineNumbers w:val="0"/>
              <w:adjustRightInd w:val="0"/>
              <w:snapToGrid w:val="0"/>
              <w:spacing w:before="12" w:beforeLines="5" w:beforeAutospacing="0" w:after="12" w:afterLines="5"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排污口规范化设置情况</w:t>
            </w:r>
          </w:p>
        </w:tc>
        <w:tc>
          <w:tcPr>
            <w:tcW w:w="3357" w:type="pct"/>
            <w:gridSpan w:val="2"/>
            <w:noWrap w:val="0"/>
            <w:vAlign w:val="center"/>
          </w:tcPr>
          <w:p>
            <w:pPr>
              <w:pStyle w:val="111"/>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本项目废气、废水排放口符合相关要求，并且已设置</w:t>
            </w:r>
            <w:r>
              <w:rPr>
                <w:rFonts w:hint="default" w:ascii="Times New Roman" w:hAnsi="Times New Roman" w:cs="Times New Roman"/>
                <w:color w:val="000000" w:themeColor="text1"/>
                <w:kern w:val="0"/>
                <w:szCs w:val="24"/>
                <w14:textFill>
                  <w14:solidFill>
                    <w14:schemeClr w14:val="tx1"/>
                  </w14:solidFill>
                </w14:textFill>
              </w:rPr>
              <w:t>环境保护图形标志牌</w:t>
            </w:r>
            <w:r>
              <w:rPr>
                <w:rFonts w:hint="default" w:ascii="Times New Roman" w:hAnsi="Times New Roman" w:cs="Times New Roman"/>
                <w:color w:val="000000" w:themeColor="text1"/>
                <w:kern w:val="0"/>
                <w:szCs w:val="24"/>
                <w:lang w:eastAsia="zh-CN"/>
                <w14:textFill>
                  <w14:solidFill>
                    <w14:schemeClr w14:val="tx1"/>
                  </w14:solidFill>
                </w14:textFill>
              </w:rPr>
              <w:t>。危险废物已按照</w:t>
            </w:r>
            <w:r>
              <w:rPr>
                <w:rFonts w:hint="default" w:ascii="Times New Roman" w:hAnsi="Times New Roman" w:cs="Times New Roman"/>
                <w:color w:val="000000" w:themeColor="text1"/>
                <w:kern w:val="0"/>
                <w:szCs w:val="24"/>
                <w14:textFill>
                  <w14:solidFill>
                    <w14:schemeClr w14:val="tx1"/>
                  </w14:solidFill>
                </w14:textFill>
              </w:rPr>
              <w:t>环境保护图形标志牌设置</w:t>
            </w:r>
            <w:r>
              <w:rPr>
                <w:rFonts w:hint="default" w:ascii="Times New Roman" w:hAnsi="Times New Roman" w:cs="Times New Roman"/>
                <w:color w:val="000000" w:themeColor="text1"/>
                <w:kern w:val="0"/>
                <w:szCs w:val="24"/>
                <w:lang w:eastAsia="zh-CN"/>
                <w14:textFill>
                  <w14:solidFill>
                    <w14:schemeClr w14:val="tx1"/>
                  </w14:solidFill>
                </w14:textFill>
              </w:rPr>
              <w:t>标识标牌</w:t>
            </w:r>
          </w:p>
        </w:tc>
        <w:tc>
          <w:tcPr>
            <w:tcW w:w="1107" w:type="pct"/>
            <w:noWrap w:val="0"/>
            <w:vAlign w:val="center"/>
          </w:tcPr>
          <w:p>
            <w:pPr>
              <w:pStyle w:val="76"/>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满足环保要求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根据企业提供资料及监测分析可知，现有常压蒸馏装置运行过程中产生的废水、废气、噪声、固废各种污染物均可达标排放。</w:t>
      </w:r>
    </w:p>
    <w:p>
      <w:pPr>
        <w:pStyle w:val="2"/>
        <w:keepLines/>
        <w:pageBreakBefore w:val="0"/>
        <w:widowControl w:val="0"/>
        <w:kinsoku/>
        <w:wordWrap/>
        <w:overflowPunct/>
        <w:topLinePunct w:val="0"/>
        <w:autoSpaceDE/>
        <w:autoSpaceDN/>
        <w:bidi w:val="0"/>
        <w:adjustRightInd/>
        <w:snapToGrid/>
        <w:spacing w:line="360" w:lineRule="auto"/>
        <w:textAlignment w:val="auto"/>
        <w:rPr>
          <w:color w:val="000000" w:themeColor="text1"/>
          <w14:textFill>
            <w14:solidFill>
              <w14:schemeClr w14:val="tx1"/>
            </w14:solidFill>
          </w14:textFill>
        </w:rPr>
      </w:pPr>
      <w:bookmarkStart w:id="122" w:name="_Toc19760"/>
      <w:r>
        <w:rPr>
          <w:rFonts w:hint="eastAsia"/>
          <w:color w:val="000000" w:themeColor="text1"/>
          <w:lang w:eastAsia="zh-CN"/>
          <w14:textFill>
            <w14:solidFill>
              <w14:schemeClr w14:val="tx1"/>
            </w14:solidFill>
          </w14:textFill>
        </w:rPr>
        <w:br w:type="column"/>
      </w:r>
      <w:r>
        <w:rPr>
          <w:color w:val="000000" w:themeColor="text1"/>
          <w14:textFill>
            <w14:solidFill>
              <w14:schemeClr w14:val="tx1"/>
            </w14:solidFill>
          </w14:textFill>
        </w:rPr>
        <w:t>拟建项目概况</w:t>
      </w:r>
      <w:bookmarkEnd w:id="122"/>
    </w:p>
    <w:p>
      <w:pPr>
        <w:pStyle w:val="4"/>
        <w:keepLines/>
        <w:pageBreakBefore w:val="0"/>
        <w:widowControl w:val="0"/>
        <w:kinsoku/>
        <w:wordWrap/>
        <w:overflowPunct/>
        <w:topLinePunct w:val="0"/>
        <w:autoSpaceDE/>
        <w:autoSpaceDN/>
        <w:bidi w:val="0"/>
        <w:adjustRightInd/>
        <w:snapToGrid/>
        <w:spacing w:line="360" w:lineRule="auto"/>
        <w:textAlignment w:val="auto"/>
        <w:rPr>
          <w:color w:val="000000" w:themeColor="text1"/>
          <w14:textFill>
            <w14:solidFill>
              <w14:schemeClr w14:val="tx1"/>
            </w14:solidFill>
          </w14:textFill>
        </w:rPr>
      </w:pPr>
      <w:bookmarkStart w:id="123" w:name="_Toc8150"/>
      <w:r>
        <w:rPr>
          <w:color w:val="000000" w:themeColor="text1"/>
          <w14:textFill>
            <w14:solidFill>
              <w14:schemeClr w14:val="tx1"/>
            </w14:solidFill>
          </w14:textFill>
        </w:rPr>
        <w:t>拟建项目基本情况</w:t>
      </w:r>
      <w:bookmarkEnd w:id="123"/>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项目名称：中石化巴陵石油化工有限公司炼油部8万吨/年粗白油精制装置</w:t>
      </w:r>
      <w:r>
        <w:rPr>
          <w:rFonts w:hint="default" w:ascii="Times New Roman" w:hAnsi="Times New Roman" w:eastAsia="宋体"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项目</w:t>
      </w:r>
    </w:p>
    <w:p>
      <w:pPr>
        <w:spacing w:line="360" w:lineRule="auto"/>
        <w:ind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w:t>
      </w:r>
      <w:r>
        <w:rPr>
          <w:rFonts w:hint="default" w:ascii="Times New Roman" w:hAnsi="Times New Roman" w:cs="Times New Roman"/>
          <w:color w:val="000000" w:themeColor="text1"/>
          <w:lang w:eastAsia="zh-CN"/>
          <w14:textFill>
            <w14:solidFill>
              <w14:schemeClr w14:val="tx1"/>
            </w14:solidFill>
          </w14:textFill>
        </w:rPr>
        <w:t>中石化巴陵石油化工有限公司</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拟建地点：</w:t>
      </w:r>
      <w:r>
        <w:rPr>
          <w:rFonts w:hint="default" w:ascii="Times New Roman" w:hAnsi="Times New Roman" w:cs="Times New Roman"/>
          <w:color w:val="000000" w:themeColor="text1"/>
          <w:lang w:eastAsia="zh-CN"/>
          <w14:textFill>
            <w14:solidFill>
              <w14:schemeClr w14:val="tx1"/>
            </w14:solidFill>
          </w14:textFill>
        </w:rPr>
        <w:t>中石化巴陵石油化工有限公司</w:t>
      </w:r>
      <w:r>
        <w:rPr>
          <w:rFonts w:hint="default" w:ascii="Times New Roman" w:hAnsi="Times New Roman" w:cs="Times New Roman"/>
          <w:color w:val="000000" w:themeColor="text1"/>
          <w14:textFill>
            <w14:solidFill>
              <w14:schemeClr w14:val="tx1"/>
            </w14:solidFill>
          </w14:textFill>
        </w:rPr>
        <w:t>炼油部厂区内，中心坐标为（东经113°18'54.44"、北纬29°27'55.24"），地理位置详见附图。</w:t>
      </w:r>
    </w:p>
    <w:p>
      <w:pPr>
        <w:spacing w:line="360" w:lineRule="auto"/>
        <w:ind w:firstLine="480" w:firstLineChars="20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建设性质：</w:t>
      </w:r>
      <w:r>
        <w:rPr>
          <w:rFonts w:hint="default" w:ascii="Times New Roman" w:hAnsi="Times New Roman" w:eastAsia="宋体" w:cs="Times New Roman"/>
          <w:color w:val="000000" w:themeColor="text1"/>
          <w:lang w:eastAsia="zh-CN"/>
          <w14:textFill>
            <w14:solidFill>
              <w14:schemeClr w14:val="tx1"/>
            </w14:solidFill>
          </w14:textFill>
        </w:rPr>
        <w:t>新建</w:t>
      </w:r>
    </w:p>
    <w:p>
      <w:pPr>
        <w:spacing w:line="360" w:lineRule="auto"/>
        <w:ind w:firstLine="480" w:firstLineChars="200"/>
        <w:rPr>
          <w:rFonts w:hint="default" w:ascii="Times New Roman" w:hAnsi="Times New Roman" w:eastAsia="宋体" w:cs="Times New Roman"/>
          <w:color w:val="000000" w:themeColor="text1"/>
          <w:u w:val="single"/>
          <w:lang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行业类别：</w:t>
      </w:r>
      <w:r>
        <w:rPr>
          <w:rFonts w:hint="default" w:ascii="Times New Roman" w:hAnsi="Times New Roman" w:cs="Times New Roman"/>
          <w:color w:val="000000" w:themeColor="text1"/>
          <w:u w:val="single"/>
          <w:lang w:val="en-US" w:eastAsia="zh-CN"/>
          <w14:textFill>
            <w14:solidFill>
              <w14:schemeClr w14:val="tx1"/>
            </w14:solidFill>
          </w14:textFill>
        </w:rPr>
        <w:t>C2511</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u w:val="single"/>
          <w:lang w:eastAsia="zh-CN"/>
          <w14:textFill>
            <w14:solidFill>
              <w14:schemeClr w14:val="tx1"/>
            </w14:solidFill>
          </w14:textFill>
        </w:rPr>
        <w:t>原油加工及石油制品制造</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项目总用地面面积：拟建粗白油精制装置的构架及设备位于常压装置区内的预留地，拟建粗白油精制装置的构架及设备占地面积约为340m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，利用常压装置区内的空地，不需要新征土地，也无拆迁工程。</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投资情况：项目总投资2107.83万元，其中环保投资21万元，占总投资的</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劳动定员及工作制度：本次</w:t>
      </w:r>
      <w:r>
        <w:rPr>
          <w:rFonts w:hint="default" w:ascii="Times New Roman" w:hAnsi="Times New Roman" w:eastAsia="宋体" w:cs="Times New Roman"/>
          <w:color w:val="000000" w:themeColor="text1"/>
          <w:lang w:eastAsia="zh-CN"/>
          <w14:textFill>
            <w14:solidFill>
              <w14:schemeClr w14:val="tx1"/>
            </w14:solidFill>
          </w14:textFill>
        </w:rPr>
        <w:t>建设</w:t>
      </w:r>
      <w:r>
        <w:rPr>
          <w:rFonts w:hint="default" w:ascii="Times New Roman" w:hAnsi="Times New Roman" w:cs="Times New Roman"/>
          <w:color w:val="000000" w:themeColor="text1"/>
          <w14:textFill>
            <w14:solidFill>
              <w14:schemeClr w14:val="tx1"/>
            </w14:solidFill>
          </w14:textFill>
        </w:rPr>
        <w:t>完成后员工依托现有操作人员，不新增，装置年工作时间为7920小时。</w:t>
      </w:r>
    </w:p>
    <w:p>
      <w:pPr>
        <w:pStyle w:val="4"/>
        <w:rPr>
          <w:color w:val="000000" w:themeColor="text1"/>
          <w14:textFill>
            <w14:solidFill>
              <w14:schemeClr w14:val="tx1"/>
            </w14:solidFill>
          </w14:textFill>
        </w:rPr>
      </w:pPr>
      <w:bookmarkStart w:id="124" w:name="_Toc16640"/>
      <w:bookmarkStart w:id="125" w:name="_Toc532497636"/>
      <w:bookmarkStart w:id="126" w:name="_Toc532376152"/>
      <w:bookmarkStart w:id="127" w:name="_Toc532763209"/>
      <w:bookmarkStart w:id="128" w:name="_Toc532498745"/>
      <w:r>
        <w:rPr>
          <w:color w:val="000000" w:themeColor="text1"/>
          <w14:textFill>
            <w14:solidFill>
              <w14:schemeClr w14:val="tx1"/>
            </w14:solidFill>
          </w14:textFill>
        </w:rPr>
        <w:t>拟建项目组成</w:t>
      </w:r>
      <w:bookmarkEnd w:id="124"/>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拟建项目主要位于</w:t>
      </w:r>
      <w:r>
        <w:rPr>
          <w:rFonts w:hint="eastAsia" w:cs="Times New Roman"/>
          <w:color w:val="000000" w:themeColor="text1"/>
          <w:lang w:eastAsia="zh-CN"/>
          <w14:textFill>
            <w14:solidFill>
              <w14:schemeClr w14:val="tx1"/>
            </w14:solidFill>
          </w14:textFill>
        </w:rPr>
        <w:t>中石化巴陵石油化工有限公司</w:t>
      </w:r>
      <w:r>
        <w:rPr>
          <w:rFonts w:hint="default" w:ascii="Times New Roman" w:hAnsi="Times New Roman" w:cs="Times New Roman"/>
          <w:color w:val="000000" w:themeColor="text1"/>
          <w14:textFill>
            <w14:solidFill>
              <w14:schemeClr w14:val="tx1"/>
            </w14:solidFill>
          </w14:textFill>
        </w:rPr>
        <w:t>炼油部厂区内，其供电、供水、供气、</w:t>
      </w:r>
      <w:r>
        <w:rPr>
          <w:rFonts w:hint="eastAsia" w:cs="Times New Roman"/>
          <w:color w:val="000000" w:themeColor="text1"/>
          <w:lang w:eastAsia="zh-CN"/>
          <w14:textFill>
            <w14:solidFill>
              <w14:schemeClr w14:val="tx1"/>
            </w14:solidFill>
          </w14:textFill>
        </w:rPr>
        <w:t>氢气、</w:t>
      </w:r>
      <w:r>
        <w:rPr>
          <w:rFonts w:hint="default" w:ascii="Times New Roman" w:hAnsi="Times New Roman" w:cs="Times New Roman"/>
          <w:color w:val="000000" w:themeColor="text1"/>
          <w14:textFill>
            <w14:solidFill>
              <w14:schemeClr w14:val="tx1"/>
            </w14:solidFill>
          </w14:textFill>
        </w:rPr>
        <w:t>氮气、蒸汽以及废水处理等依托</w:t>
      </w:r>
      <w:r>
        <w:rPr>
          <w:rFonts w:hint="eastAsia" w:cs="Times New Roman"/>
          <w:color w:val="000000" w:themeColor="text1"/>
          <w:lang w:eastAsia="zh-CN"/>
          <w14:textFill>
            <w14:solidFill>
              <w14:schemeClr w14:val="tx1"/>
            </w14:solidFill>
          </w14:textFill>
        </w:rPr>
        <w:t>中石化巴陵石油化工有限公司</w:t>
      </w:r>
      <w:r>
        <w:rPr>
          <w:rFonts w:hint="default" w:ascii="Times New Roman" w:hAnsi="Times New Roman" w:cs="Times New Roman"/>
          <w:color w:val="000000" w:themeColor="text1"/>
          <w14:textFill>
            <w14:solidFill>
              <w14:schemeClr w14:val="tx1"/>
            </w14:solidFill>
          </w14:textFill>
        </w:rPr>
        <w:t>现有工程。</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本项目主要由主体工程（生产装置）、辅助工程、公用工程、储运工程、环保工程组成，情况见下表所示。</w:t>
      </w:r>
    </w:p>
    <w:p>
      <w:pPr>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拟建项目主要工程内容一览表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01"/>
        <w:gridCol w:w="4492"/>
        <w:gridCol w:w="1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序号</w:t>
            </w: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项目名称</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工程内容及规模</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主体工程</w:t>
            </w: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加氢装置</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主要有原料过滤器、加氢反应器、粗白油分馏塔组成</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公用工程</w:t>
            </w: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供水</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用水依托</w:t>
            </w:r>
            <w:r>
              <w:rPr>
                <w:rFonts w:hint="eastAsia" w:cs="Times New Roman"/>
                <w:color w:val="000000" w:themeColor="text1"/>
                <w:sz w:val="21"/>
                <w:lang w:eastAsia="zh-CN"/>
                <w14:textFill>
                  <w14:solidFill>
                    <w14:schemeClr w14:val="tx1"/>
                  </w14:solidFill>
                </w14:textFill>
              </w:rPr>
              <w:t>中石化巴陵石油化工有限公司</w:t>
            </w:r>
            <w:r>
              <w:rPr>
                <w:rFonts w:eastAsia="宋体" w:cs="Times New Roman"/>
                <w:color w:val="000000" w:themeColor="text1"/>
                <w:sz w:val="21"/>
                <w14:textFill>
                  <w14:solidFill>
                    <w14:schemeClr w14:val="tx1"/>
                  </w14:solidFill>
                </w14:textFill>
              </w:rPr>
              <w:t>已有的各类供水管网</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排水</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采用雨污分流、清污分流排水方式，雨水排入厂区雨水沟，项目废水经炼油部废水预处理站处理后排入</w:t>
            </w:r>
            <w:r>
              <w:rPr>
                <w:rFonts w:hint="eastAsia" w:eastAsia="宋体" w:cs="Times New Roman"/>
                <w:color w:val="000000" w:themeColor="text1"/>
                <w:sz w:val="21"/>
                <w14:textFill>
                  <w14:solidFill>
                    <w14:schemeClr w14:val="tx1"/>
                  </w14:solidFill>
                </w14:textFill>
              </w:rPr>
              <w:t>巴陵石化水务部云溪生化装置</w:t>
            </w:r>
            <w:r>
              <w:rPr>
                <w:rFonts w:eastAsia="宋体" w:cs="Times New Roman"/>
                <w:color w:val="000000" w:themeColor="text1"/>
                <w:sz w:val="21"/>
                <w14:textFill>
                  <w14:solidFill>
                    <w14:schemeClr w14:val="tx1"/>
                  </w14:solidFill>
                </w14:textFill>
              </w:rPr>
              <w:t>集中处理达标后排入长江</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供电</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由公司现有配电室电网接入</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循环冷却水系统</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1座循环冷却水，设计规模为350m</w:t>
            </w:r>
            <w:r>
              <w:rPr>
                <w:rFonts w:eastAsia="宋体" w:cs="Times New Roman"/>
                <w:color w:val="000000" w:themeColor="text1"/>
                <w:sz w:val="21"/>
                <w:vertAlign w:val="superscript"/>
                <w14:textFill>
                  <w14:solidFill>
                    <w14:schemeClr w14:val="tx1"/>
                  </w14:solidFill>
                </w14:textFill>
              </w:rPr>
              <w:t>3</w:t>
            </w:r>
            <w:r>
              <w:rPr>
                <w:rFonts w:eastAsia="宋体" w:cs="Times New Roman"/>
                <w:color w:val="000000" w:themeColor="text1"/>
                <w:sz w:val="21"/>
                <w14:textFill>
                  <w14:solidFill>
                    <w14:schemeClr w14:val="tx1"/>
                  </w14:solidFill>
                </w14:textFill>
              </w:rPr>
              <w:t>/h（循环量）</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氮气</w:t>
            </w:r>
          </w:p>
        </w:tc>
        <w:tc>
          <w:tcPr>
            <w:tcW w:w="4492" w:type="dxa"/>
            <w:noWrap w:val="0"/>
            <w:vAlign w:val="center"/>
          </w:tcPr>
          <w:p>
            <w:pPr>
              <w:keepNext w:val="0"/>
              <w:keepLines w:val="0"/>
              <w:suppressLineNumbers w:val="0"/>
              <w:adjustRightInd w:val="0"/>
              <w:snapToGrid w:val="0"/>
              <w:spacing w:before="0" w:beforeAutospacing="0" w:after="0" w:afterAutospacing="0"/>
              <w:ind w:left="104" w:right="102"/>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氮气供应依托巴陵石化分公司已有的装置，目前巴陵石化云溪片</w:t>
            </w:r>
            <w:r>
              <w:rPr>
                <w:rFonts w:eastAsia="Times New Roman" w:cs="Times New Roman"/>
                <w:color w:val="000000" w:themeColor="text1"/>
                <w:sz w:val="21"/>
                <w14:textFill>
                  <w14:solidFill>
                    <w14:schemeClr w14:val="tx1"/>
                  </w14:solidFill>
                </w14:textFill>
              </w:rPr>
              <w:t xml:space="preserve">KDONAr-3600/7200/100 </w:t>
            </w:r>
            <w:r>
              <w:rPr>
                <w:rFonts w:eastAsia="宋体" w:cs="Times New Roman"/>
                <w:color w:val="000000" w:themeColor="text1"/>
                <w:sz w:val="21"/>
                <w14:textFill>
                  <w14:solidFill>
                    <w14:schemeClr w14:val="tx1"/>
                  </w14:solidFill>
                </w14:textFill>
              </w:rPr>
              <w:t xml:space="preserve">装置的产氮能力 </w:t>
            </w:r>
            <w:r>
              <w:rPr>
                <w:rFonts w:eastAsia="Times New Roman" w:cs="Times New Roman"/>
                <w:color w:val="000000" w:themeColor="text1"/>
                <w:sz w:val="21"/>
                <w14:textFill>
                  <w14:solidFill>
                    <w14:schemeClr w14:val="tx1"/>
                  </w14:solidFill>
                </w14:textFill>
              </w:rPr>
              <w:t>7200Nm</w:t>
            </w:r>
            <w:r>
              <w:rPr>
                <w:rFonts w:eastAsia="Times New Roman" w:cs="Times New Roman"/>
                <w:color w:val="000000" w:themeColor="text1"/>
                <w:sz w:val="21"/>
                <w:vertAlign w:val="superscript"/>
                <w14:textFill>
                  <w14:solidFill>
                    <w14:schemeClr w14:val="tx1"/>
                  </w14:solidFill>
                </w14:textFill>
              </w:rPr>
              <w:t>3</w:t>
            </w:r>
            <w:r>
              <w:rPr>
                <w:rFonts w:eastAsia="Times New Roman" w:cs="Times New Roman"/>
                <w:color w:val="000000" w:themeColor="text1"/>
                <w:sz w:val="21"/>
                <w14:textFill>
                  <w14:solidFill>
                    <w14:schemeClr w14:val="tx1"/>
                  </w14:solidFill>
                </w14:textFill>
              </w:rPr>
              <w:t>/h</w:t>
            </w:r>
            <w:r>
              <w:rPr>
                <w:rFonts w:eastAsia="宋体" w:cs="Times New Roman"/>
                <w:color w:val="000000" w:themeColor="text1"/>
                <w:sz w:val="21"/>
                <w14:textFill>
                  <w14:solidFill>
                    <w14:schemeClr w14:val="tx1"/>
                  </w14:solidFill>
                </w14:textFill>
              </w:rPr>
              <w:t xml:space="preserve">，项目消耗量约 </w:t>
            </w:r>
            <w:r>
              <w:rPr>
                <w:rFonts w:eastAsia="Times New Roman" w:cs="Times New Roman"/>
                <w:color w:val="000000" w:themeColor="text1"/>
                <w:sz w:val="21"/>
                <w14:textFill>
                  <w14:solidFill>
                    <w14:schemeClr w14:val="tx1"/>
                  </w14:solidFill>
                </w14:textFill>
              </w:rPr>
              <w:t>50Nm</w:t>
            </w:r>
            <w:r>
              <w:rPr>
                <w:rFonts w:eastAsia="Times New Roman" w:cs="Times New Roman"/>
                <w:color w:val="000000" w:themeColor="text1"/>
                <w:sz w:val="21"/>
                <w:vertAlign w:val="superscript"/>
                <w14:textFill>
                  <w14:solidFill>
                    <w14:schemeClr w14:val="tx1"/>
                  </w14:solidFill>
                </w14:textFill>
              </w:rPr>
              <w:t>3</w:t>
            </w:r>
            <w:r>
              <w:rPr>
                <w:rFonts w:eastAsia="Times New Roman" w:cs="Times New Roman"/>
                <w:color w:val="000000" w:themeColor="text1"/>
                <w:sz w:val="21"/>
                <w14:textFill>
                  <w14:solidFill>
                    <w14:schemeClr w14:val="tx1"/>
                  </w14:solidFill>
                </w14:textFill>
              </w:rPr>
              <w:t>/h</w:t>
            </w:r>
            <w:r>
              <w:rPr>
                <w:rFonts w:eastAsia="宋体" w:cs="Times New Roman"/>
                <w:color w:val="000000" w:themeColor="text1"/>
                <w:spacing w:val="-1"/>
                <w:sz w:val="21"/>
                <w14:textFill>
                  <w14:solidFill>
                    <w14:schemeClr w14:val="tx1"/>
                  </w14:solidFill>
                </w14:textFill>
              </w:rPr>
              <w:t>（</w:t>
            </w:r>
            <w:r>
              <w:rPr>
                <w:rFonts w:eastAsia="Times New Roman" w:cs="Times New Roman"/>
                <w:color w:val="000000" w:themeColor="text1"/>
                <w:spacing w:val="-1"/>
                <w:sz w:val="21"/>
                <w14:textFill>
                  <w14:solidFill>
                    <w14:schemeClr w14:val="tx1"/>
                  </w14:solidFill>
                </w14:textFill>
              </w:rPr>
              <w:t>400000Nm</w:t>
            </w:r>
            <w:r>
              <w:rPr>
                <w:rFonts w:eastAsia="Times New Roman" w:cs="Times New Roman"/>
                <w:color w:val="000000" w:themeColor="text1"/>
                <w:spacing w:val="-1"/>
                <w:sz w:val="21"/>
                <w:vertAlign w:val="superscript"/>
                <w14:textFill>
                  <w14:solidFill>
                    <w14:schemeClr w14:val="tx1"/>
                  </w14:solidFill>
                </w14:textFill>
              </w:rPr>
              <w:t>3</w:t>
            </w:r>
            <w:r>
              <w:rPr>
                <w:rFonts w:eastAsia="Times New Roman" w:cs="Times New Roman"/>
                <w:color w:val="000000" w:themeColor="text1"/>
                <w:spacing w:val="-1"/>
                <w:sz w:val="21"/>
                <w14:textFill>
                  <w14:solidFill>
                    <w14:schemeClr w14:val="tx1"/>
                  </w14:solidFill>
                </w14:textFill>
              </w:rPr>
              <w:t>/a</w:t>
            </w:r>
            <w:r>
              <w:rPr>
                <w:rFonts w:eastAsia="宋体" w:cs="Times New Roman"/>
                <w:color w:val="000000" w:themeColor="text1"/>
                <w:spacing w:val="-1"/>
                <w:sz w:val="21"/>
                <w14:textFill>
                  <w14:solidFill>
                    <w14:schemeClr w14:val="tx1"/>
                  </w14:solidFill>
                </w14:textFill>
              </w:rPr>
              <w:t>）</w:t>
            </w:r>
            <w:r>
              <w:rPr>
                <w:rFonts w:eastAsia="宋体" w:cs="Times New Roman"/>
                <w:color w:val="000000" w:themeColor="text1"/>
                <w:spacing w:val="-5"/>
                <w:sz w:val="21"/>
                <w14:textFill>
                  <w14:solidFill>
                    <w14:schemeClr w14:val="tx1"/>
                  </w14:solidFill>
                </w14:textFill>
              </w:rPr>
              <w:t>，其完全能够满足项目氮气需求。</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蒸汽</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项目蒸汽依托巴陵石化分公司热电事业部，由该部设置的蒸汽管道接入生产装置区内，完全能够满足生产需求。</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氢气</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由</w:t>
            </w:r>
            <w:r>
              <w:rPr>
                <w:rFonts w:hint="eastAsia" w:ascii="Times New Roman" w:hAnsi="Times New Roman" w:cs="Times New Roman"/>
                <w:color w:val="000000" w:themeColor="text1"/>
                <w:sz w:val="21"/>
                <w:lang w:eastAsia="zh-CN"/>
                <w14:textFill>
                  <w14:solidFill>
                    <w14:schemeClr w14:val="tx1"/>
                  </w14:solidFill>
                </w14:textFill>
              </w:rPr>
              <w:t>中石化巴陵石油化工有限公司</w:t>
            </w:r>
            <w:r>
              <w:rPr>
                <w:rFonts w:hint="default" w:ascii="Times New Roman" w:hAnsi="Times New Roman" w:cs="Times New Roman"/>
                <w:color w:val="000000" w:themeColor="text1"/>
                <w:sz w:val="21"/>
                <w:lang w:eastAsia="zh-CN"/>
                <w14:textFill>
                  <w14:solidFill>
                    <w14:schemeClr w14:val="tx1"/>
                  </w14:solidFill>
                </w14:textFill>
              </w:rPr>
              <w:t>氢气主管，通过输送管道输送到加氢装置区</w:t>
            </w:r>
            <w:r>
              <w:rPr>
                <w:rFonts w:hint="default" w:ascii="Times New Roman" w:hAnsi="Times New Roman" w:cs="Times New Roman"/>
                <w:color w:val="000000" w:themeColor="text1"/>
                <w:sz w:val="21"/>
                <w:lang w:val="en-US" w:eastAsia="zh-CN"/>
                <w14:textFill>
                  <w14:solidFill>
                    <w14:schemeClr w14:val="tx1"/>
                  </w14:solidFill>
                </w14:textFill>
              </w:rPr>
              <w:t>（输送管道的内径为100mm，长1000m）</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cs="Times New Roman"/>
                <w:color w:val="000000" w:themeColor="text1"/>
                <w:sz w:val="21"/>
                <w:lang w:eastAsia="zh-CN"/>
                <w14:textFill>
                  <w14:solidFill>
                    <w14:schemeClr w14:val="tx1"/>
                  </w14:solidFill>
                </w14:textFill>
              </w:rPr>
              <w:t>依托中石化巴陵石油化工有限公司现有制氢装置，新建加氢装置到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u w:val="single"/>
                <w:lang w:eastAsia="zh-CN"/>
                <w14:textFill>
                  <w14:solidFill>
                    <w14:schemeClr w14:val="tx1"/>
                  </w14:solidFill>
                </w14:textFill>
              </w:rPr>
            </w:pPr>
            <w:r>
              <w:rPr>
                <w:rFonts w:hint="eastAsia" w:eastAsia="宋体" w:cs="Times New Roman"/>
                <w:color w:val="000000" w:themeColor="text1"/>
                <w:sz w:val="21"/>
                <w:u w:val="single"/>
                <w:lang w:eastAsia="zh-CN"/>
                <w14:textFill>
                  <w14:solidFill>
                    <w14:schemeClr w14:val="tx1"/>
                  </w14:solidFill>
                </w14:textFill>
              </w:rPr>
              <w:t>供热</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u w:val="single"/>
                <w:lang w:eastAsia="zh-CN"/>
                <w14:textFill>
                  <w14:solidFill>
                    <w14:schemeClr w14:val="tx1"/>
                  </w14:solidFill>
                </w14:textFill>
              </w:rPr>
            </w:pPr>
            <w:r>
              <w:rPr>
                <w:rFonts w:hint="eastAsia" w:eastAsia="宋体" w:cs="Times New Roman"/>
                <w:color w:val="000000" w:themeColor="text1"/>
                <w:sz w:val="21"/>
                <w:u w:val="single"/>
                <w:lang w:eastAsia="zh-CN"/>
                <w14:textFill>
                  <w14:solidFill>
                    <w14:schemeClr w14:val="tx1"/>
                  </w14:solidFill>
                </w14:textFill>
              </w:rPr>
              <w:t>本项目采用电加热的方式供热</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u w:val="single"/>
                <w:lang w:eastAsia="zh-CN"/>
                <w14:textFill>
                  <w14:solidFill>
                    <w14:schemeClr w14:val="tx1"/>
                  </w14:solidFill>
                </w14:textFill>
              </w:rPr>
            </w:pPr>
            <w:r>
              <w:rPr>
                <w:rFonts w:hint="eastAsia" w:eastAsia="宋体" w:cs="Times New Roman"/>
                <w:color w:val="000000" w:themeColor="text1"/>
                <w:sz w:val="21"/>
                <w:u w:val="single"/>
                <w:lang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消防</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设计消防用水量为100L/s，消防水压为12MPa,消防水由巴陵石化分公司独立稳高压消防给水系统供给</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污水处理厂</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本项目废水最终送</w:t>
            </w:r>
            <w:r>
              <w:rPr>
                <w:rFonts w:hint="eastAsia" w:eastAsia="宋体" w:cs="Times New Roman"/>
                <w:color w:val="000000" w:themeColor="text1"/>
                <w:sz w:val="21"/>
                <w14:textFill>
                  <w14:solidFill>
                    <w14:schemeClr w14:val="tx1"/>
                  </w14:solidFill>
                </w14:textFill>
              </w:rPr>
              <w:t>巴陵石化水务部云溪生化装置</w:t>
            </w:r>
            <w:r>
              <w:rPr>
                <w:rFonts w:eastAsia="宋体" w:cs="Times New Roman"/>
                <w:color w:val="000000" w:themeColor="text1"/>
                <w:sz w:val="21"/>
                <w14:textFill>
                  <w14:solidFill>
                    <w14:schemeClr w14:val="tx1"/>
                  </w14:solidFill>
                </w14:textFill>
              </w:rPr>
              <w:t>处理</w:t>
            </w:r>
            <w:r>
              <w:rPr>
                <w:rFonts w:hint="eastAsia" w:cs="Times New Roman"/>
                <w:color w:val="000000" w:themeColor="text1"/>
                <w:sz w:val="21"/>
                <w:lang w:eastAsia="zh-CN"/>
                <w14:textFill>
                  <w14:solidFill>
                    <w14:schemeClr w14:val="tx1"/>
                  </w14:solidFill>
                </w14:textFill>
              </w:rPr>
              <w:t>，生化装置处理规模为</w:t>
            </w:r>
            <w:r>
              <w:rPr>
                <w:rFonts w:eastAsia="宋体" w:cs="Times New Roman"/>
                <w:color w:val="000000" w:themeColor="text1"/>
                <w:sz w:val="21"/>
                <w14:textFill>
                  <w14:solidFill>
                    <w14:schemeClr w14:val="tx1"/>
                  </w14:solidFill>
                </w14:textFill>
              </w:rPr>
              <w:t>1200m</w:t>
            </w:r>
            <w:r>
              <w:rPr>
                <w:rFonts w:eastAsia="宋体" w:cs="Times New Roman"/>
                <w:color w:val="000000" w:themeColor="text1"/>
                <w:sz w:val="21"/>
                <w:vertAlign w:val="superscript"/>
                <w14:textFill>
                  <w14:solidFill>
                    <w14:schemeClr w14:val="tx1"/>
                  </w14:solidFill>
                </w14:textFill>
              </w:rPr>
              <w:t>3</w:t>
            </w:r>
            <w:r>
              <w:rPr>
                <w:rFonts w:eastAsia="宋体" w:cs="Times New Roman"/>
                <w:color w:val="000000" w:themeColor="text1"/>
                <w:sz w:val="21"/>
                <w14:textFill>
                  <w14:solidFill>
                    <w14:schemeClr w14:val="tx1"/>
                  </w14:solidFill>
                </w14:textFill>
              </w:rPr>
              <w:t>/h，同时依托巴陵石化分公司20000m</w:t>
            </w:r>
            <w:r>
              <w:rPr>
                <w:rFonts w:eastAsia="宋体" w:cs="Times New Roman"/>
                <w:color w:val="000000" w:themeColor="text1"/>
                <w:sz w:val="21"/>
                <w:vertAlign w:val="superscript"/>
                <w14:textFill>
                  <w14:solidFill>
                    <w14:schemeClr w14:val="tx1"/>
                  </w14:solidFill>
                </w14:textFill>
              </w:rPr>
              <w:t>3</w:t>
            </w:r>
            <w:r>
              <w:rPr>
                <w:rFonts w:eastAsia="宋体" w:cs="Times New Roman"/>
                <w:color w:val="000000" w:themeColor="text1"/>
                <w:sz w:val="21"/>
                <w14:textFill>
                  <w14:solidFill>
                    <w14:schemeClr w14:val="tx1"/>
                  </w14:solidFill>
                </w14:textFill>
              </w:rPr>
              <w:t>事故池。</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储运工程</w:t>
            </w: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产品运输</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本项目粗白油和溶剂油产品、燃料干气依托管道运输，其他化学物料及包装材料依托汽车运输</w:t>
            </w:r>
          </w:p>
        </w:tc>
        <w:tc>
          <w:tcPr>
            <w:tcW w:w="1807" w:type="dxa"/>
            <w:noWrap w:val="0"/>
            <w:vAlign w:val="center"/>
          </w:tcPr>
          <w:p>
            <w:pPr>
              <w:pStyle w:val="112"/>
              <w:keepNext w:val="0"/>
              <w:keepLines w:val="0"/>
              <w:suppressLineNumbers w:val="0"/>
              <w:adjustRightInd w:val="0"/>
              <w:snapToGrid w:val="0"/>
              <w:spacing w:before="0" w:beforeAutospacing="0" w:after="0" w:afterAutospacing="0"/>
              <w:ind w:left="78"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依托现有运输管网的基础上新建设备运输管道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储存区</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本项目原料主要来自常压装置常压气提塔出来的产物，经过管道排入本项目的原料过滤器。</w:t>
            </w:r>
          </w:p>
        </w:tc>
        <w:tc>
          <w:tcPr>
            <w:tcW w:w="1807" w:type="dxa"/>
            <w:noWrap w:val="0"/>
            <w:vAlign w:val="center"/>
          </w:tcPr>
          <w:p>
            <w:pPr>
              <w:pStyle w:val="112"/>
              <w:keepNext w:val="0"/>
              <w:keepLines w:val="0"/>
              <w:suppressLineNumbers w:val="0"/>
              <w:adjustRightInd w:val="0"/>
              <w:snapToGrid w:val="0"/>
              <w:spacing w:before="0" w:beforeAutospacing="0" w:after="0" w:afterAutospacing="0"/>
              <w:ind w:left="78"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环保工程</w:t>
            </w:r>
          </w:p>
        </w:tc>
        <w:tc>
          <w:tcPr>
            <w:tcW w:w="170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废气处理</w:t>
            </w:r>
          </w:p>
        </w:tc>
        <w:tc>
          <w:tcPr>
            <w:tcW w:w="4492" w:type="dxa"/>
            <w:noWrap w:val="0"/>
            <w:vAlign w:val="center"/>
          </w:tcPr>
          <w:p>
            <w:pPr>
              <w:keepNext w:val="0"/>
              <w:keepLines/>
              <w:suppressLineNumbers w:val="0"/>
              <w:adjustRightInd w:val="0"/>
              <w:snapToGrid w:val="0"/>
              <w:spacing w:before="0" w:beforeAutospacing="0" w:after="0" w:afterAutospacing="0"/>
              <w:ind w:left="0" w:right="0"/>
              <w:outlineLvl w:val="1"/>
              <w:rPr>
                <w:rFonts w:hint="eastAsia" w:eastAsia="宋体" w:cs="Times New Roman"/>
                <w:color w:val="000000" w:themeColor="text1"/>
                <w:sz w:val="21"/>
                <w14:textFill>
                  <w14:solidFill>
                    <w14:schemeClr w14:val="tx1"/>
                  </w14:solidFill>
                </w14:textFill>
              </w:rPr>
            </w:pPr>
            <w:bookmarkStart w:id="129" w:name="_Toc7399"/>
            <w:bookmarkStart w:id="130" w:name="_Toc23966"/>
            <w:r>
              <w:rPr>
                <w:rFonts w:eastAsia="宋体" w:cs="Calibri"/>
                <w:color w:val="000000" w:themeColor="text1"/>
                <w:sz w:val="21"/>
                <w14:textFill>
                  <w14:solidFill>
                    <w14:schemeClr w14:val="tx1"/>
                  </w14:solidFill>
                </w14:textFill>
              </w:rPr>
              <w:t>选择合格的密封管道，</w:t>
            </w:r>
            <w:r>
              <w:rPr>
                <w:rFonts w:hint="eastAsia" w:eastAsia="宋体" w:cs="Calibri"/>
                <w:color w:val="000000" w:themeColor="text1"/>
                <w:sz w:val="21"/>
                <w:lang w:eastAsia="zh-CN"/>
                <w14:textFill>
                  <w14:solidFill>
                    <w14:schemeClr w14:val="tx1"/>
                  </w14:solidFill>
                </w14:textFill>
              </w:rPr>
              <w:t>按要求开展</w:t>
            </w:r>
            <w:r>
              <w:rPr>
                <w:rFonts w:eastAsia="宋体" w:cs="Calibri"/>
                <w:color w:val="000000" w:themeColor="text1"/>
                <w:sz w:val="21"/>
                <w14:textFill>
                  <w14:solidFill>
                    <w14:schemeClr w14:val="tx1"/>
                  </w14:solidFill>
                </w14:textFill>
              </w:rPr>
              <w:t>泄漏检测</w:t>
            </w:r>
            <w:bookmarkEnd w:id="129"/>
            <w:bookmarkEnd w:id="130"/>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492" w:type="dxa"/>
            <w:noWrap w:val="0"/>
            <w:vAlign w:val="center"/>
          </w:tcPr>
          <w:p>
            <w:pPr>
              <w:keepNext w:val="0"/>
              <w:keepLines/>
              <w:suppressLineNumbers w:val="0"/>
              <w:adjustRightInd w:val="0"/>
              <w:snapToGrid w:val="0"/>
              <w:spacing w:before="0" w:beforeAutospacing="0" w:after="0" w:afterAutospacing="0"/>
              <w:ind w:left="0" w:right="0"/>
              <w:outlineLvl w:val="1"/>
              <w:rPr>
                <w:rFonts w:eastAsia="宋体" w:cs="Times New Roman"/>
                <w:color w:val="000000" w:themeColor="text1"/>
                <w:sz w:val="21"/>
                <w14:textFill>
                  <w14:solidFill>
                    <w14:schemeClr w14:val="tx1"/>
                  </w14:solidFill>
                </w14:textFill>
              </w:rPr>
            </w:pPr>
            <w:bookmarkStart w:id="131" w:name="_Toc26002"/>
            <w:bookmarkStart w:id="132" w:name="_Toc25891"/>
            <w:bookmarkStart w:id="133" w:name="_Toc18422"/>
            <w:bookmarkStart w:id="134" w:name="_Toc27279"/>
            <w:r>
              <w:rPr>
                <w:rFonts w:eastAsia="宋体" w:cs="Times New Roman"/>
                <w:color w:val="000000" w:themeColor="text1"/>
                <w:sz w:val="21"/>
                <w14:textFill>
                  <w14:solidFill>
                    <w14:schemeClr w14:val="tx1"/>
                  </w14:solidFill>
                </w14:textFill>
              </w:rPr>
              <w:t>粗白油分馏塔（C-201）顶部的油气经粗白油分馏塔顶部冷凝器（E-204）冷却后一部分入粗白油分馏塔顶回流罐（D-202），一部分未冷凝的不凝气通过管道送至公司火炬系统管网送气柜回收轻烃，回收不完时引入火炬焚烧。</w:t>
            </w:r>
            <w:bookmarkEnd w:id="131"/>
            <w:bookmarkEnd w:id="132"/>
            <w:bookmarkEnd w:id="133"/>
            <w:bookmarkEnd w:id="134"/>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14:textFill>
                  <w14:solidFill>
                    <w14:schemeClr w14:val="tx1"/>
                  </w14:solidFill>
                </w14:textFill>
              </w:rPr>
            </w:pPr>
            <w:r>
              <w:rPr>
                <w:rFonts w:hint="eastAsia" w:eastAsia="宋体" w:cs="Times New Roman"/>
                <w:color w:val="000000" w:themeColor="text1"/>
                <w:sz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废水处理</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按照雨污分流、清污排水要求，雨水排入</w:t>
            </w:r>
            <w:r>
              <w:rPr>
                <w:rFonts w:hint="eastAsia" w:eastAsia="宋体" w:cs="Times New Roman"/>
                <w:color w:val="000000" w:themeColor="text1"/>
                <w:sz w:val="21"/>
                <w14:textFill>
                  <w14:solidFill>
                    <w14:schemeClr w14:val="tx1"/>
                  </w14:solidFill>
                </w14:textFill>
              </w:rPr>
              <w:t>雨水沟</w:t>
            </w:r>
            <w:r>
              <w:rPr>
                <w:rFonts w:eastAsia="宋体" w:cs="Times New Roman"/>
                <w:color w:val="000000" w:themeColor="text1"/>
                <w:sz w:val="21"/>
                <w14:textFill>
                  <w14:solidFill>
                    <w14:schemeClr w14:val="tx1"/>
                  </w14:solidFill>
                </w14:textFill>
              </w:rPr>
              <w:t>内；</w:t>
            </w:r>
            <w:r>
              <w:rPr>
                <w:rFonts w:hint="eastAsia" w:eastAsia="宋体" w:cs="Times New Roman"/>
                <w:color w:val="000000" w:themeColor="text1"/>
                <w:kern w:val="0"/>
                <w:sz w:val="21"/>
                <w:szCs w:val="21"/>
                <w14:textFill>
                  <w14:solidFill>
                    <w14:schemeClr w14:val="tx1"/>
                  </w14:solidFill>
                </w14:textFill>
              </w:rPr>
              <w:t>地面冲洗水进炼油部污水预处理系统处理后排入巴陵石化水务部云溪生化装置集中处理达标后排入长江，</w:t>
            </w:r>
            <w:r>
              <w:rPr>
                <w:rFonts w:eastAsia="宋体" w:cs="Times New Roman"/>
                <w:color w:val="000000" w:themeColor="text1"/>
                <w:sz w:val="21"/>
                <w:szCs w:val="21"/>
                <w14:textFill>
                  <w14:solidFill>
                    <w14:schemeClr w14:val="tx1"/>
                  </w14:solidFill>
                </w14:textFill>
              </w:rPr>
              <w:t>粗白油分馏塔顶回流罐产生的含硫污水</w:t>
            </w:r>
            <w:r>
              <w:rPr>
                <w:rFonts w:eastAsia="宋体" w:cs="Times New Roman"/>
                <w:color w:val="000000" w:themeColor="text1"/>
                <w:sz w:val="21"/>
                <w14:textFill>
                  <w14:solidFill>
                    <w14:schemeClr w14:val="tx1"/>
                  </w14:solidFill>
                </w14:textFill>
              </w:rPr>
              <w:t>送酸性水气提装置处理后部分回用常压装置，其余排入炼油部污水预处理装置处理后，再送</w:t>
            </w:r>
            <w:r>
              <w:rPr>
                <w:rFonts w:hint="eastAsia" w:eastAsia="宋体" w:cs="Times New Roman"/>
                <w:color w:val="000000" w:themeColor="text1"/>
                <w:sz w:val="21"/>
                <w14:textFill>
                  <w14:solidFill>
                    <w14:schemeClr w14:val="tx1"/>
                  </w14:solidFill>
                </w14:textFill>
              </w:rPr>
              <w:t>巴陵石化水务部云溪生化装置</w:t>
            </w:r>
            <w:r>
              <w:rPr>
                <w:rFonts w:eastAsia="宋体" w:cs="Times New Roman"/>
                <w:color w:val="000000" w:themeColor="text1"/>
                <w:sz w:val="21"/>
                <w14:textFill>
                  <w14:solidFill>
                    <w14:schemeClr w14:val="tx1"/>
                  </w14:solidFill>
                </w14:textFill>
              </w:rPr>
              <w:t>处理</w:t>
            </w:r>
            <w:r>
              <w:rPr>
                <w:rFonts w:hint="eastAsia" w:eastAsia="宋体" w:cs="Times New Roman"/>
                <w:color w:val="000000" w:themeColor="text1"/>
                <w:sz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初期雨水</w:t>
            </w:r>
            <w:r>
              <w:rPr>
                <w:rFonts w:hint="eastAsia" w:eastAsia="宋体" w:cs="Times New Roman"/>
                <w:color w:val="000000" w:themeColor="text1"/>
                <w:sz w:val="21"/>
                <w:szCs w:val="21"/>
                <w14:textFill>
                  <w14:solidFill>
                    <w14:schemeClr w14:val="tx1"/>
                  </w14:solidFill>
                </w14:textFill>
              </w:rPr>
              <w:t>排入</w:t>
            </w:r>
            <w:r>
              <w:rPr>
                <w:rFonts w:eastAsia="宋体" w:cs="Times New Roman"/>
                <w:color w:val="000000" w:themeColor="text1"/>
                <w:sz w:val="21"/>
                <w14:textFill>
                  <w14:solidFill>
                    <w14:schemeClr w14:val="tx1"/>
                  </w14:solidFill>
                </w14:textFill>
              </w:rPr>
              <w:t>炼油部污水预处理装置隔油处理后，再送</w:t>
            </w:r>
            <w:r>
              <w:rPr>
                <w:rFonts w:hint="eastAsia" w:eastAsia="宋体" w:cs="Times New Roman"/>
                <w:color w:val="000000" w:themeColor="text1"/>
                <w:sz w:val="21"/>
                <w14:textFill>
                  <w14:solidFill>
                    <w14:schemeClr w14:val="tx1"/>
                  </w14:solidFill>
                </w14:textFill>
              </w:rPr>
              <w:t>巴陵石化水务部云溪生化装置</w:t>
            </w:r>
            <w:r>
              <w:rPr>
                <w:rFonts w:eastAsia="宋体" w:cs="Times New Roman"/>
                <w:color w:val="000000" w:themeColor="text1"/>
                <w:sz w:val="21"/>
                <w14:textFill>
                  <w14:solidFill>
                    <w14:schemeClr w14:val="tx1"/>
                  </w14:solidFill>
                </w14:textFill>
              </w:rPr>
              <w:t>处理</w:t>
            </w:r>
            <w:r>
              <w:rPr>
                <w:rFonts w:hint="eastAsia" w:eastAsia="宋体" w:cs="Times New Roman"/>
                <w:color w:val="000000" w:themeColor="text1"/>
                <w:sz w:val="21"/>
                <w14:textFill>
                  <w14:solidFill>
                    <w14:schemeClr w14:val="tx1"/>
                  </w14:solidFill>
                </w14:textFill>
              </w:rPr>
              <w:t>，</w:t>
            </w:r>
            <w:r>
              <w:rPr>
                <w:rFonts w:eastAsia="宋体" w:cs="Times New Roman"/>
                <w:color w:val="000000" w:themeColor="text1"/>
                <w:sz w:val="21"/>
                <w:szCs w:val="21"/>
                <w14:textFill>
                  <w14:solidFill>
                    <w14:schemeClr w14:val="tx1"/>
                  </w14:solidFill>
                </w14:textFill>
              </w:rPr>
              <w:t>机泵冷却产生的含油污水</w:t>
            </w:r>
            <w:r>
              <w:rPr>
                <w:rFonts w:hint="eastAsia" w:eastAsia="宋体" w:cs="Times New Roman"/>
                <w:color w:val="000000" w:themeColor="text1"/>
                <w:sz w:val="21"/>
                <w:szCs w:val="21"/>
                <w14:textFill>
                  <w14:solidFill>
                    <w14:schemeClr w14:val="tx1"/>
                  </w14:solidFill>
                </w14:textFill>
              </w:rPr>
              <w:t>经</w:t>
            </w:r>
            <w:r>
              <w:rPr>
                <w:rFonts w:eastAsia="宋体" w:cs="Times New Roman"/>
                <w:color w:val="000000" w:themeColor="text1"/>
                <w:sz w:val="21"/>
                <w14:textFill>
                  <w14:solidFill>
                    <w14:schemeClr w14:val="tx1"/>
                  </w14:solidFill>
                </w14:textFill>
              </w:rPr>
              <w:t>炼油部污水预处理装置处理后，再送</w:t>
            </w:r>
            <w:r>
              <w:rPr>
                <w:rFonts w:hint="eastAsia" w:eastAsia="宋体" w:cs="Times New Roman"/>
                <w:color w:val="000000" w:themeColor="text1"/>
                <w:sz w:val="21"/>
                <w14:textFill>
                  <w14:solidFill>
                    <w14:schemeClr w14:val="tx1"/>
                  </w14:solidFill>
                </w14:textFill>
              </w:rPr>
              <w:t>巴陵石化水务部云溪生化装置</w:t>
            </w:r>
            <w:r>
              <w:rPr>
                <w:rFonts w:eastAsia="宋体" w:cs="Times New Roman"/>
                <w:color w:val="000000" w:themeColor="text1"/>
                <w:sz w:val="21"/>
                <w14:textFill>
                  <w14:solidFill>
                    <w14:schemeClr w14:val="tx1"/>
                  </w14:solidFill>
                </w14:textFill>
              </w:rPr>
              <w:t>处理</w:t>
            </w:r>
            <w:r>
              <w:rPr>
                <w:rFonts w:hint="eastAsia" w:eastAsia="宋体" w:cs="Times New Roman"/>
                <w:color w:val="000000" w:themeColor="text1"/>
                <w:sz w:val="21"/>
                <w14:textFill>
                  <w14:solidFill>
                    <w14:schemeClr w14:val="tx1"/>
                  </w14:solidFill>
                </w14:textFill>
              </w:rPr>
              <w:t>。</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依托现有炼油部管网及污水预处理系统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噪声处理</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项目采用DCS控制，实行运程操作，压缩机、风机等设备采取敞开布置或单独布置，设备设隔声罩，放空管道出口安装消音器</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固废</w:t>
            </w:r>
          </w:p>
        </w:tc>
        <w:tc>
          <w:tcPr>
            <w:tcW w:w="4492" w:type="dxa"/>
            <w:noWrap w:val="0"/>
            <w:vAlign w:val="center"/>
          </w:tcPr>
          <w:p>
            <w:pPr>
              <w:pStyle w:val="112"/>
              <w:keepNext w:val="0"/>
              <w:keepLines w:val="0"/>
              <w:suppressLineNumbers w:val="0"/>
              <w:adjustRightInd w:val="0"/>
              <w:snapToGrid w:val="0"/>
              <w:spacing w:before="0" w:beforeAutospacing="0" w:after="0" w:afterAutospacing="0"/>
              <w:ind w:left="78" w:right="4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危险废物集中收集暂存，按照要求建设暂存间，并定期交由有资质的单位处理</w:t>
            </w:r>
            <w:r>
              <w:rPr>
                <w:rFonts w:hint="eastAsia" w:ascii="Times New Roman" w:hAnsi="Times New Roman" w:cs="Times New Roman"/>
                <w:color w:val="000000" w:themeColor="text1"/>
                <w:sz w:val="21"/>
                <w:szCs w:val="21"/>
                <w:lang w:eastAsia="zh-CN"/>
                <w14:textFill>
                  <w14:solidFill>
                    <w14:schemeClr w14:val="tx1"/>
                  </w14:solidFill>
                </w14:textFill>
              </w:rPr>
              <w:t>。本项目炼油部现有厂区已设置一个危废暂存间，位于厂区西南方向约200m。危险废物暂存间的面积约为</w:t>
            </w:r>
            <w:r>
              <w:rPr>
                <w:rFonts w:hint="eastAsia" w:ascii="Times New Roman" w:hAnsi="Times New Roman" w:cs="Times New Roman"/>
                <w:color w:val="000000" w:themeColor="text1"/>
                <w:sz w:val="21"/>
                <w:szCs w:val="21"/>
                <w:lang w:val="en-US" w:eastAsia="zh-CN"/>
                <w14:textFill>
                  <w14:solidFill>
                    <w14:schemeClr w14:val="tx1"/>
                  </w14:solidFill>
                </w14:textFill>
              </w:rPr>
              <w:t>600m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0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环境风险</w:t>
            </w:r>
          </w:p>
        </w:tc>
        <w:tc>
          <w:tcPr>
            <w:tcW w:w="4492"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pacing w:val="-5"/>
                <w:sz w:val="21"/>
                <w14:textFill>
                  <w14:solidFill>
                    <w14:schemeClr w14:val="tx1"/>
                  </w14:solidFill>
                </w14:textFill>
              </w:rPr>
              <w:t>装置区周边设立明显的禁止明火</w:t>
            </w:r>
            <w:r>
              <w:rPr>
                <w:rFonts w:eastAsia="宋体" w:cs="Times New Roman"/>
                <w:color w:val="000000" w:themeColor="text1"/>
                <w:spacing w:val="-9"/>
                <w:sz w:val="21"/>
                <w14:textFill>
                  <w14:solidFill>
                    <w14:schemeClr w14:val="tx1"/>
                  </w14:solidFill>
                </w14:textFill>
              </w:rPr>
              <w:t>标志、安全防火标志和防火距离警示牌及火灾报警信号</w:t>
            </w:r>
            <w:r>
              <w:rPr>
                <w:rFonts w:eastAsia="宋体" w:cs="Times New Roman"/>
                <w:color w:val="000000" w:themeColor="text1"/>
                <w:sz w:val="21"/>
                <w14:textFill>
                  <w14:solidFill>
                    <w14:schemeClr w14:val="tx1"/>
                  </w14:solidFill>
                </w14:textFill>
              </w:rPr>
              <w:t>系统，并配备各种消防器材。本项目依托巴陵石化分公司事故应急池，该事故应急池有效容积为20000m</w:t>
            </w:r>
            <w:r>
              <w:rPr>
                <w:rFonts w:eastAsia="宋体" w:cs="Times New Roman"/>
                <w:color w:val="000000" w:themeColor="text1"/>
                <w:sz w:val="21"/>
                <w:vertAlign w:val="superscript"/>
                <w14:textFill>
                  <w14:solidFill>
                    <w14:schemeClr w14:val="tx1"/>
                  </w14:solidFill>
                </w14:textFill>
              </w:rPr>
              <w:t>3</w:t>
            </w:r>
            <w:r>
              <w:rPr>
                <w:rFonts w:eastAsia="宋体" w:cs="Times New Roman"/>
                <w:color w:val="000000" w:themeColor="text1"/>
                <w:sz w:val="21"/>
                <w14:textFill>
                  <w14:solidFill>
                    <w14:schemeClr w14:val="tx1"/>
                  </w14:solidFill>
                </w14:textFill>
              </w:rPr>
              <w:t>，初期雨水和生产废水一起排入含油污水系统</w:t>
            </w:r>
            <w:r>
              <w:rPr>
                <w:rStyle w:val="45"/>
                <w:rFonts w:eastAsia="宋体" w:cs="Times New Roman"/>
                <w:color w:val="000000" w:themeColor="text1"/>
                <w14:textFill>
                  <w14:solidFill>
                    <w14:schemeClr w14:val="tx1"/>
                  </w14:solidFill>
                </w14:textFill>
              </w:rPr>
              <w:t>处理后排入</w:t>
            </w:r>
            <w:r>
              <w:rPr>
                <w:rStyle w:val="45"/>
                <w:rFonts w:hint="eastAsia" w:eastAsia="宋体" w:cs="Times New Roman"/>
                <w:color w:val="000000" w:themeColor="text1"/>
                <w14:textFill>
                  <w14:solidFill>
                    <w14:schemeClr w14:val="tx1"/>
                  </w14:solidFill>
                </w14:textFill>
              </w:rPr>
              <w:t>巴陵石化水务部云溪生化装置</w:t>
            </w:r>
            <w:r>
              <w:rPr>
                <w:rStyle w:val="45"/>
                <w:rFonts w:eastAsia="宋体" w:cs="Times New Roman"/>
                <w:color w:val="000000" w:themeColor="text1"/>
                <w14:textFill>
                  <w14:solidFill>
                    <w14:schemeClr w14:val="tx1"/>
                  </w14:solidFill>
                </w14:textFill>
              </w:rPr>
              <w:t>处理</w:t>
            </w:r>
            <w:r>
              <w:rPr>
                <w:rFonts w:eastAsia="宋体" w:cs="Times New Roman"/>
                <w:color w:val="000000" w:themeColor="text1"/>
                <w:sz w:val="21"/>
                <w14:textFill>
                  <w14:solidFill>
                    <w14:schemeClr w14:val="tx1"/>
                  </w14:solidFill>
                </w14:textFill>
              </w:rPr>
              <w:t>，后期雨水通过清污分流切换阀进入公司雨水排放沟，最后流入松阳湖。</w:t>
            </w:r>
          </w:p>
        </w:tc>
        <w:tc>
          <w:tcPr>
            <w:tcW w:w="1807"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依托</w:t>
            </w:r>
          </w:p>
        </w:tc>
      </w:tr>
    </w:tbl>
    <w:p>
      <w:pPr>
        <w:pStyle w:val="4"/>
        <w:rPr>
          <w:color w:val="000000" w:themeColor="text1"/>
          <w14:textFill>
            <w14:solidFill>
              <w14:schemeClr w14:val="tx1"/>
            </w14:solidFill>
          </w14:textFill>
        </w:rPr>
      </w:pPr>
      <w:bookmarkStart w:id="135" w:name="_Toc23917"/>
      <w:r>
        <w:rPr>
          <w:color w:val="000000" w:themeColor="text1"/>
          <w14:textFill>
            <w14:solidFill>
              <w14:schemeClr w14:val="tx1"/>
            </w14:solidFill>
          </w14:textFill>
        </w:rPr>
        <w:t>拟建项目产品方案</w:t>
      </w:r>
      <w:bookmarkEnd w:id="135"/>
    </w:p>
    <w:p>
      <w:pPr>
        <w:spacing w:line="360" w:lineRule="auto"/>
        <w:ind w:firstLine="480" w:firstLineChars="200"/>
        <w:rPr>
          <w:color w:val="000000" w:themeColor="text1"/>
          <w:u w:val="single"/>
          <w14:textFill>
            <w14:solidFill>
              <w14:schemeClr w14:val="tx1"/>
            </w14:solidFill>
          </w14:textFill>
        </w:rPr>
      </w:pPr>
      <w:r>
        <w:rPr>
          <w:rFonts w:hint="eastAsia"/>
          <w:color w:val="000000" w:themeColor="text1"/>
          <w:u w:val="single"/>
          <w:lang w:eastAsia="zh-CN"/>
          <w14:textFill>
            <w14:solidFill>
              <w14:schemeClr w14:val="tx1"/>
            </w14:solidFill>
          </w14:textFill>
        </w:rPr>
        <w:t>本项目目前的加氢能力只能生产</w:t>
      </w:r>
      <w:r>
        <w:rPr>
          <w:rFonts w:hint="eastAsia"/>
          <w:color w:val="000000" w:themeColor="text1"/>
          <w:u w:val="single"/>
          <w:lang w:val="en-US" w:eastAsia="zh-CN"/>
          <w14:textFill>
            <w14:solidFill>
              <w14:schemeClr w14:val="tx1"/>
            </w14:solidFill>
          </w14:textFill>
        </w:rPr>
        <w:t>8万吨/粗白油，</w:t>
      </w:r>
      <w:r>
        <w:rPr>
          <w:color w:val="000000" w:themeColor="text1"/>
          <w:u w:val="single"/>
          <w14:textFill>
            <w14:solidFill>
              <w14:schemeClr w14:val="tx1"/>
            </w14:solidFill>
          </w14:textFill>
        </w:rPr>
        <w:t>本项目拟建产品见下表所示。</w:t>
      </w:r>
    </w:p>
    <w:p>
      <w:pPr>
        <w:pStyle w:val="5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STYLEREF 2 \s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w:t>
      </w:r>
      <w:r>
        <w:rPr>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noBreakHyphen/>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SEQ 表 \* ARABIC \s 2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r>
        <w:rPr>
          <w:color w:val="000000" w:themeColor="text1"/>
          <w:sz w:val="24"/>
          <w:szCs w:val="24"/>
          <w14:textFill>
            <w14:solidFill>
              <w14:schemeClr w14:val="tx1"/>
            </w14:solidFill>
          </w14:textFill>
        </w:rPr>
        <w:t xml:space="preserve">  拟建产品方案一览表</w:t>
      </w:r>
    </w:p>
    <w:tbl>
      <w:tblPr>
        <w:tblStyle w:val="4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76"/>
        <w:gridCol w:w="2220"/>
        <w:gridCol w:w="2721"/>
        <w:gridCol w:w="27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3" w:type="pct"/>
            <w:noWrap w:val="0"/>
            <w:vAlign w:val="center"/>
          </w:tcPr>
          <w:p>
            <w:pPr>
              <w:pStyle w:val="73"/>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2"/>
                <w:u w:val="single"/>
                <w14:textFill>
                  <w14:solidFill>
                    <w14:schemeClr w14:val="tx1"/>
                  </w14:solidFill>
                </w14:textFill>
              </w:rPr>
            </w:pPr>
            <w:r>
              <w:rPr>
                <w:rFonts w:hint="default" w:ascii="Times New Roman" w:hAnsi="Times New Roman" w:cs="Times New Roman"/>
                <w:color w:val="000000" w:themeColor="text1"/>
                <w:kern w:val="2"/>
                <w:u w:val="single"/>
                <w14:textFill>
                  <w14:solidFill>
                    <w14:schemeClr w14:val="tx1"/>
                  </w14:solidFill>
                </w14:textFill>
              </w:rPr>
              <w:t>序号</w:t>
            </w:r>
          </w:p>
        </w:tc>
        <w:tc>
          <w:tcPr>
            <w:tcW w:w="1201" w:type="pct"/>
            <w:tcBorders>
              <w:right w:val="single" w:color="000000" w:sz="4" w:space="0"/>
            </w:tcBorders>
            <w:noWrap w:val="0"/>
            <w:vAlign w:val="center"/>
          </w:tcPr>
          <w:p>
            <w:pPr>
              <w:pStyle w:val="73"/>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2"/>
                <w:u w:val="single"/>
                <w14:textFill>
                  <w14:solidFill>
                    <w14:schemeClr w14:val="tx1"/>
                  </w14:solidFill>
                </w14:textFill>
              </w:rPr>
            </w:pPr>
            <w:r>
              <w:rPr>
                <w:rFonts w:hint="default" w:ascii="Times New Roman" w:hAnsi="Times New Roman" w:cs="Times New Roman"/>
                <w:color w:val="000000" w:themeColor="text1"/>
                <w:kern w:val="2"/>
                <w:u w:val="single"/>
                <w14:textFill>
                  <w14:solidFill>
                    <w14:schemeClr w14:val="tx1"/>
                  </w14:solidFill>
                </w14:textFill>
              </w:rPr>
              <w:t>产品名称</w:t>
            </w:r>
          </w:p>
        </w:tc>
        <w:tc>
          <w:tcPr>
            <w:tcW w:w="1472" w:type="pct"/>
            <w:tcBorders>
              <w:left w:val="single" w:color="000000" w:sz="4" w:space="0"/>
            </w:tcBorders>
            <w:noWrap w:val="0"/>
            <w:vAlign w:val="center"/>
          </w:tcPr>
          <w:p>
            <w:pPr>
              <w:pStyle w:val="7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000000" w:themeColor="text1"/>
                <w:kern w:val="2"/>
                <w:u w:val="single"/>
                <w:lang w:val="en-US" w:eastAsia="zh-CN"/>
                <w14:textFill>
                  <w14:solidFill>
                    <w14:schemeClr w14:val="tx1"/>
                  </w14:solidFill>
                </w14:textFill>
              </w:rPr>
            </w:pPr>
            <w:r>
              <w:rPr>
                <w:rFonts w:hint="eastAsia" w:cs="Times New Roman"/>
                <w:color w:val="000000" w:themeColor="text1"/>
                <w:kern w:val="2"/>
                <w:u w:val="single"/>
                <w:lang w:val="en-US" w:eastAsia="zh-CN"/>
                <w14:textFill>
                  <w14:solidFill>
                    <w14:schemeClr w14:val="tx1"/>
                  </w14:solidFill>
                </w14:textFill>
              </w:rPr>
              <w:t>产量</w:t>
            </w:r>
          </w:p>
        </w:tc>
        <w:tc>
          <w:tcPr>
            <w:tcW w:w="1472" w:type="pct"/>
            <w:tcBorders>
              <w:left w:val="single" w:color="000000" w:sz="4" w:space="0"/>
            </w:tcBorders>
            <w:noWrap w:val="0"/>
            <w:vAlign w:val="center"/>
          </w:tcPr>
          <w:p>
            <w:pPr>
              <w:pStyle w:val="73"/>
              <w:keepNext w:val="0"/>
              <w:keepLines w:val="0"/>
              <w:suppressLineNumbers w:val="0"/>
              <w:adjustRightInd w:val="0"/>
              <w:snapToGrid w:val="0"/>
              <w:spacing w:before="0" w:beforeAutospacing="0" w:after="0" w:afterAutospacing="0"/>
              <w:ind w:left="0" w:right="0"/>
              <w:rPr>
                <w:rFonts w:hint="eastAsia" w:cs="Times New Roman"/>
                <w:color w:val="000000" w:themeColor="text1"/>
                <w:kern w:val="2"/>
                <w:u w:val="single"/>
                <w:lang w:val="en-US" w:eastAsia="zh-CN"/>
                <w14:textFill>
                  <w14:solidFill>
                    <w14:schemeClr w14:val="tx1"/>
                  </w14:solidFill>
                </w14:textFill>
              </w:rPr>
            </w:pPr>
            <w:r>
              <w:rPr>
                <w:rFonts w:hint="eastAsia" w:cs="Times New Roman"/>
                <w:color w:val="000000" w:themeColor="text1"/>
                <w:kern w:val="2"/>
                <w:u w:val="single"/>
                <w:lang w:val="en-US" w:eastAsia="zh-CN"/>
                <w14:textFill>
                  <w14:solidFill>
                    <w14:schemeClr w14:val="tx1"/>
                  </w14:solidFill>
                </w14:textFill>
              </w:rPr>
              <w:t>去向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w:t>
            </w:r>
          </w:p>
        </w:tc>
        <w:tc>
          <w:tcPr>
            <w:tcW w:w="1201" w:type="pct"/>
            <w:tcBorders>
              <w:right w:val="single" w:color="000000" w:sz="4" w:space="0"/>
            </w:tcBorders>
            <w:noWrap w:val="0"/>
            <w:vAlign w:val="center"/>
          </w:tcPr>
          <w:p>
            <w:pPr>
              <w:pStyle w:val="73"/>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2"/>
                <w:u w:val="single"/>
                <w14:textFill>
                  <w14:solidFill>
                    <w14:schemeClr w14:val="tx1"/>
                  </w14:solidFill>
                </w14:textFill>
              </w:rPr>
            </w:pPr>
            <w:r>
              <w:rPr>
                <w:rFonts w:hint="default" w:ascii="Times New Roman" w:hAnsi="Times New Roman" w:cs="Times New Roman"/>
                <w:color w:val="000000" w:themeColor="text1"/>
                <w:kern w:val="2"/>
                <w:u w:val="single"/>
                <w14:textFill>
                  <w14:solidFill>
                    <w14:schemeClr w14:val="tx1"/>
                  </w14:solidFill>
                </w14:textFill>
              </w:rPr>
              <w:t>200#溶剂油</w:t>
            </w:r>
          </w:p>
        </w:tc>
        <w:tc>
          <w:tcPr>
            <w:tcW w:w="1472" w:type="pct"/>
            <w:tcBorders>
              <w:left w:val="single" w:color="000000" w:sz="4" w:space="0"/>
            </w:tcBorders>
            <w:noWrap w:val="0"/>
            <w:vAlign w:val="center"/>
          </w:tcPr>
          <w:p>
            <w:pPr>
              <w:pStyle w:val="73"/>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2"/>
                <w:u w:val="single"/>
                <w14:textFill>
                  <w14:solidFill>
                    <w14:schemeClr w14:val="tx1"/>
                  </w14:solidFill>
                </w14:textFill>
              </w:rPr>
            </w:pPr>
            <w:r>
              <w:rPr>
                <w:rFonts w:hint="default" w:ascii="Times New Roman" w:hAnsi="Times New Roman" w:cs="Times New Roman"/>
                <w:color w:val="000000" w:themeColor="text1"/>
                <w:kern w:val="2"/>
                <w:u w:val="single"/>
                <w14:textFill>
                  <w14:solidFill>
                    <w14:schemeClr w14:val="tx1"/>
                  </w14:solidFill>
                </w14:textFill>
              </w:rPr>
              <w:t>2.4</w:t>
            </w:r>
            <w:r>
              <w:rPr>
                <w:rFonts w:hint="default" w:ascii="Times New Roman" w:hAnsi="Times New Roman" w:cs="Times New Roman"/>
                <w:color w:val="000000" w:themeColor="text1"/>
                <w:u w:val="single"/>
                <w14:textFill>
                  <w14:solidFill>
                    <w14:schemeClr w14:val="tx1"/>
                  </w14:solidFill>
                </w14:textFill>
              </w:rPr>
              <w:t>×10</w:t>
            </w:r>
            <w:r>
              <w:rPr>
                <w:rFonts w:hint="default" w:ascii="Times New Roman" w:hAnsi="Times New Roman" w:cs="Times New Roman"/>
                <w:color w:val="000000" w:themeColor="text1"/>
                <w:u w:val="single"/>
                <w:vertAlign w:val="superscript"/>
                <w14:textFill>
                  <w14:solidFill>
                    <w14:schemeClr w14:val="tx1"/>
                  </w14:solidFill>
                </w14:textFill>
              </w:rPr>
              <w:t>4</w:t>
            </w:r>
            <w:r>
              <w:rPr>
                <w:rFonts w:hint="default" w:ascii="Times New Roman" w:hAnsi="Times New Roman" w:cs="Times New Roman"/>
                <w:color w:val="000000" w:themeColor="text1"/>
                <w:szCs w:val="21"/>
                <w:u w:val="single"/>
                <w14:textFill>
                  <w14:solidFill>
                    <w14:schemeClr w14:val="tx1"/>
                  </w14:solidFill>
                </w14:textFill>
              </w:rPr>
              <w:t>t/a</w:t>
            </w:r>
          </w:p>
        </w:tc>
        <w:tc>
          <w:tcPr>
            <w:tcW w:w="1472" w:type="pct"/>
            <w:tcBorders>
              <w:left w:val="single" w:color="000000" w:sz="4" w:space="0"/>
            </w:tcBorders>
            <w:noWrap w:val="0"/>
            <w:vAlign w:val="center"/>
          </w:tcPr>
          <w:p>
            <w:pPr>
              <w:pStyle w:val="7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000000" w:themeColor="text1"/>
                <w:kern w:val="2"/>
                <w:u w:val="single"/>
                <w:lang w:eastAsia="zh-CN"/>
                <w14:textFill>
                  <w14:solidFill>
                    <w14:schemeClr w14:val="tx1"/>
                  </w14:solidFill>
                </w14:textFill>
              </w:rPr>
            </w:pPr>
            <w:r>
              <w:rPr>
                <w:rFonts w:hint="eastAsia" w:cs="Times New Roman"/>
                <w:color w:val="000000" w:themeColor="text1"/>
                <w:kern w:val="2"/>
                <w:u w:val="single"/>
                <w:lang w:eastAsia="zh-CN"/>
                <w14:textFill>
                  <w14:solidFill>
                    <w14:schemeClr w14:val="tx1"/>
                  </w14:solidFill>
                </w14:textFill>
              </w:rPr>
              <w:t>外售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5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2</w:t>
            </w:r>
          </w:p>
        </w:tc>
        <w:tc>
          <w:tcPr>
            <w:tcW w:w="1201" w:type="pct"/>
            <w:noWrap w:val="0"/>
            <w:vAlign w:val="center"/>
          </w:tcPr>
          <w:p>
            <w:pPr>
              <w:pStyle w:val="73"/>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2"/>
                <w:u w:val="single"/>
                <w14:textFill>
                  <w14:solidFill>
                    <w14:schemeClr w14:val="tx1"/>
                  </w14:solidFill>
                </w14:textFill>
              </w:rPr>
            </w:pPr>
            <w:r>
              <w:rPr>
                <w:rFonts w:hint="default" w:ascii="Times New Roman" w:hAnsi="Times New Roman" w:cs="Times New Roman"/>
                <w:color w:val="000000" w:themeColor="text1"/>
                <w:kern w:val="2"/>
                <w:u w:val="single"/>
                <w14:textFill>
                  <w14:solidFill>
                    <w14:schemeClr w14:val="tx1"/>
                  </w14:solidFill>
                </w14:textFill>
              </w:rPr>
              <w:t>3#粗白油</w:t>
            </w:r>
          </w:p>
        </w:tc>
        <w:tc>
          <w:tcPr>
            <w:tcW w:w="1472" w:type="pct"/>
            <w:noWrap w:val="0"/>
            <w:vAlign w:val="center"/>
          </w:tcPr>
          <w:p>
            <w:pPr>
              <w:pStyle w:val="73"/>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2"/>
                <w:u w:val="single"/>
                <w14:textFill>
                  <w14:solidFill>
                    <w14:schemeClr w14:val="tx1"/>
                  </w14:solidFill>
                </w14:textFill>
              </w:rPr>
            </w:pPr>
            <w:r>
              <w:rPr>
                <w:rFonts w:hint="default" w:ascii="Times New Roman" w:hAnsi="Times New Roman" w:cs="Times New Roman"/>
                <w:color w:val="000000" w:themeColor="text1"/>
                <w:kern w:val="2"/>
                <w:u w:val="single"/>
                <w14:textFill>
                  <w14:solidFill>
                    <w14:schemeClr w14:val="tx1"/>
                  </w14:solidFill>
                </w14:textFill>
              </w:rPr>
              <w:t>5.602</w:t>
            </w:r>
            <w:r>
              <w:rPr>
                <w:rFonts w:hint="default" w:ascii="Times New Roman" w:hAnsi="Times New Roman" w:cs="Times New Roman"/>
                <w:color w:val="000000" w:themeColor="text1"/>
                <w:u w:val="single"/>
                <w14:textFill>
                  <w14:solidFill>
                    <w14:schemeClr w14:val="tx1"/>
                  </w14:solidFill>
                </w14:textFill>
              </w:rPr>
              <w:t>×10</w:t>
            </w:r>
            <w:r>
              <w:rPr>
                <w:rFonts w:hint="default" w:ascii="Times New Roman" w:hAnsi="Times New Roman" w:cs="Times New Roman"/>
                <w:color w:val="000000" w:themeColor="text1"/>
                <w:u w:val="single"/>
                <w:vertAlign w:val="superscript"/>
                <w14:textFill>
                  <w14:solidFill>
                    <w14:schemeClr w14:val="tx1"/>
                  </w14:solidFill>
                </w14:textFill>
              </w:rPr>
              <w:t>4</w:t>
            </w:r>
            <w:r>
              <w:rPr>
                <w:rFonts w:hint="default" w:ascii="Times New Roman" w:hAnsi="Times New Roman" w:cs="Times New Roman"/>
                <w:color w:val="000000" w:themeColor="text1"/>
                <w:szCs w:val="21"/>
                <w:u w:val="single"/>
                <w14:textFill>
                  <w14:solidFill>
                    <w14:schemeClr w14:val="tx1"/>
                  </w14:solidFill>
                </w14:textFill>
              </w:rPr>
              <w:t>t/a</w:t>
            </w:r>
          </w:p>
        </w:tc>
        <w:tc>
          <w:tcPr>
            <w:tcW w:w="1472" w:type="pct"/>
            <w:noWrap w:val="0"/>
            <w:vAlign w:val="center"/>
          </w:tcPr>
          <w:p>
            <w:pPr>
              <w:pStyle w:val="73"/>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2"/>
                <w:u w:val="single"/>
                <w14:textFill>
                  <w14:solidFill>
                    <w14:schemeClr w14:val="tx1"/>
                  </w14:solidFill>
                </w14:textFill>
              </w:rPr>
            </w:pPr>
            <w:r>
              <w:rPr>
                <w:rFonts w:hint="eastAsia" w:cs="Times New Roman"/>
                <w:color w:val="000000" w:themeColor="text1"/>
                <w:kern w:val="2"/>
                <w:u w:val="single"/>
                <w:lang w:eastAsia="zh-CN"/>
                <w14:textFill>
                  <w14:solidFill>
                    <w14:schemeClr w14:val="tx1"/>
                  </w14:solidFill>
                </w14:textFill>
              </w:rPr>
              <w:t>外售</w:t>
            </w:r>
          </w:p>
        </w:tc>
      </w:tr>
    </w:tbl>
    <w:p>
      <w:pPr>
        <w:pStyle w:val="4"/>
        <w:rPr>
          <w:color w:val="000000" w:themeColor="text1"/>
          <w14:textFill>
            <w14:solidFill>
              <w14:schemeClr w14:val="tx1"/>
            </w14:solidFill>
          </w14:textFill>
        </w:rPr>
      </w:pPr>
      <w:bookmarkStart w:id="136" w:name="_Toc4915"/>
      <w:r>
        <w:rPr>
          <w:color w:val="000000" w:themeColor="text1"/>
          <w14:textFill>
            <w14:solidFill>
              <w14:schemeClr w14:val="tx1"/>
            </w14:solidFill>
          </w14:textFill>
        </w:rPr>
        <w:t>产品规格</w:t>
      </w:r>
      <w:bookmarkEnd w:id="136"/>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本拟建项目产品规格见下表所示。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200#溶剂油产品质量指标</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4"/>
        <w:gridCol w:w="2457"/>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top w:val="single" w:color="auto" w:sz="12" w:space="0"/>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项目</w:t>
            </w:r>
          </w:p>
        </w:tc>
        <w:tc>
          <w:tcPr>
            <w:tcW w:w="1329" w:type="pct"/>
            <w:tcBorders>
              <w:top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质量指标</w:t>
            </w:r>
          </w:p>
        </w:tc>
        <w:tc>
          <w:tcPr>
            <w:tcW w:w="1667" w:type="pct"/>
            <w:tcBorders>
              <w:top w:val="single" w:color="auto" w:sz="12" w:space="0"/>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芳烃含量（体积分数）</w:t>
            </w:r>
            <w:r>
              <w:rPr>
                <w:rFonts w:hint="default" w:ascii="Times New Roman" w:hAnsi="Times New Roman" w:eastAsia="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不大于</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20</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 11132</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SH/T 0245</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 30519</w:t>
            </w:r>
            <w:r>
              <w:rPr>
                <w:rFonts w:hint="default" w:ascii="Times New Roman" w:hAnsi="Times New Roman" w:cs="Times New Roman"/>
                <w:b w:val="0"/>
                <w:color w:val="000000" w:themeColor="text1"/>
                <w:sz w:val="21"/>
                <w:szCs w:val="21"/>
                <w:vertAlign w:val="superscript"/>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外观</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透明，无沉淀及悬浮物</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目测</w:t>
            </w:r>
            <w:r>
              <w:rPr>
                <w:rFonts w:hint="default" w:ascii="Times New Roman" w:hAnsi="Times New Roman" w:cs="Times New Roman"/>
                <w:b w:val="0"/>
                <w:color w:val="000000" w:themeColor="text1"/>
                <w:sz w:val="21"/>
                <w:szCs w:val="21"/>
                <w:vertAlign w:val="superscript"/>
                <w14:textFill>
                  <w14:solidFill>
                    <w14:schemeClr w14:val="tx1"/>
                  </w14:solidFill>
                </w14:textFill>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闪点（闭口）/℃不低于</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33</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GB/T21929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色度/号     不下于</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＋25</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溴值/（gBr/100g）不大于</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5</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GB/T11135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博士试验</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报告</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NB/SH/T0174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馏程</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初馏点</w:t>
            </w:r>
            <w:r>
              <w:rPr>
                <w:rFonts w:hint="default" w:ascii="Times New Roman" w:hAnsi="Times New Roman" w:eastAsia="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   不低于</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终馏点</w:t>
            </w:r>
            <w:r>
              <w:rPr>
                <w:rFonts w:hint="default" w:ascii="Times New Roman" w:hAnsi="Times New Roman" w:eastAsia="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    不高于</w:t>
            </w:r>
          </w:p>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残留量（体积分数）</w:t>
            </w:r>
            <w:r>
              <w:rPr>
                <w:rFonts w:hint="default" w:ascii="Times New Roman" w:hAnsi="Times New Roman" w:eastAsia="Times New Roman" w:cs="Times New Roman"/>
                <w:b w:val="0"/>
                <w:color w:val="000000" w:themeColor="text1"/>
                <w:sz w:val="21"/>
                <w:szCs w:val="21"/>
                <w14:textFill>
                  <w14:solidFill>
                    <w14:schemeClr w14:val="tx1"/>
                  </w14:solidFill>
                </w14:textFill>
              </w:rPr>
              <w:t xml:space="preserve">/% </w:t>
            </w:r>
            <w:r>
              <w:rPr>
                <w:rFonts w:hint="default" w:ascii="Times New Roman" w:hAnsi="Times New Roman" w:cs="Times New Roman"/>
                <w:b w:val="0"/>
                <w:color w:val="000000" w:themeColor="text1"/>
                <w:sz w:val="21"/>
                <w:szCs w:val="21"/>
                <w14:textFill>
                  <w14:solidFill>
                    <w14:schemeClr w14:val="tx1"/>
                  </w14:solidFill>
                </w14:textFill>
              </w:rPr>
              <w:t>不大于</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140</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215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1.5</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GB/T6536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水溶性酸碱</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无</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铜片腐蚀（</w:t>
            </w:r>
            <w:r>
              <w:rPr>
                <w:rFonts w:hint="default" w:ascii="Times New Roman" w:hAnsi="Times New Roman" w:eastAsia="Times New Roman" w:cs="Times New Roman"/>
                <w:b w:val="0"/>
                <w:color w:val="000000" w:themeColor="text1"/>
                <w:sz w:val="21"/>
                <w:szCs w:val="21"/>
                <w14:textFill>
                  <w14:solidFill>
                    <w14:schemeClr w14:val="tx1"/>
                  </w14:solidFill>
                </w14:textFill>
              </w:rPr>
              <w:t>50</w:t>
            </w:r>
            <w:r>
              <w:rPr>
                <w:rFonts w:hint="default" w:ascii="Times New Roman" w:hAnsi="Times New Roman" w:cs="Times New Roman"/>
                <w:b w:val="0"/>
                <w:color w:val="000000" w:themeColor="text1"/>
                <w:sz w:val="21"/>
                <w:szCs w:val="21"/>
                <w14:textFill>
                  <w14:solidFill>
                    <w14:schemeClr w14:val="tx1"/>
                  </w14:solidFill>
                </w14:textFill>
              </w:rPr>
              <w:t>℃，</w:t>
            </w:r>
            <w:r>
              <w:rPr>
                <w:rFonts w:hint="default" w:ascii="Times New Roman" w:hAnsi="Times New Roman" w:eastAsia="Times New Roman" w:cs="Times New Roman"/>
                <w:b w:val="0"/>
                <w:color w:val="000000" w:themeColor="text1"/>
                <w:sz w:val="21"/>
                <w:szCs w:val="21"/>
                <w14:textFill>
                  <w14:solidFill>
                    <w14:schemeClr w14:val="tx1"/>
                  </w14:solidFill>
                </w14:textFill>
              </w:rPr>
              <w:t>3h</w:t>
            </w:r>
            <w:r>
              <w:rPr>
                <w:rFonts w:hint="default" w:ascii="Times New Roman" w:hAnsi="Times New Roman" w:cs="Times New Roman"/>
                <w:b w:val="0"/>
                <w:color w:val="000000" w:themeColor="text1"/>
                <w:sz w:val="21"/>
                <w:szCs w:val="21"/>
                <w14:textFill>
                  <w14:solidFill>
                    <w14:schemeClr w14:val="tx1"/>
                  </w14:solidFill>
                </w14:textFill>
              </w:rPr>
              <w:t>）</w:t>
            </w:r>
            <w:r>
              <w:rPr>
                <w:rFonts w:hint="default" w:ascii="Times New Roman" w:hAnsi="Times New Roman" w:eastAsia="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级不大于</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GB/T5096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密度（</w:t>
            </w:r>
            <w:r>
              <w:rPr>
                <w:rFonts w:hint="default" w:ascii="Times New Roman" w:hAnsi="Times New Roman" w:eastAsia="Times New Roman" w:cs="Times New Roman"/>
                <w:b w:val="0"/>
                <w:color w:val="000000" w:themeColor="text1"/>
                <w:sz w:val="21"/>
                <w:szCs w:val="21"/>
                <w14:textFill>
                  <w14:solidFill>
                    <w14:schemeClr w14:val="tx1"/>
                  </w14:solidFill>
                </w14:textFill>
              </w:rPr>
              <w:t>20</w:t>
            </w:r>
            <w:r>
              <w:rPr>
                <w:rFonts w:hint="default" w:ascii="Times New Roman" w:hAnsi="Times New Roman" w:cs="Times New Roman"/>
                <w:b w:val="0"/>
                <w:color w:val="000000" w:themeColor="text1"/>
                <w:sz w:val="21"/>
                <w:szCs w:val="21"/>
                <w14:textFill>
                  <w14:solidFill>
                    <w14:schemeClr w14:val="tx1"/>
                  </w14:solidFill>
                </w14:textFill>
              </w:rPr>
              <w:t>℃）</w:t>
            </w:r>
            <w:r>
              <w:rPr>
                <w:rFonts w:hint="default" w:ascii="Times New Roman" w:hAnsi="Times New Roman" w:eastAsia="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w:t>
            </w:r>
            <w:r>
              <w:rPr>
                <w:rFonts w:hint="default" w:ascii="Times New Roman" w:hAnsi="Times New Roman" w:eastAsia="Times New Roman" w:cs="Times New Roman"/>
                <w:b w:val="0"/>
                <w:color w:val="000000" w:themeColor="text1"/>
                <w:sz w:val="21"/>
                <w:szCs w:val="21"/>
                <w14:textFill>
                  <w14:solidFill>
                    <w14:schemeClr w14:val="tx1"/>
                  </w14:solidFill>
                </w14:textFill>
              </w:rPr>
              <w:t>kg/m</w:t>
            </w:r>
            <w:r>
              <w:rPr>
                <w:rFonts w:hint="default" w:ascii="Times New Roman" w:hAnsi="Times New Roman" w:eastAsia="Times New Roman" w:cs="Times New Roman"/>
                <w:b w:val="0"/>
                <w:color w:val="000000" w:themeColor="text1"/>
                <w:sz w:val="21"/>
                <w:szCs w:val="21"/>
                <w:vertAlign w:val="superscript"/>
                <w14:textFill>
                  <w14:solidFill>
                    <w14:schemeClr w14:val="tx1"/>
                  </w14:solidFill>
                </w14:textFill>
              </w:rPr>
              <w:t>3</w:t>
            </w:r>
            <w:r>
              <w:rPr>
                <w:rFonts w:hint="default" w:ascii="Times New Roman" w:hAnsi="Times New Roman" w:cs="Times New Roman"/>
                <w:b w:val="0"/>
                <w:color w:val="000000" w:themeColor="text1"/>
                <w:sz w:val="21"/>
                <w:szCs w:val="21"/>
                <w14:textFill>
                  <w14:solidFill>
                    <w14:schemeClr w14:val="tx1"/>
                  </w14:solidFill>
                </w14:textFill>
              </w:rPr>
              <w:t>）</w:t>
            </w:r>
          </w:p>
        </w:tc>
        <w:tc>
          <w:tcPr>
            <w:tcW w:w="132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报告</w:t>
            </w:r>
          </w:p>
        </w:tc>
        <w:tc>
          <w:tcPr>
            <w:tcW w:w="1667" w:type="pct"/>
            <w:tcBorders>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GB/T1884</w:t>
            </w:r>
            <w:r>
              <w:rPr>
                <w:rFonts w:hint="default" w:ascii="Times New Roman" w:hAnsi="Times New Roman" w:eastAsia="宋体e眠副浡渀." w:cs="Times New Roman"/>
                <w:b w:val="0"/>
                <w:color w:val="000000" w:themeColor="text1"/>
                <w:sz w:val="21"/>
                <w:szCs w:val="21"/>
                <w14:textFill>
                  <w14:solidFill>
                    <w14:schemeClr w14:val="tx1"/>
                  </w14:solidFill>
                </w14:textFill>
              </w:rPr>
              <w:t>和</w:t>
            </w:r>
            <w:r>
              <w:rPr>
                <w:rFonts w:hint="default" w:ascii="Times New Roman" w:hAnsi="Times New Roman" w:cs="Times New Roman"/>
                <w:b w:val="0"/>
                <w:color w:val="000000" w:themeColor="text1"/>
                <w:sz w:val="21"/>
                <w:szCs w:val="21"/>
                <w14:textFill>
                  <w14:solidFill>
                    <w14:schemeClr w14:val="tx1"/>
                  </w14:solidFill>
                </w14:textFill>
              </w:rPr>
              <w:t>GB/T1885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4" w:type="pct"/>
            <w:tcBorders>
              <w:left w:val="nil"/>
              <w:bottom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碱性氮</w:t>
            </w:r>
            <w:r>
              <w:rPr>
                <w:rFonts w:hint="default" w:ascii="Times New Roman" w:hAnsi="Times New Roman" w:eastAsia="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w:t>
            </w:r>
            <w:r>
              <w:rPr>
                <w:rFonts w:hint="default" w:ascii="Times New Roman" w:hAnsi="Times New Roman" w:eastAsia="Times New Roman" w:cs="Times New Roman"/>
                <w:b w:val="0"/>
                <w:color w:val="000000" w:themeColor="text1"/>
                <w:sz w:val="21"/>
                <w:szCs w:val="21"/>
                <w14:textFill>
                  <w14:solidFill>
                    <w14:schemeClr w14:val="tx1"/>
                  </w14:solidFill>
                </w14:textFill>
              </w:rPr>
              <w:t>mg/kg</w:t>
            </w:r>
            <w:r>
              <w:rPr>
                <w:rFonts w:hint="default" w:ascii="Times New Roman" w:hAnsi="Times New Roman" w:cs="Times New Roman"/>
                <w:b w:val="0"/>
                <w:color w:val="000000" w:themeColor="text1"/>
                <w:sz w:val="21"/>
                <w:szCs w:val="21"/>
                <w14:textFill>
                  <w14:solidFill>
                    <w14:schemeClr w14:val="tx1"/>
                  </w14:solidFill>
                </w14:textFill>
              </w:rPr>
              <w:t>）</w:t>
            </w:r>
          </w:p>
        </w:tc>
        <w:tc>
          <w:tcPr>
            <w:tcW w:w="1329" w:type="pct"/>
            <w:tcBorders>
              <w:bottom w:val="single" w:color="auto" w:sz="12"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报告</w:t>
            </w:r>
          </w:p>
        </w:tc>
        <w:tc>
          <w:tcPr>
            <w:tcW w:w="1667" w:type="pct"/>
            <w:tcBorders>
              <w:bottom w:val="single" w:color="auto" w:sz="12" w:space="0"/>
              <w:right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SH/T0162</w:t>
            </w:r>
          </w:p>
        </w:tc>
      </w:tr>
    </w:tbl>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3#粗白油产品质量指标</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4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项目</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质量指标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粘度（40℃）mm</w:t>
            </w:r>
            <w:r>
              <w:rPr>
                <w:rFonts w:hint="default" w:ascii="Times New Roman" w:hAnsi="Times New Roman" w:cs="Times New Roman"/>
                <w:b w:val="0"/>
                <w:color w:val="000000" w:themeColor="text1"/>
                <w:sz w:val="21"/>
                <w:szCs w:val="21"/>
                <w:vertAlign w:val="superscript"/>
                <w14:textFill>
                  <w14:solidFill>
                    <w14:schemeClr w14:val="tx1"/>
                  </w14:solidFill>
                </w14:textFill>
              </w:rPr>
              <w:t>2</w:t>
            </w:r>
            <w:r>
              <w:rPr>
                <w:rFonts w:hint="default" w:ascii="Times New Roman" w:hAnsi="Times New Roman" w:cs="Times New Roman"/>
                <w:b w:val="0"/>
                <w:color w:val="000000" w:themeColor="text1"/>
                <w:sz w:val="21"/>
                <w:szCs w:val="21"/>
                <w14:textFill>
                  <w14:solidFill>
                    <w14:schemeClr w14:val="tx1"/>
                  </w14:solidFill>
                </w14:textFill>
              </w:rPr>
              <w:t>/s</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w:t>
            </w:r>
            <w:r>
              <w:rPr>
                <w:rFonts w:hint="default" w:ascii="Times New Roman" w:hAnsi="Times New Roman" w:eastAsia="宋体e眠副浡渀."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密度（20℃），kg/m</w:t>
            </w:r>
            <w:r>
              <w:rPr>
                <w:rFonts w:hint="default" w:ascii="Times New Roman" w:hAnsi="Times New Roman" w:cs="Times New Roman"/>
                <w:b w:val="0"/>
                <w:color w:val="000000" w:themeColor="text1"/>
                <w:sz w:val="21"/>
                <w:szCs w:val="21"/>
                <w:vertAlign w:val="superscript"/>
                <w14:textFill>
                  <w14:solidFill>
                    <w14:schemeClr w14:val="tx1"/>
                  </w14:solidFill>
                </w14:textFill>
              </w:rPr>
              <w:t>3</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报告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闪点（闭口）℃    不低于</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颜色</w:t>
            </w:r>
            <w:r>
              <w:rPr>
                <w:rFonts w:hint="default" w:ascii="Times New Roman" w:hAnsi="Times New Roman" w:eastAsia="Times New Roman" w:cs="Times New Roman"/>
                <w:b w:val="0"/>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sz w:val="21"/>
                <w:szCs w:val="21"/>
                <w14:textFill>
                  <w14:solidFill>
                    <w14:schemeClr w14:val="tx1"/>
                  </w14:solidFill>
                </w14:textFill>
              </w:rPr>
              <w:t>赛波特颜色号   不小于</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机械杂质（质量分数）</w:t>
            </w:r>
            <w:r>
              <w:rPr>
                <w:rFonts w:hint="default" w:ascii="Times New Roman" w:hAnsi="Times New Roman" w:eastAsia="Times New Roman" w:cs="Times New Roman"/>
                <w:bCs/>
                <w:color w:val="000000" w:themeColor="text1"/>
                <w:sz w:val="21"/>
                <w14:textFill>
                  <w14:solidFill>
                    <w14:schemeClr w14:val="tx1"/>
                  </w14:solidFill>
                </w14:textFill>
              </w:rPr>
              <w:t>%</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水含量（质量分数）</w:t>
            </w:r>
            <w:r>
              <w:rPr>
                <w:rFonts w:hint="default" w:ascii="Times New Roman" w:hAnsi="Times New Roman" w:eastAsia="Times New Roman" w:cs="Times New Roman"/>
                <w:b w:val="0"/>
                <w:color w:val="000000" w:themeColor="text1"/>
                <w:sz w:val="21"/>
                <w:szCs w:val="21"/>
                <w14:textFill>
                  <w14:solidFill>
                    <w14:schemeClr w14:val="tx1"/>
                  </w14:solidFill>
                </w14:textFill>
              </w:rPr>
              <w:t>%</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_x0007_恵.葶.." w:cs="Times New Roman"/>
                <w:bCs/>
                <w:color w:val="000000" w:themeColor="text1"/>
                <w:sz w:val="21"/>
                <w14:textFill>
                  <w14:solidFill>
                    <w14:schemeClr w14:val="tx1"/>
                  </w14:solidFill>
                </w14:textFill>
              </w:rPr>
            </w:pPr>
            <w:r>
              <w:rPr>
                <w:rFonts w:hint="default" w:ascii="Times New Roman" w:hAnsi="Times New Roman" w:eastAsia="宋体_x0007_恵.葶.." w:cs="Times New Roman"/>
                <w:bCs/>
                <w:color w:val="000000" w:themeColor="text1"/>
                <w:sz w:val="21"/>
                <w14:textFill>
                  <w14:solidFill>
                    <w14:schemeClr w14:val="tx1"/>
                  </w14:solidFill>
                </w14:textFill>
              </w:rPr>
              <w:t>铜片腐蚀</w:t>
            </w:r>
            <w:r>
              <w:rPr>
                <w:rFonts w:hint="default" w:ascii="Times New Roman" w:hAnsi="Times New Roman" w:eastAsia="Times New Roman" w:cs="Times New Roman"/>
                <w:bCs/>
                <w:color w:val="000000" w:themeColor="text1"/>
                <w:sz w:val="21"/>
                <w14:textFill>
                  <w14:solidFill>
                    <w14:schemeClr w14:val="tx1"/>
                  </w14:solidFill>
                </w14:textFill>
              </w:rPr>
              <w:t>(50℃</w:t>
            </w:r>
            <w:r>
              <w:rPr>
                <w:rFonts w:hint="default" w:ascii="Times New Roman" w:hAnsi="Times New Roman" w:eastAsia="宋体_x0007_恵.葶.." w:cs="Times New Roman"/>
                <w:bCs/>
                <w:color w:val="000000" w:themeColor="text1"/>
                <w:sz w:val="21"/>
                <w14:textFill>
                  <w14:solidFill>
                    <w14:schemeClr w14:val="tx1"/>
                  </w14:solidFill>
                </w14:textFill>
              </w:rPr>
              <w:t>，</w:t>
            </w:r>
            <w:r>
              <w:rPr>
                <w:rFonts w:hint="default" w:ascii="Times New Roman" w:hAnsi="Times New Roman" w:eastAsia="Times New Roman" w:cs="Times New Roman"/>
                <w:bCs/>
                <w:color w:val="000000" w:themeColor="text1"/>
                <w:sz w:val="21"/>
                <w14:textFill>
                  <w14:solidFill>
                    <w14:schemeClr w14:val="tx1"/>
                  </w14:solidFill>
                </w14:textFill>
              </w:rPr>
              <w:t>3h)/</w:t>
            </w:r>
            <w:r>
              <w:rPr>
                <w:rFonts w:hint="default" w:ascii="Times New Roman" w:hAnsi="Times New Roman" w:eastAsia="宋体_x0007_恵.葶.." w:cs="Times New Roman"/>
                <w:bCs/>
                <w:color w:val="000000" w:themeColor="text1"/>
                <w:sz w:val="21"/>
                <w14:textFill>
                  <w14:solidFill>
                    <w14:schemeClr w14:val="tx1"/>
                  </w14:solidFill>
                </w14:textFill>
              </w:rPr>
              <w:t>级 不大于</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硫含量 （</w:t>
            </w:r>
            <w:r>
              <w:rPr>
                <w:rFonts w:hint="default" w:ascii="Times New Roman" w:hAnsi="Times New Roman" w:eastAsia="Times New Roman" w:cs="Times New Roman"/>
                <w:b w:val="0"/>
                <w:color w:val="000000" w:themeColor="text1"/>
                <w:sz w:val="21"/>
                <w:szCs w:val="21"/>
                <w14:textFill>
                  <w14:solidFill>
                    <w14:schemeClr w14:val="tx1"/>
                  </w14:solidFill>
                </w14:textFill>
              </w:rPr>
              <w:t>mg/kg</w:t>
            </w:r>
            <w:r>
              <w:rPr>
                <w:rFonts w:hint="default" w:ascii="Times New Roman" w:hAnsi="Times New Roman" w:cs="Times New Roman"/>
                <w:b w:val="0"/>
                <w:color w:val="000000" w:themeColor="text1"/>
                <w:sz w:val="21"/>
                <w:szCs w:val="21"/>
                <w14:textFill>
                  <w14:solidFill>
                    <w14:schemeClr w14:val="tx1"/>
                  </w14:solidFill>
                </w14:textFill>
              </w:rPr>
              <w:t>）不大于</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芳烃含量 w%  不大于</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氮含量（</w:t>
            </w:r>
            <w:r>
              <w:rPr>
                <w:rFonts w:hint="default" w:ascii="Times New Roman" w:hAnsi="Times New Roman" w:eastAsia="Times New Roman" w:cs="Times New Roman"/>
                <w:b w:val="0"/>
                <w:color w:val="000000" w:themeColor="text1"/>
                <w:sz w:val="21"/>
                <w:szCs w:val="21"/>
                <w14:textFill>
                  <w14:solidFill>
                    <w14:schemeClr w14:val="tx1"/>
                  </w14:solidFill>
                </w14:textFill>
              </w:rPr>
              <w:t>mg/kg</w:t>
            </w:r>
            <w:r>
              <w:rPr>
                <w:rFonts w:hint="default" w:ascii="Times New Roman" w:hAnsi="Times New Roman" w:cs="Times New Roman"/>
                <w:b w:val="0"/>
                <w:color w:val="000000" w:themeColor="text1"/>
                <w:sz w:val="21"/>
                <w:szCs w:val="21"/>
                <w14:textFill>
                  <w14:solidFill>
                    <w14:schemeClr w14:val="tx1"/>
                  </w14:solidFill>
                </w14:textFill>
              </w:rPr>
              <w:t>）不大于</w:t>
            </w:r>
          </w:p>
        </w:tc>
        <w:tc>
          <w:tcPr>
            <w:tcW w:w="4621" w:type="dxa"/>
            <w:tcBorders>
              <w:tl2br w:val="nil"/>
              <w:tr2bl w:val="nil"/>
            </w:tcBorders>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100</w:t>
            </w:r>
          </w:p>
        </w:tc>
      </w:tr>
    </w:tbl>
    <w:p>
      <w:pPr>
        <w:pStyle w:val="4"/>
        <w:rPr>
          <w:color w:val="000000" w:themeColor="text1"/>
          <w14:textFill>
            <w14:solidFill>
              <w14:schemeClr w14:val="tx1"/>
            </w14:solidFill>
          </w14:textFill>
        </w:rPr>
      </w:pPr>
      <w:bookmarkStart w:id="137" w:name="_Toc29794"/>
      <w:r>
        <w:rPr>
          <w:color w:val="000000" w:themeColor="text1"/>
          <w14:textFill>
            <w14:solidFill>
              <w14:schemeClr w14:val="tx1"/>
            </w14:solidFill>
          </w14:textFill>
        </w:rPr>
        <w:t>拟建主要原辅材料消耗</w:t>
      </w:r>
      <w:bookmarkEnd w:id="137"/>
    </w:p>
    <w:p>
      <w:pPr>
        <w:keepNext/>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项目主要原辅材料具体情况</w:t>
      </w:r>
      <w:r>
        <w:rPr>
          <w:color w:val="000000" w:themeColor="text1"/>
          <w14:textFill>
            <w14:solidFill>
              <w14:schemeClr w14:val="tx1"/>
            </w14:solidFill>
          </w14:textFill>
        </w:rPr>
        <w:t>见下表所示</w:t>
      </w:r>
      <w:r>
        <w:rPr>
          <w:color w:val="000000" w:themeColor="text1"/>
          <w:szCs w:val="24"/>
          <w14:textFill>
            <w14:solidFill>
              <w14:schemeClr w14:val="tx1"/>
            </w14:solidFill>
          </w14:textFill>
        </w:rPr>
        <w:t>。</w:t>
      </w:r>
    </w:p>
    <w:p>
      <w:pPr>
        <w:keepNext/>
        <w:jc w:val="center"/>
        <w:rPr>
          <w:b/>
          <w:color w:val="000000" w:themeColor="text1"/>
          <w14:textFill>
            <w14:solidFill>
              <w14:schemeClr w14:val="tx1"/>
            </w14:solidFill>
          </w14:textFill>
        </w:rPr>
      </w:pPr>
      <w:bookmarkStart w:id="138" w:name="_Ref271277486"/>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bookmarkEnd w:id="138"/>
      <w:r>
        <w:rPr>
          <w:b/>
          <w:color w:val="000000" w:themeColor="text1"/>
          <w14:textFill>
            <w14:solidFill>
              <w14:schemeClr w14:val="tx1"/>
            </w14:solidFill>
          </w14:textFill>
        </w:rPr>
        <w:t xml:space="preserve">  </w:t>
      </w:r>
      <w:r>
        <w:rPr>
          <w:b/>
          <w:color w:val="000000" w:themeColor="text1"/>
          <w:szCs w:val="24"/>
          <w14:textFill>
            <w14:solidFill>
              <w14:schemeClr w14:val="tx1"/>
            </w14:solidFill>
          </w14:textFill>
        </w:rPr>
        <w:t>拟建项目主要原辅材料一览表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2153"/>
        <w:gridCol w:w="773"/>
        <w:gridCol w:w="1093"/>
        <w:gridCol w:w="3265"/>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tcBorders>
              <w:top w:val="single" w:color="auto" w:sz="12" w:space="0"/>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序号</w:t>
            </w:r>
          </w:p>
        </w:tc>
        <w:tc>
          <w:tcPr>
            <w:tcW w:w="1164" w:type="pct"/>
            <w:tcBorders>
              <w:top w:val="single" w:color="auto" w:sz="12" w:space="0"/>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原辅材料名称</w:t>
            </w:r>
          </w:p>
        </w:tc>
        <w:tc>
          <w:tcPr>
            <w:tcW w:w="418" w:type="pct"/>
            <w:tcBorders>
              <w:top w:val="single" w:color="auto" w:sz="12" w:space="0"/>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单位</w:t>
            </w:r>
          </w:p>
        </w:tc>
        <w:tc>
          <w:tcPr>
            <w:tcW w:w="591" w:type="pct"/>
            <w:tcBorders>
              <w:top w:val="single" w:color="auto" w:sz="12" w:space="0"/>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年耗量</w:t>
            </w:r>
          </w:p>
        </w:tc>
        <w:tc>
          <w:tcPr>
            <w:tcW w:w="1765" w:type="pct"/>
            <w:tcBorders>
              <w:top w:val="single" w:color="auto" w:sz="12" w:space="0"/>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最大暂存量</w:t>
            </w:r>
          </w:p>
        </w:tc>
        <w:tc>
          <w:tcPr>
            <w:tcW w:w="639" w:type="pct"/>
            <w:tcBorders>
              <w:top w:val="single" w:color="auto" w:sz="12" w:space="0"/>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r>
              <w:rPr>
                <w:rFonts w:hint="default" w:ascii="Times New Roman" w:hAnsi="Times New Roman" w:eastAsia="宋体" w:cs="Times New Roman"/>
                <w:bCs/>
                <w:color w:val="000000" w:themeColor="text1"/>
                <w:u w:val="single"/>
                <w:lang w:eastAsia="zh-CN"/>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tcBorders>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1</w:t>
            </w:r>
          </w:p>
        </w:tc>
        <w:tc>
          <w:tcPr>
            <w:tcW w:w="11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Cs/>
                <w:color w:val="000000" w:themeColor="text1"/>
                <w:sz w:val="21"/>
                <w:u w:val="single"/>
                <w:lang w:eastAsia="zh-CN"/>
                <w14:textFill>
                  <w14:solidFill>
                    <w14:schemeClr w14:val="tx1"/>
                  </w14:solidFill>
                </w14:textFill>
              </w:rPr>
            </w:pPr>
            <w:r>
              <w:rPr>
                <w:rFonts w:hint="default" w:ascii="Times New Roman" w:hAnsi="Times New Roman" w:eastAsia="宋体" w:cs="Times New Roman"/>
                <w:bCs/>
                <w:color w:val="000000" w:themeColor="text1"/>
                <w:sz w:val="21"/>
                <w:u w:val="single"/>
                <w:lang w:eastAsia="zh-CN"/>
                <w14:textFill>
                  <w14:solidFill>
                    <w14:schemeClr w14:val="tx1"/>
                  </w14:solidFill>
                </w14:textFill>
              </w:rPr>
              <w:t>溶剂油</w:t>
            </w:r>
          </w:p>
        </w:tc>
        <w:tc>
          <w:tcPr>
            <w:tcW w:w="418"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t/a</w:t>
            </w:r>
          </w:p>
        </w:tc>
        <w:tc>
          <w:tcPr>
            <w:tcW w:w="591"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val="en-US" w:eastAsia="zh-CN"/>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40000</w:t>
            </w:r>
          </w:p>
        </w:tc>
        <w:tc>
          <w:tcPr>
            <w:tcW w:w="1765"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159</w:t>
            </w:r>
          </w:p>
        </w:tc>
        <w:tc>
          <w:tcPr>
            <w:tcW w:w="639" w:type="pct"/>
            <w:vMerge w:val="restart"/>
            <w:tcBorders>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r>
              <w:rPr>
                <w:rFonts w:hint="default" w:ascii="Times New Roman" w:hAnsi="Times New Roman" w:eastAsia="宋体" w:cs="Times New Roman"/>
                <w:bCs/>
                <w:color w:val="000000" w:themeColor="text1"/>
                <w:u w:val="single"/>
                <w:lang w:eastAsia="zh-CN"/>
                <w14:textFill>
                  <w14:solidFill>
                    <w14:schemeClr w14:val="tx1"/>
                  </w14:solidFill>
                </w14:textFill>
              </w:rPr>
              <w:t>主要来至常压装置区的常压塔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tcBorders>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val="en-US" w:eastAsia="zh-CN"/>
                <w14:textFill>
                  <w14:solidFill>
                    <w14:schemeClr w14:val="tx1"/>
                  </w14:solidFill>
                </w14:textFill>
              </w:rPr>
            </w:pPr>
            <w:r>
              <w:rPr>
                <w:rFonts w:hint="default" w:ascii="Times New Roman" w:hAnsi="Times New Roman" w:eastAsia="宋体" w:cs="Times New Roman"/>
                <w:bCs/>
                <w:color w:val="000000" w:themeColor="text1"/>
                <w:u w:val="single"/>
                <w:lang w:val="en-US" w:eastAsia="zh-CN"/>
                <w14:textFill>
                  <w14:solidFill>
                    <w14:schemeClr w14:val="tx1"/>
                  </w14:solidFill>
                </w14:textFill>
              </w:rPr>
              <w:t>2</w:t>
            </w:r>
          </w:p>
        </w:tc>
        <w:tc>
          <w:tcPr>
            <w:tcW w:w="11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Cs/>
                <w:color w:val="000000" w:themeColor="text1"/>
                <w:sz w:val="21"/>
                <w:u w:val="single"/>
                <w:lang w:eastAsia="zh-CN"/>
                <w14:textFill>
                  <w14:solidFill>
                    <w14:schemeClr w14:val="tx1"/>
                  </w14:solidFill>
                </w14:textFill>
              </w:rPr>
            </w:pPr>
            <w:r>
              <w:rPr>
                <w:rFonts w:hint="default" w:ascii="Times New Roman" w:hAnsi="Times New Roman" w:eastAsia="宋体" w:cs="Times New Roman"/>
                <w:bCs/>
                <w:color w:val="000000" w:themeColor="text1"/>
                <w:sz w:val="21"/>
                <w:u w:val="single"/>
                <w:lang w:eastAsia="zh-CN"/>
                <w14:textFill>
                  <w14:solidFill>
                    <w14:schemeClr w14:val="tx1"/>
                  </w14:solidFill>
                </w14:textFill>
              </w:rPr>
              <w:t>航煤组分油</w:t>
            </w:r>
          </w:p>
        </w:tc>
        <w:tc>
          <w:tcPr>
            <w:tcW w:w="418"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t/a</w:t>
            </w:r>
          </w:p>
        </w:tc>
        <w:tc>
          <w:tcPr>
            <w:tcW w:w="591"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u w:val="single"/>
                <w14:textFill>
                  <w14:solidFill>
                    <w14:schemeClr w14:val="tx1"/>
                  </w14:solidFill>
                </w14:textFill>
              </w:rPr>
            </w:pPr>
            <w:r>
              <w:rPr>
                <w:rFonts w:hint="default" w:ascii="Times New Roman" w:hAnsi="Times New Roman" w:eastAsia="宋体" w:cs="Times New Roman"/>
                <w:color w:val="000000" w:themeColor="text1"/>
                <w:u w:val="single"/>
                <w:lang w:val="en-US" w:eastAsia="zh-CN"/>
                <w14:textFill>
                  <w14:solidFill>
                    <w14:schemeClr w14:val="tx1"/>
                  </w14:solidFill>
                </w14:textFill>
              </w:rPr>
              <w:t>40000</w:t>
            </w:r>
          </w:p>
        </w:tc>
        <w:tc>
          <w:tcPr>
            <w:tcW w:w="1765"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159</w:t>
            </w:r>
          </w:p>
        </w:tc>
        <w:tc>
          <w:tcPr>
            <w:tcW w:w="639" w:type="pct"/>
            <w:vMerge w:val="continue"/>
            <w:tcBorders>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tcBorders>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Cs/>
                <w:color w:val="000000" w:themeColor="text1"/>
                <w:sz w:val="21"/>
                <w:szCs w:val="21"/>
                <w:u w:val="single"/>
                <w:lang w:val="en-US" w:eastAsia="zh-CN"/>
                <w14:textFill>
                  <w14:solidFill>
                    <w14:schemeClr w14:val="tx1"/>
                  </w14:solidFill>
                </w14:textFill>
              </w:rPr>
              <w:t>3</w:t>
            </w:r>
          </w:p>
        </w:tc>
        <w:tc>
          <w:tcPr>
            <w:tcW w:w="11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氢气</w:t>
            </w:r>
          </w:p>
        </w:tc>
        <w:tc>
          <w:tcPr>
            <w:tcW w:w="418"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14:textFill>
                  <w14:solidFill>
                    <w14:schemeClr w14:val="tx1"/>
                  </w14:solidFill>
                </w14:textFill>
              </w:rPr>
              <w:t>t/a</w:t>
            </w:r>
          </w:p>
        </w:tc>
        <w:tc>
          <w:tcPr>
            <w:tcW w:w="591"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320</w:t>
            </w:r>
          </w:p>
        </w:tc>
        <w:tc>
          <w:tcPr>
            <w:tcW w:w="1765"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u w:val="single"/>
                <w:lang w:val="en-US" w:eastAsia="zh-CN"/>
                <w14:textFill>
                  <w14:solidFill>
                    <w14:schemeClr w14:val="tx1"/>
                  </w14:solidFill>
                </w14:textFill>
              </w:rPr>
              <w:t>0.00014（在线量）</w:t>
            </w:r>
          </w:p>
        </w:tc>
        <w:tc>
          <w:tcPr>
            <w:tcW w:w="639" w:type="pct"/>
            <w:tcBorders>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cs="Times New Roman"/>
                <w:bCs/>
                <w:color w:val="000000" w:themeColor="text1"/>
                <w:sz w:val="21"/>
                <w:szCs w:val="21"/>
                <w:u w:val="single"/>
                <w:lang w:eastAsia="zh-CN"/>
                <w14:textFill>
                  <w14:solidFill>
                    <w14:schemeClr w14:val="tx1"/>
                  </w14:solidFill>
                </w14:textFill>
              </w:rPr>
              <w:t>由中石化巴陵石油化工有限公司氢气主管输送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tcBorders>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r>
              <w:rPr>
                <w:rFonts w:hint="default" w:ascii="Times New Roman" w:hAnsi="Times New Roman" w:eastAsia="宋体" w:cs="Times New Roman"/>
                <w:bCs/>
                <w:color w:val="000000" w:themeColor="text1"/>
                <w:u w:val="single"/>
                <w:lang w:val="en-US" w:eastAsia="zh-CN"/>
                <w14:textFill>
                  <w14:solidFill>
                    <w14:schemeClr w14:val="tx1"/>
                  </w14:solidFill>
                </w14:textFill>
              </w:rPr>
              <w:t>4</w:t>
            </w:r>
          </w:p>
        </w:tc>
        <w:tc>
          <w:tcPr>
            <w:tcW w:w="11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Cs/>
                <w:color w:val="000000" w:themeColor="text1"/>
                <w:sz w:val="21"/>
                <w:u w:val="single"/>
                <w14:textFill>
                  <w14:solidFill>
                    <w14:schemeClr w14:val="tx1"/>
                  </w14:solidFill>
                </w14:textFill>
              </w:rPr>
            </w:pPr>
            <w:r>
              <w:rPr>
                <w:rFonts w:hint="default" w:ascii="Times New Roman" w:hAnsi="Times New Roman" w:eastAsia="Times New Roman" w:cs="Times New Roman"/>
                <w:color w:val="000000" w:themeColor="text1"/>
                <w:sz w:val="21"/>
                <w:u w:val="single"/>
                <w14:textFill>
                  <w14:solidFill>
                    <w14:schemeClr w14:val="tx1"/>
                  </w14:solidFill>
                </w14:textFill>
              </w:rPr>
              <w:t>FH-40C</w:t>
            </w:r>
            <w:r>
              <w:rPr>
                <w:rFonts w:hint="default" w:ascii="Times New Roman" w:hAnsi="Times New Roman" w:eastAsia="宋体e眠副浡渀." w:cs="Times New Roman"/>
                <w:color w:val="000000" w:themeColor="text1"/>
                <w:sz w:val="21"/>
                <w:u w:val="single"/>
                <w14:textFill>
                  <w14:solidFill>
                    <w14:schemeClr w14:val="tx1"/>
                  </w14:solidFill>
                </w14:textFill>
              </w:rPr>
              <w:t>催化剂</w:t>
            </w:r>
          </w:p>
        </w:tc>
        <w:tc>
          <w:tcPr>
            <w:tcW w:w="418"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t/a</w:t>
            </w:r>
          </w:p>
        </w:tc>
        <w:tc>
          <w:tcPr>
            <w:tcW w:w="591"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color w:val="000000" w:themeColor="text1"/>
                <w:u w:val="single"/>
                <w14:textFill>
                  <w14:solidFill>
                    <w14:schemeClr w14:val="tx1"/>
                  </w14:solidFill>
                </w14:textFill>
              </w:rPr>
              <w:t>9.18</w:t>
            </w:r>
          </w:p>
        </w:tc>
        <w:tc>
          <w:tcPr>
            <w:tcW w:w="1765"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9.18（一次装填量，寿命6年）</w:t>
            </w:r>
          </w:p>
        </w:tc>
        <w:tc>
          <w:tcPr>
            <w:tcW w:w="639" w:type="pct"/>
            <w:tcBorders>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r>
              <w:rPr>
                <w:rFonts w:hint="default" w:ascii="Times New Roman" w:hAnsi="Times New Roman" w:eastAsia="宋体" w:cs="Times New Roman"/>
                <w:bCs/>
                <w:color w:val="000000" w:themeColor="text1"/>
                <w:u w:val="single"/>
                <w:lang w:eastAsia="zh-CN"/>
                <w14:textFill>
                  <w14:solidFill>
                    <w14:schemeClr w14:val="tx1"/>
                  </w14:solidFill>
                </w14:textFill>
              </w:rPr>
              <w:t>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tcBorders>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r>
              <w:rPr>
                <w:rFonts w:hint="default" w:ascii="Times New Roman" w:hAnsi="Times New Roman" w:eastAsia="宋体" w:cs="Times New Roman"/>
                <w:bCs/>
                <w:color w:val="000000" w:themeColor="text1"/>
                <w:u w:val="single"/>
                <w:lang w:val="en-US" w:eastAsia="zh-CN"/>
                <w14:textFill>
                  <w14:solidFill>
                    <w14:schemeClr w14:val="tx1"/>
                  </w14:solidFill>
                </w14:textFill>
              </w:rPr>
              <w:t>5</w:t>
            </w:r>
          </w:p>
        </w:tc>
        <w:tc>
          <w:tcPr>
            <w:tcW w:w="11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Cs/>
                <w:color w:val="000000" w:themeColor="text1"/>
                <w:sz w:val="21"/>
                <w:u w:val="single"/>
                <w14:textFill>
                  <w14:solidFill>
                    <w14:schemeClr w14:val="tx1"/>
                  </w14:solidFill>
                </w14:textFill>
              </w:rPr>
            </w:pPr>
            <w:r>
              <w:rPr>
                <w:rFonts w:hint="default" w:ascii="Times New Roman" w:hAnsi="Times New Roman" w:eastAsia="Times New Roman" w:cs="Times New Roman"/>
                <w:color w:val="000000" w:themeColor="text1"/>
                <w:sz w:val="21"/>
                <w:u w:val="single"/>
                <w14:textFill>
                  <w14:solidFill>
                    <w14:schemeClr w14:val="tx1"/>
                  </w14:solidFill>
                </w14:textFill>
              </w:rPr>
              <w:t>FZC-106</w:t>
            </w:r>
            <w:r>
              <w:rPr>
                <w:rFonts w:hint="default" w:ascii="Times New Roman" w:hAnsi="Times New Roman" w:eastAsia="宋体e眠副浡渀." w:cs="Times New Roman"/>
                <w:color w:val="000000" w:themeColor="text1"/>
                <w:sz w:val="21"/>
                <w:u w:val="single"/>
                <w14:textFill>
                  <w14:solidFill>
                    <w14:schemeClr w14:val="tx1"/>
                  </w14:solidFill>
                </w14:textFill>
              </w:rPr>
              <w:t>保护剂</w:t>
            </w:r>
          </w:p>
        </w:tc>
        <w:tc>
          <w:tcPr>
            <w:tcW w:w="418"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t/a</w:t>
            </w:r>
          </w:p>
        </w:tc>
        <w:tc>
          <w:tcPr>
            <w:tcW w:w="591"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color w:val="000000" w:themeColor="text1"/>
                <w:u w:val="single"/>
                <w14:textFill>
                  <w14:solidFill>
                    <w14:schemeClr w14:val="tx1"/>
                  </w14:solidFill>
                </w14:textFill>
              </w:rPr>
              <w:t>1.5</w:t>
            </w:r>
          </w:p>
        </w:tc>
        <w:tc>
          <w:tcPr>
            <w:tcW w:w="1765"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1.5（一次装填量，寿命3年）</w:t>
            </w:r>
          </w:p>
        </w:tc>
        <w:tc>
          <w:tcPr>
            <w:tcW w:w="639" w:type="pct"/>
            <w:tcBorders>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lang w:eastAsia="zh-CN"/>
                <w14:textFill>
                  <w14:solidFill>
                    <w14:schemeClr w14:val="tx1"/>
                  </w14:solidFill>
                </w14:textFill>
              </w:rPr>
              <w:t>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9" w:type="pct"/>
            <w:tcBorders>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r>
              <w:rPr>
                <w:rFonts w:hint="default" w:ascii="Times New Roman" w:hAnsi="Times New Roman" w:eastAsia="宋体" w:cs="Times New Roman"/>
                <w:bCs/>
                <w:color w:val="000000" w:themeColor="text1"/>
                <w:u w:val="single"/>
                <w:lang w:val="en-US" w:eastAsia="zh-CN"/>
                <w14:textFill>
                  <w14:solidFill>
                    <w14:schemeClr w14:val="tx1"/>
                  </w14:solidFill>
                </w14:textFill>
              </w:rPr>
              <w:t>6</w:t>
            </w:r>
          </w:p>
        </w:tc>
        <w:tc>
          <w:tcPr>
            <w:tcW w:w="116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宋体" w:cs="Times New Roman"/>
                <w:bCs/>
                <w:color w:val="000000" w:themeColor="text1"/>
                <w:sz w:val="21"/>
                <w:u w:val="single"/>
                <w14:textFill>
                  <w14:solidFill>
                    <w14:schemeClr w14:val="tx1"/>
                  </w14:solidFill>
                </w14:textFill>
              </w:rPr>
            </w:pPr>
            <w:r>
              <w:rPr>
                <w:rFonts w:hint="default" w:ascii="Times New Roman" w:hAnsi="Times New Roman" w:eastAsia="Times New Roman" w:cs="Times New Roman"/>
                <w:color w:val="000000" w:themeColor="text1"/>
                <w:sz w:val="21"/>
                <w:u w:val="single"/>
                <w14:textFill>
                  <w14:solidFill>
                    <w14:schemeClr w14:val="tx1"/>
                  </w14:solidFill>
                </w14:textFill>
              </w:rPr>
              <w:t>FBN-03B06</w:t>
            </w:r>
            <w:r>
              <w:rPr>
                <w:rFonts w:hint="default" w:ascii="Times New Roman" w:hAnsi="Times New Roman" w:eastAsia="宋体e眠副浡渀." w:cs="Times New Roman"/>
                <w:color w:val="000000" w:themeColor="text1"/>
                <w:sz w:val="21"/>
                <w:u w:val="single"/>
                <w14:textFill>
                  <w14:solidFill>
                    <w14:schemeClr w14:val="tx1"/>
                  </w14:solidFill>
                </w14:textFill>
              </w:rPr>
              <w:t>保护剂</w:t>
            </w:r>
          </w:p>
        </w:tc>
        <w:tc>
          <w:tcPr>
            <w:tcW w:w="418"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t/a</w:t>
            </w:r>
          </w:p>
        </w:tc>
        <w:tc>
          <w:tcPr>
            <w:tcW w:w="591"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color w:val="000000" w:themeColor="text1"/>
                <w:u w:val="single"/>
                <w14:textFill>
                  <w14:solidFill>
                    <w14:schemeClr w14:val="tx1"/>
                  </w14:solidFill>
                </w14:textFill>
              </w:rPr>
              <w:t>1.5</w:t>
            </w:r>
          </w:p>
        </w:tc>
        <w:tc>
          <w:tcPr>
            <w:tcW w:w="1765"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1.5（一次装填量，寿命3年）</w:t>
            </w:r>
          </w:p>
        </w:tc>
        <w:tc>
          <w:tcPr>
            <w:tcW w:w="639" w:type="pct"/>
            <w:tcBorders>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lang w:eastAsia="zh-CN"/>
                <w14:textFill>
                  <w14:solidFill>
                    <w14:schemeClr w14:val="tx1"/>
                  </w14:solidFill>
                </w14:textFill>
              </w:rPr>
              <w:t>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19" w:type="pct"/>
            <w:tcBorders>
              <w:lef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lang w:eastAsia="zh-CN"/>
                <w14:textFill>
                  <w14:solidFill>
                    <w14:schemeClr w14:val="tx1"/>
                  </w14:solidFill>
                </w14:textFill>
              </w:rPr>
            </w:pPr>
            <w:r>
              <w:rPr>
                <w:rFonts w:hint="default" w:ascii="Times New Roman" w:hAnsi="Times New Roman" w:eastAsia="宋体" w:cs="Times New Roman"/>
                <w:bCs/>
                <w:color w:val="000000" w:themeColor="text1"/>
                <w:u w:val="single"/>
                <w:lang w:val="en-US" w:eastAsia="zh-CN"/>
                <w14:textFill>
                  <w14:solidFill>
                    <w14:schemeClr w14:val="tx1"/>
                  </w14:solidFill>
                </w14:textFill>
              </w:rPr>
              <w:t>7</w:t>
            </w:r>
          </w:p>
        </w:tc>
        <w:tc>
          <w:tcPr>
            <w:tcW w:w="1164"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_x0002_伀.缂." w:cs="Times New Roman"/>
                <w:color w:val="000000" w:themeColor="text1"/>
                <w:u w:val="single"/>
                <w14:textFill>
                  <w14:solidFill>
                    <w14:schemeClr w14:val="tx1"/>
                  </w14:solidFill>
                </w14:textFill>
              </w:rPr>
              <w:t>Ф</w:t>
            </w:r>
            <w:r>
              <w:rPr>
                <w:rFonts w:hint="default" w:ascii="Times New Roman" w:hAnsi="Times New Roman" w:eastAsia="Times New Roman" w:cs="Times New Roman"/>
                <w:color w:val="000000" w:themeColor="text1"/>
                <w:u w:val="single"/>
                <w14:textFill>
                  <w14:solidFill>
                    <w14:schemeClr w14:val="tx1"/>
                  </w14:solidFill>
                </w14:textFill>
              </w:rPr>
              <w:t>13</w:t>
            </w:r>
            <w:r>
              <w:rPr>
                <w:rFonts w:hint="default" w:ascii="Times New Roman" w:hAnsi="Times New Roman" w:eastAsia="宋体_x0002_伀.缂." w:cs="Times New Roman"/>
                <w:color w:val="000000" w:themeColor="text1"/>
                <w:u w:val="single"/>
                <w14:textFill>
                  <w14:solidFill>
                    <w14:schemeClr w14:val="tx1"/>
                  </w14:solidFill>
                </w14:textFill>
              </w:rPr>
              <w:t>瓷球</w:t>
            </w:r>
          </w:p>
        </w:tc>
        <w:tc>
          <w:tcPr>
            <w:tcW w:w="418"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t/a</w:t>
            </w:r>
          </w:p>
        </w:tc>
        <w:tc>
          <w:tcPr>
            <w:tcW w:w="591"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color w:val="000000" w:themeColor="text1"/>
                <w:u w:val="single"/>
                <w14:textFill>
                  <w14:solidFill>
                    <w14:schemeClr w14:val="tx1"/>
                  </w14:solidFill>
                </w14:textFill>
              </w:rPr>
              <w:t>0.6</w:t>
            </w:r>
          </w:p>
        </w:tc>
        <w:tc>
          <w:tcPr>
            <w:tcW w:w="1765" w:type="pct"/>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14:textFill>
                  <w14:solidFill>
                    <w14:schemeClr w14:val="tx1"/>
                  </w14:solidFill>
                </w14:textFill>
              </w:rPr>
              <w:t>0.6（一次装填量，寿命3年）</w:t>
            </w:r>
          </w:p>
        </w:tc>
        <w:tc>
          <w:tcPr>
            <w:tcW w:w="639" w:type="pct"/>
            <w:tcBorders>
              <w:right w:val="nil"/>
            </w:tcBorders>
            <w:noWrap w:val="0"/>
            <w:vAlign w:val="center"/>
          </w:tcPr>
          <w:p>
            <w:pPr>
              <w:pStyle w:val="5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u w:val="single"/>
                <w14:textFill>
                  <w14:solidFill>
                    <w14:schemeClr w14:val="tx1"/>
                  </w14:solidFill>
                </w14:textFill>
              </w:rPr>
            </w:pPr>
            <w:r>
              <w:rPr>
                <w:rFonts w:hint="default" w:ascii="Times New Roman" w:hAnsi="Times New Roman" w:eastAsia="宋体" w:cs="Times New Roman"/>
                <w:bCs/>
                <w:color w:val="000000" w:themeColor="text1"/>
                <w:u w:val="single"/>
                <w:lang w:eastAsia="zh-CN"/>
                <w14:textFill>
                  <w14:solidFill>
                    <w14:schemeClr w14:val="tx1"/>
                  </w14:solidFill>
                </w14:textFill>
              </w:rPr>
              <w:t>购买</w:t>
            </w:r>
          </w:p>
        </w:tc>
      </w:tr>
    </w:tbl>
    <w:p>
      <w:pPr>
        <w:keepNext/>
        <w:jc w:val="center"/>
        <w:rPr>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公用工程规格及耗量一览表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384"/>
        <w:gridCol w:w="1217"/>
        <w:gridCol w:w="869"/>
        <w:gridCol w:w="1583"/>
        <w:gridCol w:w="1152"/>
        <w:gridCol w:w="653"/>
        <w:gridCol w:w="1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749"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名称</w:t>
            </w:r>
          </w:p>
        </w:tc>
        <w:tc>
          <w:tcPr>
            <w:tcW w:w="658"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压力</w:t>
            </w:r>
          </w:p>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MPa（G）</w:t>
            </w:r>
          </w:p>
        </w:tc>
        <w:tc>
          <w:tcPr>
            <w:tcW w:w="470"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温度℃</w:t>
            </w:r>
          </w:p>
        </w:tc>
        <w:tc>
          <w:tcPr>
            <w:tcW w:w="1479" w:type="pct"/>
            <w:gridSpan w:val="2"/>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数量</w:t>
            </w:r>
          </w:p>
        </w:tc>
        <w:tc>
          <w:tcPr>
            <w:tcW w:w="353"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来源</w:t>
            </w:r>
          </w:p>
        </w:tc>
        <w:tc>
          <w:tcPr>
            <w:tcW w:w="937" w:type="pct"/>
            <w:vMerge w:val="restar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749"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658"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470"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操作正常值t/h</w:t>
            </w: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最大值t/h</w:t>
            </w:r>
          </w:p>
        </w:tc>
        <w:tc>
          <w:tcPr>
            <w:tcW w:w="353"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937" w:type="pct"/>
            <w:vMerge w:val="continue"/>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749"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电</w:t>
            </w:r>
          </w:p>
        </w:tc>
        <w:tc>
          <w:tcPr>
            <w:tcW w:w="658"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470"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471.7</w:t>
            </w: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KWh</w:t>
            </w:r>
          </w:p>
        </w:tc>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系统</w:t>
            </w:r>
          </w:p>
        </w:tc>
        <w:tc>
          <w:tcPr>
            <w:tcW w:w="937"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749"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氮气</w:t>
            </w:r>
          </w:p>
        </w:tc>
        <w:tc>
          <w:tcPr>
            <w:tcW w:w="658"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0.6</w:t>
            </w:r>
          </w:p>
        </w:tc>
        <w:tc>
          <w:tcPr>
            <w:tcW w:w="470"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常温</w:t>
            </w: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150Nm</w:t>
            </w:r>
            <w:r>
              <w:rPr>
                <w:rFonts w:hint="default" w:ascii="Times New Roman" w:hAnsi="Times New Roman" w:eastAsia="宋体" w:cs="Times New Roman"/>
                <w:color w:val="000000" w:themeColor="text1"/>
                <w:sz w:val="21"/>
                <w:vertAlign w:val="super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/h</w:t>
            </w:r>
          </w:p>
        </w:tc>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系统</w:t>
            </w:r>
          </w:p>
        </w:tc>
        <w:tc>
          <w:tcPr>
            <w:tcW w:w="937"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间断，吹扫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749"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净化风</w:t>
            </w:r>
          </w:p>
        </w:tc>
        <w:tc>
          <w:tcPr>
            <w:tcW w:w="658"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0.55</w:t>
            </w:r>
          </w:p>
        </w:tc>
        <w:tc>
          <w:tcPr>
            <w:tcW w:w="470"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常温</w:t>
            </w: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20Nm</w:t>
            </w:r>
            <w:r>
              <w:rPr>
                <w:rFonts w:hint="default" w:ascii="Times New Roman" w:hAnsi="Times New Roman" w:eastAsia="宋体" w:cs="Times New Roman"/>
                <w:color w:val="000000" w:themeColor="text1"/>
                <w:sz w:val="21"/>
                <w:vertAlign w:val="super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/h</w:t>
            </w: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30Nm</w:t>
            </w:r>
            <w:r>
              <w:rPr>
                <w:rFonts w:hint="default" w:ascii="Times New Roman" w:hAnsi="Times New Roman" w:eastAsia="宋体" w:cs="Times New Roman"/>
                <w:color w:val="000000" w:themeColor="text1"/>
                <w:sz w:val="21"/>
                <w:vertAlign w:val="super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/h</w:t>
            </w:r>
          </w:p>
        </w:tc>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系统</w:t>
            </w:r>
          </w:p>
        </w:tc>
        <w:tc>
          <w:tcPr>
            <w:tcW w:w="937"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仪表用风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749"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非净化风</w:t>
            </w:r>
          </w:p>
        </w:tc>
        <w:tc>
          <w:tcPr>
            <w:tcW w:w="658"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0.55</w:t>
            </w:r>
          </w:p>
        </w:tc>
        <w:tc>
          <w:tcPr>
            <w:tcW w:w="470"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常温</w:t>
            </w: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150Nm</w:t>
            </w:r>
            <w:r>
              <w:rPr>
                <w:rFonts w:hint="default" w:ascii="Times New Roman" w:hAnsi="Times New Roman" w:eastAsia="宋体" w:cs="Times New Roman"/>
                <w:color w:val="000000" w:themeColor="text1"/>
                <w:sz w:val="21"/>
                <w:vertAlign w:val="super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/h</w:t>
            </w:r>
          </w:p>
        </w:tc>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系统</w:t>
            </w:r>
          </w:p>
        </w:tc>
        <w:tc>
          <w:tcPr>
            <w:tcW w:w="937"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间断，吹扫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749"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1.0MPa蒸汽</w:t>
            </w:r>
          </w:p>
        </w:tc>
        <w:tc>
          <w:tcPr>
            <w:tcW w:w="658"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470"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250</w:t>
            </w: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0.05</w:t>
            </w: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系统</w:t>
            </w:r>
          </w:p>
        </w:tc>
        <w:tc>
          <w:tcPr>
            <w:tcW w:w="937"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间断吹扫，伴热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w:t>
            </w:r>
          </w:p>
        </w:tc>
        <w:tc>
          <w:tcPr>
            <w:tcW w:w="749"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新鲜水</w:t>
            </w:r>
          </w:p>
        </w:tc>
        <w:tc>
          <w:tcPr>
            <w:tcW w:w="658"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0.4</w:t>
            </w:r>
          </w:p>
        </w:tc>
        <w:tc>
          <w:tcPr>
            <w:tcW w:w="470"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常温</w:t>
            </w: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系统</w:t>
            </w:r>
          </w:p>
        </w:tc>
        <w:tc>
          <w:tcPr>
            <w:tcW w:w="937"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间断（开工用）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w:t>
            </w:r>
          </w:p>
        </w:tc>
        <w:tc>
          <w:tcPr>
            <w:tcW w:w="749"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循环水</w:t>
            </w:r>
          </w:p>
        </w:tc>
        <w:tc>
          <w:tcPr>
            <w:tcW w:w="658"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0.27/0.15</w:t>
            </w:r>
          </w:p>
        </w:tc>
        <w:tc>
          <w:tcPr>
            <w:tcW w:w="470"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32/40</w:t>
            </w:r>
          </w:p>
        </w:tc>
        <w:tc>
          <w:tcPr>
            <w:tcW w:w="856"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230</w:t>
            </w:r>
          </w:p>
        </w:tc>
        <w:tc>
          <w:tcPr>
            <w:tcW w:w="62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353"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系统</w:t>
            </w:r>
          </w:p>
        </w:tc>
        <w:tc>
          <w:tcPr>
            <w:tcW w:w="937" w:type="pct"/>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连续</w:t>
            </w:r>
          </w:p>
        </w:tc>
      </w:tr>
    </w:tbl>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br w:type="page"/>
      </w: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STYLEREF 2 \s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4</w:t>
      </w:r>
      <w:r>
        <w:rPr>
          <w:rFonts w:hint="default" w:ascii="Times New Roman" w:hAnsi="Times New Roman" w:eastAsia="宋体" w:cs="Times New Roman"/>
          <w:b/>
          <w:color w:val="000000" w:themeColor="text1"/>
          <w:lang w:val="en-US" w:eastAsia="zh-CN"/>
          <w14:textFill>
            <w14:solidFill>
              <w14:schemeClr w14:val="tx1"/>
            </w14:solidFill>
          </w14:textFill>
        </w:rPr>
        <w:t>.</w:t>
      </w:r>
      <w:r>
        <w:rPr>
          <w:rFonts w:hint="default" w:ascii="Times New Roman" w:hAnsi="Times New Roman" w:cs="Times New Roman"/>
          <w:b/>
          <w:color w:val="000000" w:themeColor="text1"/>
          <w14:textFill>
            <w14:solidFill>
              <w14:schemeClr w14:val="tx1"/>
            </w14:solidFill>
          </w14:textFill>
        </w:rPr>
        <w:t>5</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noBreakHyphen/>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SEQ 表 \* ARABIC \s 2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t xml:space="preserve">  原辅材料理化性质一览表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509"/>
        <w:gridCol w:w="477"/>
        <w:gridCol w:w="856"/>
        <w:gridCol w:w="1922"/>
        <w:gridCol w:w="3541"/>
        <w:gridCol w:w="1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序号</w:t>
            </w:r>
          </w:p>
        </w:tc>
        <w:tc>
          <w:tcPr>
            <w:tcW w:w="0" w:type="auto"/>
            <w:noWrap w:val="0"/>
            <w:vAlign w:val="center"/>
          </w:tcPr>
          <w:p>
            <w:pPr>
              <w:pStyle w:val="1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名称</w:t>
            </w:r>
          </w:p>
        </w:tc>
        <w:tc>
          <w:tcPr>
            <w:tcW w:w="0" w:type="auto"/>
            <w:noWrap w:val="0"/>
            <w:vAlign w:val="center"/>
          </w:tcPr>
          <w:p>
            <w:pPr>
              <w:pStyle w:val="1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分子式</w:t>
            </w:r>
          </w:p>
        </w:tc>
        <w:tc>
          <w:tcPr>
            <w:tcW w:w="0" w:type="auto"/>
            <w:noWrap w:val="0"/>
            <w:vAlign w:val="center"/>
          </w:tcPr>
          <w:p>
            <w:pPr>
              <w:pStyle w:val="1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危险化学品危规号</w:t>
            </w:r>
          </w:p>
        </w:tc>
        <w:tc>
          <w:tcPr>
            <w:tcW w:w="0" w:type="auto"/>
            <w:noWrap w:val="0"/>
            <w:vAlign w:val="center"/>
          </w:tcPr>
          <w:p>
            <w:pPr>
              <w:pStyle w:val="1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理化性质</w:t>
            </w:r>
          </w:p>
        </w:tc>
        <w:tc>
          <w:tcPr>
            <w:tcW w:w="0" w:type="auto"/>
            <w:noWrap w:val="0"/>
            <w:vAlign w:val="center"/>
          </w:tcPr>
          <w:p>
            <w:pPr>
              <w:pStyle w:val="1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燃烧爆炸特性</w:t>
            </w:r>
          </w:p>
        </w:tc>
        <w:tc>
          <w:tcPr>
            <w:tcW w:w="0" w:type="auto"/>
            <w:noWrap w:val="0"/>
            <w:vAlign w:val="center"/>
          </w:tcPr>
          <w:p>
            <w:pPr>
              <w:pStyle w:val="1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毒理指标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u w:val="single"/>
                <w14:textFill>
                  <w14:solidFill>
                    <w14:schemeClr w14:val="tx1"/>
                  </w14:solidFill>
                </w14:textFill>
              </w:rPr>
            </w:pPr>
            <w:r>
              <w:rPr>
                <w:rFonts w:eastAsia="宋体" w:cs="Times New Roman"/>
                <w:color w:val="000000" w:themeColor="text1"/>
                <w:kern w:val="2"/>
                <w:sz w:val="21"/>
                <w:szCs w:val="21"/>
                <w:u w:val="single"/>
                <w14:textFill>
                  <w14:solidFill>
                    <w14:schemeClr w14:val="tx1"/>
                  </w14:solidFill>
                </w14:textFill>
              </w:rPr>
              <w:t>1</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eastAsia="宋体" w:cs="Times New Roman"/>
                <w:color w:val="000000" w:themeColor="text1"/>
                <w:kern w:val="2"/>
                <w:sz w:val="21"/>
                <w:szCs w:val="21"/>
                <w:u w:val="single"/>
                <w:lang w:eastAsia="zh-CN"/>
                <w14:textFill>
                  <w14:solidFill>
                    <w14:schemeClr w14:val="tx1"/>
                  </w14:solidFill>
                </w14:textFill>
              </w:rPr>
            </w:pPr>
            <w:r>
              <w:rPr>
                <w:rFonts w:hint="eastAsia" w:cs="Times New Roman"/>
                <w:color w:val="000000" w:themeColor="text1"/>
                <w:kern w:val="2"/>
                <w:sz w:val="21"/>
                <w:szCs w:val="21"/>
                <w:u w:val="single"/>
                <w:lang w:eastAsia="zh-CN"/>
                <w14:textFill>
                  <w14:solidFill>
                    <w14:schemeClr w14:val="tx1"/>
                  </w14:solidFill>
                </w14:textFill>
              </w:rPr>
              <w:t>溶剂油</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u w:val="single"/>
                <w14:textFill>
                  <w14:solidFill>
                    <w14:schemeClr w14:val="tx1"/>
                  </w14:solidFill>
                </w14:textFill>
              </w:rPr>
            </w:pPr>
            <w:r>
              <w:rPr>
                <w:rFonts w:eastAsia="宋体" w:cs="Times New Roman"/>
                <w:color w:val="000000" w:themeColor="text1"/>
                <w:kern w:val="2"/>
                <w:sz w:val="21"/>
                <w:szCs w:val="21"/>
                <w:u w:val="single"/>
                <w14:textFill>
                  <w14:solidFill>
                    <w14:schemeClr w14:val="tx1"/>
                  </w14:solidFill>
                </w14:textFill>
              </w:rPr>
              <w:t>—</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eastAsia="宋体" w:cs="Times New Roman"/>
                <w:color w:val="000000" w:themeColor="text1"/>
                <w:kern w:val="2"/>
                <w:sz w:val="21"/>
                <w:szCs w:val="21"/>
                <w:u w:val="single"/>
                <w:lang w:eastAsia="zh-CN"/>
                <w14:textFill>
                  <w14:solidFill>
                    <w14:schemeClr w14:val="tx1"/>
                  </w14:solidFill>
                </w14:textFill>
              </w:rPr>
            </w:pPr>
            <w:r>
              <w:rPr>
                <w:rFonts w:eastAsia="宋体" w:cs="Times New Roman"/>
                <w:color w:val="000000" w:themeColor="text1"/>
                <w:kern w:val="2"/>
                <w:sz w:val="21"/>
                <w:szCs w:val="21"/>
                <w:u w:val="single"/>
                <w14:textFill>
                  <w14:solidFill>
                    <w14:schemeClr w14:val="tx1"/>
                  </w14:solidFill>
                </w14:textFill>
              </w:rPr>
              <w:t>3200</w:t>
            </w:r>
            <w:r>
              <w:rPr>
                <w:rFonts w:hint="eastAsia" w:cs="Times New Roman"/>
                <w:color w:val="000000" w:themeColor="text1"/>
                <w:kern w:val="2"/>
                <w:sz w:val="21"/>
                <w:szCs w:val="21"/>
                <w:u w:val="single"/>
                <w:lang w:val="en-US" w:eastAsia="zh-CN"/>
                <w14:textFill>
                  <w14:solidFill>
                    <w14:schemeClr w14:val="tx1"/>
                  </w14:solidFill>
                </w14:textFill>
              </w:rPr>
              <w:t>4</w:t>
            </w:r>
          </w:p>
        </w:tc>
        <w:tc>
          <w:tcPr>
            <w:tcW w:w="0" w:type="auto"/>
            <w:noWrap w:val="0"/>
            <w:vAlign w:val="center"/>
          </w:tcPr>
          <w:p>
            <w:pPr>
              <w:pStyle w:val="119"/>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u w:val="single"/>
                <w14:textFill>
                  <w14:solidFill>
                    <w14:schemeClr w14:val="tx1"/>
                  </w14:solidFill>
                </w14:textFill>
              </w:rPr>
            </w:pPr>
            <w:r>
              <w:rPr>
                <w:rFonts w:eastAsia="宋体" w:cs="Times New Roman"/>
                <w:color w:val="000000" w:themeColor="text1"/>
                <w:kern w:val="2"/>
                <w:sz w:val="21"/>
                <w:szCs w:val="21"/>
                <w:u w:val="single"/>
                <w14:textFill>
                  <w14:solidFill>
                    <w14:schemeClr w14:val="tx1"/>
                  </w14:solidFill>
                </w14:textFill>
              </w:rPr>
              <w:t>无色到浅黄色的透明液体，不溶于水，溶于多种有机溶剂，闪点-2℃，自然温度350℃。</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u w:val="single"/>
                <w14:textFill>
                  <w14:solidFill>
                    <w14:schemeClr w14:val="tx1"/>
                  </w14:solidFill>
                </w14:textFill>
              </w:rPr>
            </w:pPr>
            <w:r>
              <w:rPr>
                <w:rFonts w:eastAsia="宋体" w:cs="Times New Roman"/>
                <w:color w:val="000000" w:themeColor="text1"/>
                <w:kern w:val="2"/>
                <w:sz w:val="21"/>
                <w:szCs w:val="21"/>
                <w:u w:val="single"/>
                <w14:textFill>
                  <w14:solidFill>
                    <w14:schemeClr w14:val="tx1"/>
                  </w14:solidFill>
                </w14:textFill>
              </w:rPr>
              <w:t>易燃，蒸汽与空气能形成爆炸性混合物，遇明火，高热能引起燃烧爆炸。高速冲击、流动、激荡后可能产生静电火花，放电引起燃烧爆炸。蒸汽比空气重，能在较低处扩散到相对远的地方，遇火源会着火回燃和爆炸（闪爆）爆炸极限1.1%~8.7%。</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u w:val="single"/>
                <w14:textFill>
                  <w14:solidFill>
                    <w14:schemeClr w14:val="tx1"/>
                  </w14:solidFill>
                </w14:textFill>
              </w:rPr>
            </w:pPr>
            <w:r>
              <w:rPr>
                <w:rFonts w:eastAsia="宋体" w:cs="Times New Roman"/>
                <w:color w:val="000000" w:themeColor="text1"/>
                <w:kern w:val="2"/>
                <w:sz w:val="21"/>
                <w:szCs w:val="21"/>
                <w:u w:val="single"/>
                <w14:textFill>
                  <w14:solidFill>
                    <w14:schemeClr w14:val="tx1"/>
                  </w14:solidFill>
                </w14:textFill>
              </w:rPr>
              <w:t>可引起眼及上呼吸道刺激症状，如果浓度过高，几分钟即可引起呼吸困难等缺氧症状，属低毒类。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eastAsia="宋体" w:cs="Times New Roman"/>
                <w:color w:val="000000" w:themeColor="text1"/>
                <w:kern w:val="2"/>
                <w:sz w:val="21"/>
                <w:szCs w:val="21"/>
                <w:lang w:eastAsia="zh-CN"/>
                <w14:textFill>
                  <w14:solidFill>
                    <w14:schemeClr w14:val="tx1"/>
                  </w14:solidFill>
                </w14:textFill>
              </w:rPr>
            </w:pPr>
            <w:r>
              <w:rPr>
                <w:rFonts w:hint="eastAsia" w:eastAsia="宋体" w:cs="Times New Roman"/>
                <w:color w:val="000000" w:themeColor="text1"/>
                <w:kern w:val="2"/>
                <w:sz w:val="21"/>
                <w:szCs w:val="21"/>
                <w:lang w:val="en-US" w:eastAsia="zh-CN"/>
                <w14:textFill>
                  <w14:solidFill>
                    <w14:schemeClr w14:val="tx1"/>
                  </w14:solidFill>
                </w14:textFill>
              </w:rPr>
              <w:t>2</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eastAsia="宋体" w:cs="Times New Roman"/>
                <w:color w:val="000000" w:themeColor="text1"/>
                <w:kern w:val="2"/>
                <w:sz w:val="21"/>
                <w:szCs w:val="21"/>
                <w14:textFill>
                  <w14:solidFill>
                    <w14:schemeClr w14:val="tx1"/>
                  </w14:solidFill>
                </w14:textFill>
              </w:rPr>
              <w:t>氢气</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eastAsia="宋体" w:cs="Times New Roman"/>
                <w:color w:val="000000" w:themeColor="text1"/>
                <w:kern w:val="2"/>
                <w:sz w:val="21"/>
                <w:szCs w:val="21"/>
                <w14:textFill>
                  <w14:solidFill>
                    <w14:schemeClr w14:val="tx1"/>
                  </w14:solidFill>
                </w14:textFill>
              </w:rPr>
              <w:t>H</w:t>
            </w:r>
            <w:r>
              <w:rPr>
                <w:rFonts w:eastAsia="宋体" w:cs="Times New Roman"/>
                <w:color w:val="000000" w:themeColor="text1"/>
                <w:kern w:val="2"/>
                <w:sz w:val="21"/>
                <w:szCs w:val="21"/>
                <w:vertAlign w:val="subscript"/>
                <w14:textFill>
                  <w14:solidFill>
                    <w14:schemeClr w14:val="tx1"/>
                  </w14:solidFill>
                </w14:textFill>
              </w:rPr>
              <w:t>2</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eastAsia="宋体" w:cs="Times New Roman"/>
                <w:color w:val="000000" w:themeColor="text1"/>
                <w:kern w:val="2"/>
                <w:sz w:val="21"/>
                <w:szCs w:val="21"/>
                <w14:textFill>
                  <w14:solidFill>
                    <w14:schemeClr w14:val="tx1"/>
                  </w14:solidFill>
                </w14:textFill>
              </w:rPr>
              <w:t>21001</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eastAsia="宋体" w:cs="Times New Roman"/>
                <w:color w:val="000000" w:themeColor="text1"/>
                <w:kern w:val="2"/>
                <w:sz w:val="21"/>
                <w:szCs w:val="21"/>
                <w14:textFill>
                  <w14:solidFill>
                    <w14:schemeClr w14:val="tx1"/>
                  </w14:solidFill>
                </w14:textFill>
              </w:rPr>
              <w:t>无色无嗅无味无毒的气体，相对密度（空气=1）0.07，不溶于水，乙醇、乙醚，闪点-50℃，自然点400℃</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eastAsia="宋体" w:cs="Times New Roman"/>
                <w:color w:val="000000" w:themeColor="text1"/>
                <w:kern w:val="2"/>
                <w:sz w:val="21"/>
                <w:szCs w:val="21"/>
                <w14:textFill>
                  <w14:solidFill>
                    <w14:schemeClr w14:val="tx1"/>
                  </w14:solidFill>
                </w14:textFill>
              </w:rPr>
              <w:t>易燃气体，与空气混合形成爆炸混合物，遇明火、高热能引起燃烧爆炸，氢气比空气轻，漏气上升滞留屋顶不易排出，遇火星会引起爆炸。与氟、氯等可能发生剧烈化学反应。爆炸极限4%~75%。</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eastAsia="宋体" w:cs="Times New Roman"/>
                <w:color w:val="000000" w:themeColor="text1"/>
                <w:kern w:val="2"/>
                <w:sz w:val="21"/>
                <w:szCs w:val="21"/>
                <w14:textFill>
                  <w14:solidFill>
                    <w14:schemeClr w14:val="tx1"/>
                  </w14:solidFill>
                </w14:textFill>
              </w:rPr>
              <w:t>无毒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eastAsia="宋体" w:cs="Times New Roman"/>
                <w:color w:val="000000" w:themeColor="text1"/>
                <w:kern w:val="2"/>
                <w:sz w:val="21"/>
                <w:szCs w:val="21"/>
                <w:lang w:val="en-US" w:eastAsia="zh-CN"/>
                <w14:textFill>
                  <w14:solidFill>
                    <w14:schemeClr w14:val="tx1"/>
                  </w14:solidFill>
                </w14:textFill>
              </w:rPr>
            </w:pPr>
            <w:r>
              <w:rPr>
                <w:rFonts w:hint="eastAsia" w:eastAsia="宋体" w:cs="Times New Roman"/>
                <w:color w:val="000000" w:themeColor="text1"/>
                <w:kern w:val="2"/>
                <w:sz w:val="21"/>
                <w:szCs w:val="21"/>
                <w:lang w:val="en-US" w:eastAsia="zh-CN"/>
                <w14:textFill>
                  <w14:solidFill>
                    <w14:schemeClr w14:val="tx1"/>
                  </w14:solidFill>
                </w14:textFill>
              </w:rPr>
              <w:t>3</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eastAsia="宋体" w:cs="Times New Roman"/>
                <w:color w:val="000000" w:themeColor="text1"/>
                <w:kern w:val="2"/>
                <w:sz w:val="21"/>
                <w:szCs w:val="21"/>
                <w:lang w:val="en-US" w:eastAsia="zh-CN"/>
                <w14:textFill>
                  <w14:solidFill>
                    <w14:schemeClr w14:val="tx1"/>
                  </w14:solidFill>
                </w14:textFill>
              </w:rPr>
            </w:pPr>
            <w:r>
              <w:rPr>
                <w:rFonts w:hint="eastAsia" w:eastAsia="宋体" w:cs="Times New Roman"/>
                <w:color w:val="000000" w:themeColor="text1"/>
                <w:kern w:val="2"/>
                <w:sz w:val="21"/>
                <w:szCs w:val="21"/>
                <w:lang w:val="en-US" w:eastAsia="zh-CN"/>
                <w14:textFill>
                  <w14:solidFill>
                    <w14:schemeClr w14:val="tx1"/>
                  </w14:solidFill>
                </w14:textFill>
              </w:rPr>
              <w:t>航煤组分油</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eastAsia="宋体" w:cs="Times New Roman"/>
                <w:color w:val="000000" w:themeColor="text1"/>
                <w:kern w:val="2"/>
                <w:sz w:val="21"/>
                <w:szCs w:val="21"/>
                <w14:textFill>
                  <w14:solidFill>
                    <w14:schemeClr w14:val="tx1"/>
                  </w14:solidFill>
                </w14:textFill>
              </w:rPr>
              <w:t>—</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33501</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eastAsia="宋体" w:cs="Times New Roman"/>
                <w:color w:val="000000" w:themeColor="text1"/>
                <w:kern w:val="2"/>
                <w:sz w:val="21"/>
                <w:szCs w:val="21"/>
                <w:lang w:val="en-US" w:eastAsia="zh-CN"/>
                <w14:textFill>
                  <w14:solidFill>
                    <w14:schemeClr w14:val="tx1"/>
                  </w14:solidFill>
                </w14:textFill>
              </w:rPr>
            </w:pPr>
            <w:r>
              <w:rPr>
                <w:rFonts w:hint="eastAsia" w:eastAsia="宋体" w:cs="Times New Roman"/>
                <w:color w:val="000000" w:themeColor="text1"/>
                <w:kern w:val="2"/>
                <w:sz w:val="21"/>
                <w:szCs w:val="21"/>
                <w:lang w:val="en-US" w:eastAsia="zh-CN"/>
                <w14:textFill>
                  <w14:solidFill>
                    <w14:schemeClr w14:val="tx1"/>
                  </w14:solidFill>
                </w14:textFill>
              </w:rPr>
              <w:t>无色或淡黄色液体，闪电</w:t>
            </w:r>
            <w:r>
              <w:rPr>
                <w:rFonts w:eastAsia="宋体" w:cs="Times New Roman"/>
                <w:color w:val="000000" w:themeColor="text1"/>
                <w:spacing w:val="-1"/>
                <w:w w:val="100"/>
                <w:kern w:val="2"/>
                <w:sz w:val="21"/>
                <w:szCs w:val="21"/>
                <w14:textFill>
                  <w14:solidFill>
                    <w14:schemeClr w14:val="tx1"/>
                  </w14:solidFill>
                </w14:textFill>
              </w:rPr>
              <w:t>＞</w:t>
            </w:r>
            <w:r>
              <w:rPr>
                <w:rFonts w:hint="eastAsia" w:ascii="Times New Roman" w:hAnsi="Times New Roman" w:eastAsia="宋体" w:cs="Times New Roman"/>
                <w:color w:val="000000" w:themeColor="text1"/>
                <w:spacing w:val="-3"/>
                <w:w w:val="100"/>
                <w:kern w:val="2"/>
                <w:sz w:val="21"/>
                <w:szCs w:val="21"/>
                <w:lang w:val="en-US" w:eastAsia="zh-CN"/>
                <w14:textFill>
                  <w14:solidFill>
                    <w14:schemeClr w14:val="tx1"/>
                  </w14:solidFill>
                </w14:textFill>
              </w:rPr>
              <w:t>38，</w:t>
            </w:r>
            <w:r>
              <w:rPr>
                <w:rFonts w:hint="default" w:ascii="Times New Roman" w:hAnsi="Times New Roman" w:eastAsia="宋体" w:cs="Times New Roman"/>
                <w:color w:val="000000" w:themeColor="text1"/>
                <w:w w:val="100"/>
                <w:kern w:val="2"/>
                <w:sz w:val="21"/>
                <w:szCs w:val="21"/>
                <w14:textFill>
                  <w14:solidFill>
                    <w14:schemeClr w14:val="tx1"/>
                  </w14:solidFill>
                </w14:textFill>
              </w:rPr>
              <w:t>沸点</w:t>
            </w:r>
            <w:r>
              <w:rPr>
                <w:rFonts w:hint="default" w:ascii="Times New Roman" w:hAnsi="Times New Roman" w:eastAsia="宋体" w:cs="Times New Roman"/>
                <w:color w:val="000000" w:themeColor="text1"/>
                <w:spacing w:val="-3"/>
                <w:w w:val="100"/>
                <w:kern w:val="2"/>
                <w:sz w:val="21"/>
                <w:szCs w:val="21"/>
                <w14:textFill>
                  <w14:solidFill>
                    <w14:schemeClr w14:val="tx1"/>
                  </w14:solidFill>
                </w14:textFill>
              </w:rPr>
              <w:t>（</w:t>
            </w:r>
            <w:r>
              <w:rPr>
                <w:rFonts w:hint="default" w:ascii="Times New Roman" w:hAnsi="Times New Roman" w:eastAsia="宋体" w:cs="Times New Roman"/>
                <w:color w:val="000000" w:themeColor="text1"/>
                <w:w w:val="100"/>
                <w:kern w:val="2"/>
                <w:sz w:val="21"/>
                <w:szCs w:val="21"/>
                <w14:textFill>
                  <w14:solidFill>
                    <w14:schemeClr w14:val="tx1"/>
                  </w14:solidFill>
                </w14:textFill>
              </w:rPr>
              <w:t>℃</w:t>
            </w:r>
            <w:r>
              <w:rPr>
                <w:rFonts w:hint="default" w:ascii="Times New Roman" w:hAnsi="Times New Roman" w:eastAsia="宋体" w:cs="Times New Roman"/>
                <w:color w:val="000000" w:themeColor="text1"/>
                <w:spacing w:val="-108"/>
                <w:w w:val="100"/>
                <w:kern w:val="2"/>
                <w:sz w:val="21"/>
                <w:szCs w:val="21"/>
                <w14:textFill>
                  <w14:solidFill>
                    <w14:schemeClr w14:val="tx1"/>
                  </w14:solidFill>
                </w14:textFill>
              </w:rPr>
              <w:t>）</w:t>
            </w:r>
            <w:r>
              <w:rPr>
                <w:rFonts w:hint="default" w:ascii="Times New Roman" w:hAnsi="Times New Roman" w:eastAsia="宋体" w:cs="Times New Roman"/>
                <w:color w:val="000000" w:themeColor="text1"/>
                <w:spacing w:val="-1"/>
                <w:w w:val="100"/>
                <w:kern w:val="2"/>
                <w:sz w:val="21"/>
                <w:szCs w:val="21"/>
                <w14:textFill>
                  <w14:solidFill>
                    <w14:schemeClr w14:val="tx1"/>
                  </w14:solidFill>
                </w14:textFill>
              </w:rPr>
              <w:t>：</w:t>
            </w:r>
            <w:r>
              <w:rPr>
                <w:rFonts w:hint="eastAsia" w:ascii="Times New Roman" w:hAnsi="Times New Roman" w:eastAsia="宋体" w:cs="Times New Roman"/>
                <w:color w:val="000000" w:themeColor="text1"/>
                <w:spacing w:val="-1"/>
                <w:w w:val="100"/>
                <w:kern w:val="2"/>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w w:val="100"/>
                <w:kern w:val="2"/>
                <w:sz w:val="21"/>
                <w:szCs w:val="21"/>
                <w14:textFill>
                  <w14:solidFill>
                    <w14:schemeClr w14:val="tx1"/>
                  </w14:solidFill>
                </w14:textFill>
              </w:rPr>
              <w:t>17</w:t>
            </w:r>
            <w:r>
              <w:rPr>
                <w:rFonts w:hint="default" w:ascii="Times New Roman" w:hAnsi="Times New Roman" w:eastAsia="Times New Roman" w:cs="Times New Roman"/>
                <w:color w:val="000000" w:themeColor="text1"/>
                <w:spacing w:val="-2"/>
                <w:w w:val="100"/>
                <w:kern w:val="2"/>
                <w:sz w:val="21"/>
                <w:szCs w:val="21"/>
                <w14:textFill>
                  <w14:solidFill>
                    <w14:schemeClr w14:val="tx1"/>
                  </w14:solidFill>
                </w14:textFill>
              </w:rPr>
              <w:t>5</w:t>
            </w:r>
            <w:r>
              <w:rPr>
                <w:rFonts w:hint="default" w:ascii="Times New Roman" w:hAnsi="Times New Roman" w:eastAsia="宋体" w:cs="Times New Roman"/>
                <w:color w:val="000000" w:themeColor="text1"/>
                <w:w w:val="100"/>
                <w:kern w:val="2"/>
                <w:sz w:val="21"/>
                <w:szCs w:val="21"/>
                <w14:textFill>
                  <w14:solidFill>
                    <w14:schemeClr w14:val="tx1"/>
                  </w14:solidFill>
                </w14:textFill>
              </w:rPr>
              <w:t>－</w:t>
            </w:r>
            <w:r>
              <w:rPr>
                <w:rFonts w:hint="default" w:ascii="Times New Roman" w:hAnsi="Times New Roman" w:eastAsia="Times New Roman" w:cs="Times New Roman"/>
                <w:color w:val="000000" w:themeColor="text1"/>
                <w:w w:val="100"/>
                <w:kern w:val="2"/>
                <w:sz w:val="21"/>
                <w:szCs w:val="21"/>
                <w14:textFill>
                  <w14:solidFill>
                    <w14:schemeClr w14:val="tx1"/>
                  </w14:solidFill>
                </w14:textFill>
              </w:rPr>
              <w:t>3</w:t>
            </w:r>
            <w:r>
              <w:rPr>
                <w:rFonts w:hint="default" w:ascii="Times New Roman" w:hAnsi="Times New Roman" w:eastAsia="Times New Roman" w:cs="Times New Roman"/>
                <w:color w:val="000000" w:themeColor="text1"/>
                <w:spacing w:val="-3"/>
                <w:w w:val="100"/>
                <w:kern w:val="2"/>
                <w:sz w:val="21"/>
                <w:szCs w:val="21"/>
                <w14:textFill>
                  <w14:solidFill>
                    <w14:schemeClr w14:val="tx1"/>
                  </w14:solidFill>
                </w14:textFill>
              </w:rPr>
              <w:t>2</w:t>
            </w:r>
            <w:r>
              <w:rPr>
                <w:rFonts w:hint="default" w:ascii="Times New Roman" w:hAnsi="Times New Roman" w:eastAsia="Times New Roman" w:cs="Times New Roman"/>
                <w:color w:val="000000" w:themeColor="text1"/>
                <w:w w:val="100"/>
                <w:kern w:val="2"/>
                <w:sz w:val="21"/>
                <w:szCs w:val="21"/>
                <w14:textFill>
                  <w14:solidFill>
                    <w14:schemeClr w14:val="tx1"/>
                  </w14:solidFill>
                </w14:textFill>
              </w:rPr>
              <w:t>5</w:t>
            </w:r>
            <w:r>
              <w:rPr>
                <w:rFonts w:hint="default" w:ascii="Times New Roman" w:hAnsi="Times New Roman" w:eastAsia="宋体" w:cs="Times New Roman"/>
                <w:color w:val="000000" w:themeColor="text1"/>
                <w:w w:val="100"/>
                <w:kern w:val="2"/>
                <w:sz w:val="21"/>
                <w:szCs w:val="21"/>
                <w14:textFill>
                  <w14:solidFill>
                    <w14:schemeClr w14:val="tx1"/>
                  </w14:solidFill>
                </w14:textFill>
              </w:rPr>
              <w:t>℃</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eastAsia="宋体" w:cs="Times New Roman"/>
                <w:color w:val="000000" w:themeColor="text1"/>
                <w:kern w:val="2"/>
                <w:sz w:val="21"/>
                <w:szCs w:val="21"/>
                <w:lang w:val="en-US" w:eastAsia="zh-CN"/>
                <w14:textFill>
                  <w14:solidFill>
                    <w14:schemeClr w14:val="tx1"/>
                  </w14:solidFill>
                </w14:textFill>
              </w:rPr>
            </w:pPr>
            <w:r>
              <w:rPr>
                <w:rFonts w:hint="eastAsia" w:eastAsia="宋体" w:cs="Times New Roman"/>
                <w:color w:val="000000" w:themeColor="text1"/>
                <w:kern w:val="2"/>
                <w:sz w:val="21"/>
                <w:szCs w:val="21"/>
                <w:lang w:val="en-US" w:eastAsia="zh-CN"/>
                <w14:textFill>
                  <w14:solidFill>
                    <w14:schemeClr w14:val="tx1"/>
                  </w14:solidFill>
                </w14:textFill>
              </w:rPr>
              <w:t>易燃性液体，</w:t>
            </w:r>
            <w:r>
              <w:rPr>
                <w:rFonts w:eastAsia="宋体" w:cs="Times New Roman"/>
                <w:color w:val="000000" w:themeColor="text1"/>
                <w:kern w:val="2"/>
                <w:sz w:val="21"/>
                <w:szCs w:val="21"/>
                <w14:textFill>
                  <w14:solidFill>
                    <w14:schemeClr w14:val="tx1"/>
                  </w14:solidFill>
                </w14:textFill>
              </w:rPr>
              <w:t>蒸气能与空气形成爆炸性混合物。遇高热、明火、氧化剂有燃烧的危险。</w:t>
            </w:r>
          </w:p>
        </w:tc>
        <w:tc>
          <w:tcPr>
            <w:tcW w:w="0" w:type="auto"/>
            <w:noWrap w:val="0"/>
            <w:vAlign w:val="center"/>
          </w:tcPr>
          <w:p>
            <w:pPr>
              <w:pStyle w:val="119"/>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eastAsia="宋体" w:cs="Times New Roman"/>
                <w:color w:val="000000" w:themeColor="text1"/>
                <w:kern w:val="2"/>
                <w:sz w:val="21"/>
                <w:szCs w:val="21"/>
                <w:lang w:val="en-US" w:eastAsia="zh-CN"/>
                <w14:textFill>
                  <w14:solidFill>
                    <w14:schemeClr w14:val="tx1"/>
                  </w14:solidFill>
                </w14:textFill>
              </w:rPr>
            </w:pPr>
            <w:r>
              <w:rPr>
                <w:rFonts w:hint="eastAsia" w:eastAsia="宋体" w:cs="Times New Roman"/>
                <w:color w:val="000000" w:themeColor="text1"/>
                <w:kern w:val="2"/>
                <w:sz w:val="21"/>
                <w:szCs w:val="21"/>
                <w:lang w:val="en-US" w:eastAsia="zh-CN"/>
                <w14:textFill>
                  <w14:solidFill>
                    <w14:schemeClr w14:val="tx1"/>
                  </w14:solidFill>
                </w14:textFill>
              </w:rPr>
              <w:t>吸入高浓度蒸汽，常有兴奋，后转入抑制，表现为乏力、头疼等</w:t>
            </w:r>
          </w:p>
        </w:tc>
      </w:tr>
    </w:tbl>
    <w:p>
      <w:pPr>
        <w:pStyle w:val="4"/>
        <w:rPr>
          <w:color w:val="000000" w:themeColor="text1"/>
          <w14:textFill>
            <w14:solidFill>
              <w14:schemeClr w14:val="tx1"/>
            </w14:solidFill>
          </w14:textFill>
        </w:rPr>
      </w:pPr>
      <w:bookmarkStart w:id="139" w:name="_Toc31637"/>
      <w:r>
        <w:rPr>
          <w:color w:val="000000" w:themeColor="text1"/>
          <w14:textFill>
            <w14:solidFill>
              <w14:schemeClr w14:val="tx1"/>
            </w14:solidFill>
          </w14:textFill>
        </w:rPr>
        <w:t>拟建项目主要生产设备</w:t>
      </w:r>
      <w:bookmarkEnd w:id="139"/>
    </w:p>
    <w:p>
      <w:pPr>
        <w:keepNext/>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拟建项目是在现有工程预留空地上建设，不会改变现有工程的设备数量。拟建项目主要设备详见</w:t>
      </w:r>
      <w:r>
        <w:rPr>
          <w:rFonts w:hint="default" w:ascii="Times New Roman" w:hAnsi="Times New Roman" w:eastAsia="宋体" w:cs="Times New Roman"/>
          <w:color w:val="000000" w:themeColor="text1"/>
          <w:lang w:eastAsia="zh-CN"/>
          <w14:textFill>
            <w14:solidFill>
              <w14:schemeClr w14:val="tx1"/>
            </w14:solidFill>
          </w14:textFill>
        </w:rPr>
        <w:t>表</w:t>
      </w:r>
      <w:r>
        <w:rPr>
          <w:rFonts w:hint="default" w:ascii="Times New Roman" w:hAnsi="Times New Roman" w:eastAsia="宋体" w:cs="Times New Roman"/>
          <w:color w:val="000000" w:themeColor="text1"/>
          <w:lang w:val="en-US" w:eastAsia="zh-CN"/>
          <w14:textFill>
            <w14:solidFill>
              <w14:schemeClr w14:val="tx1"/>
            </w14:solidFill>
          </w14:textFill>
        </w:rPr>
        <w:t>4.6-1，</w:t>
      </w:r>
      <w:r>
        <w:rPr>
          <w:rFonts w:hint="default" w:ascii="Times New Roman" w:hAnsi="Times New Roman" w:cs="Times New Roman"/>
          <w:color w:val="000000" w:themeColor="text1"/>
          <w14:textFill>
            <w14:solidFill>
              <w14:schemeClr w14:val="tx1"/>
            </w14:solidFill>
          </w14:textFill>
        </w:rPr>
        <w:t>主要设备详细参数详见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_Ref55448082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_Ref55448095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pPr>
        <w:keepNext/>
        <w:jc w:val="center"/>
        <w:rPr>
          <w:b/>
          <w:color w:val="000000" w:themeColor="text1"/>
          <w14:textFill>
            <w14:solidFill>
              <w14:schemeClr w14:val="tx1"/>
            </w14:solidFill>
          </w14:textFill>
        </w:rPr>
      </w:pPr>
      <w:bookmarkStart w:id="140" w:name="_Ref55448054"/>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6</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拟建项目设备一览表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848"/>
        <w:gridCol w:w="1848"/>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top w:val="single" w:color="auto" w:sz="12" w:space="0"/>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t>序号</w:t>
            </w:r>
          </w:p>
        </w:tc>
        <w:tc>
          <w:tcPr>
            <w:tcW w:w="1848" w:type="dxa"/>
            <w:tcBorders>
              <w:top w:val="single" w:color="auto" w:sz="12" w:space="0"/>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t>设备名称</w:t>
            </w:r>
          </w:p>
        </w:tc>
        <w:tc>
          <w:tcPr>
            <w:tcW w:w="1848" w:type="dxa"/>
            <w:tcBorders>
              <w:top w:val="single" w:color="auto" w:sz="12" w:space="0"/>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t>单位</w:t>
            </w:r>
          </w:p>
        </w:tc>
        <w:tc>
          <w:tcPr>
            <w:tcW w:w="1849" w:type="dxa"/>
            <w:tcBorders>
              <w:top w:val="single" w:color="auto" w:sz="12" w:space="0"/>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t>拟建项目数量</w:t>
            </w:r>
          </w:p>
        </w:tc>
        <w:tc>
          <w:tcPr>
            <w:tcW w:w="1849" w:type="dxa"/>
            <w:tcBorders>
              <w:top w:val="single" w:color="auto" w:sz="12" w:space="0"/>
              <w:righ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1</w:t>
            </w:r>
          </w:p>
        </w:tc>
        <w:tc>
          <w:tcPr>
            <w:tcW w:w="1848" w:type="dxa"/>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t>反应器</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2</w:t>
            </w:r>
          </w:p>
        </w:tc>
        <w:tc>
          <w:tcPr>
            <w:tcW w:w="1848" w:type="dxa"/>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eastAsia="zh-CN"/>
                <w14:textFill>
                  <w14:solidFill>
                    <w14:schemeClr w14:val="tx1"/>
                  </w14:solidFill>
                </w14:textFill>
              </w:rPr>
              <w:t>塔类</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座</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3</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容器类</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2</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4</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换热器类</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13</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5</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过滤器</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2</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6</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混合器</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7</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采样器</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6</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8</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机泵</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8</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9</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洗眼器</w:t>
            </w:r>
          </w:p>
        </w:tc>
        <w:tc>
          <w:tcPr>
            <w:tcW w:w="1848"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1</w:t>
            </w:r>
          </w:p>
        </w:tc>
        <w:tc>
          <w:tcPr>
            <w:tcW w:w="1849" w:type="dxa"/>
            <w:tcBorders>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bottom w:val="single" w:color="auto" w:sz="12" w:space="0"/>
            </w:tcBorders>
            <w:noWrap w:val="0"/>
            <w:vAlign w:val="top"/>
          </w:tcPr>
          <w:p>
            <w:pPr>
              <w:keepNext/>
              <w:keepLines w:val="0"/>
              <w:suppressLineNumbers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i w:val="0"/>
                <w:iCs w:val="0"/>
                <w:color w:val="000000" w:themeColor="text1"/>
                <w:sz w:val="21"/>
                <w:szCs w:val="21"/>
                <w:vertAlign w:val="baseline"/>
                <w:lang w:val="en-US" w:eastAsia="zh-CN"/>
                <w14:textFill>
                  <w14:solidFill>
                    <w14:schemeClr w14:val="tx1"/>
                  </w14:solidFill>
                </w14:textFill>
              </w:rPr>
              <w:t>10</w:t>
            </w:r>
          </w:p>
        </w:tc>
        <w:tc>
          <w:tcPr>
            <w:tcW w:w="1848" w:type="dxa"/>
            <w:tcBorders>
              <w:bottom w:val="single" w:color="auto" w:sz="12" w:space="0"/>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b w:val="0"/>
                <w:bCs/>
                <w:i w:val="0"/>
                <w:iCs w:val="0"/>
                <w:color w:val="000000" w:themeColor="text1"/>
                <w:kern w:val="2"/>
                <w:sz w:val="21"/>
                <w:szCs w:val="21"/>
                <w14:textFill>
                  <w14:solidFill>
                    <w14:schemeClr w14:val="tx1"/>
                  </w14:solidFill>
                </w14:textFill>
              </w:rPr>
              <w:t>安全阀</w:t>
            </w:r>
          </w:p>
        </w:tc>
        <w:tc>
          <w:tcPr>
            <w:tcW w:w="1848" w:type="dxa"/>
            <w:tcBorders>
              <w:bottom w:val="single" w:color="auto" w:sz="12" w:space="0"/>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台</w:t>
            </w:r>
          </w:p>
        </w:tc>
        <w:tc>
          <w:tcPr>
            <w:tcW w:w="1849" w:type="dxa"/>
            <w:tcBorders>
              <w:bottom w:val="single" w:color="auto" w:sz="12" w:space="0"/>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8</w:t>
            </w:r>
          </w:p>
        </w:tc>
        <w:tc>
          <w:tcPr>
            <w:tcW w:w="1849" w:type="dxa"/>
            <w:tcBorders>
              <w:bottom w:val="single" w:color="auto" w:sz="12" w:space="0"/>
              <w:right w:val="nil"/>
            </w:tcBorders>
            <w:noWrap w:val="0"/>
            <w:vAlign w:val="center"/>
          </w:tcPr>
          <w:p>
            <w:pPr>
              <w:pStyle w:val="119"/>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i w:val="0"/>
                <w:iCs w:val="0"/>
                <w:color w:val="000000" w:themeColor="text1"/>
                <w:kern w:val="2"/>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新增</w:t>
            </w:r>
          </w:p>
        </w:tc>
      </w:tr>
    </w:tbl>
    <w:p>
      <w:pPr>
        <w:keepNext/>
        <w:jc w:val="center"/>
        <w:rPr>
          <w:b/>
          <w:color w:val="000000" w:themeColor="text1"/>
          <w14:textFill>
            <w14:solidFill>
              <w14:schemeClr w14:val="tx1"/>
            </w14:solidFill>
          </w14:textFill>
        </w:rPr>
      </w:pPr>
    </w:p>
    <w:p>
      <w:pPr>
        <w:jc w:val="center"/>
        <w:rPr>
          <w:b/>
          <w:color w:val="000000" w:themeColor="text1"/>
          <w14:textFill>
            <w14:solidFill>
              <w14:schemeClr w14:val="tx1"/>
            </w14:solidFill>
          </w14:textFill>
        </w:rPr>
      </w:pPr>
      <w:r>
        <w:rPr>
          <w:b/>
          <w:color w:val="000000" w:themeColor="text1"/>
          <w14:textFill>
            <w14:solidFill>
              <w14:schemeClr w14:val="tx1"/>
            </w14:solidFill>
          </w14:textFill>
        </w:rPr>
        <w:br w:type="page"/>
      </w: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6</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bookmarkEnd w:id="140"/>
      <w:r>
        <w:rPr>
          <w:b/>
          <w:color w:val="000000" w:themeColor="text1"/>
          <w14:textFill>
            <w14:solidFill>
              <w14:schemeClr w14:val="tx1"/>
            </w14:solidFill>
          </w14:textFill>
        </w:rPr>
        <w:t xml:space="preserve">  容器类详细设备介绍情况一览表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53"/>
        <w:gridCol w:w="700"/>
        <w:gridCol w:w="456"/>
        <w:gridCol w:w="910"/>
        <w:gridCol w:w="1027"/>
        <w:gridCol w:w="914"/>
        <w:gridCol w:w="1776"/>
        <w:gridCol w:w="1151"/>
        <w:gridCol w:w="487"/>
        <w:gridCol w:w="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0" w:type="auto"/>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位号</w:t>
            </w:r>
          </w:p>
        </w:tc>
        <w:tc>
          <w:tcPr>
            <w:tcW w:w="0" w:type="auto"/>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名称及类型</w:t>
            </w:r>
          </w:p>
        </w:tc>
        <w:tc>
          <w:tcPr>
            <w:tcW w:w="0" w:type="auto"/>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数量</w:t>
            </w:r>
          </w:p>
        </w:tc>
        <w:tc>
          <w:tcPr>
            <w:tcW w:w="0" w:type="auto"/>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操作条件</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外形尺寸mm</w:t>
            </w:r>
          </w:p>
        </w:tc>
        <w:tc>
          <w:tcPr>
            <w:tcW w:w="0" w:type="auto"/>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材质</w:t>
            </w:r>
          </w:p>
        </w:tc>
        <w:tc>
          <w:tcPr>
            <w:tcW w:w="0" w:type="auto"/>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绝热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介质</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温度℃</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压力MPa（G）</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直径X长（高）度（T-T）</w:t>
            </w:r>
          </w:p>
        </w:tc>
        <w:tc>
          <w:tcPr>
            <w:tcW w:w="0" w:type="auto"/>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材质</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厚度mm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R-201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加氢反应器</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原料油、氢气</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330/290</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2.5</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φ1800×7200×</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（3+34）</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S32168+</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15CrMoR（H）</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硅酸铝</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C-201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粗白油分馏塔</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石脑油、含硫干气、白油</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250</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0.15</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φ1400×32000×</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（3+12）</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S11306+ Q245R</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硅酸铝</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D-201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原料缓冲罐</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石脑油、含硫干气、白油</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100/180（最大）</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0.35</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φ1800×5400×8</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Q245R</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硅酸铝</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D-202</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粗白油分馏塔顶回流罐</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40</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2.4</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φ1000×4000×30</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Q245R</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硅酸铝</w:t>
            </w:r>
          </w:p>
        </w:tc>
        <w:tc>
          <w:tcPr>
            <w:tcW w:w="0" w:type="auto"/>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30</w:t>
            </w:r>
          </w:p>
        </w:tc>
      </w:tr>
    </w:tbl>
    <w:p>
      <w:pPr>
        <w:adjustRightInd w:val="0"/>
        <w:snapToGrid w:val="0"/>
        <w:jc w:val="center"/>
        <w:rPr>
          <w:color w:val="000000" w:themeColor="text1"/>
          <w14:textFill>
            <w14:solidFill>
              <w14:schemeClr w14:val="tx1"/>
            </w14:solidFill>
          </w14:textFill>
        </w:rPr>
      </w:pPr>
      <w:bookmarkStart w:id="141" w:name="_Ref55448082"/>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eastAsia="宋体"/>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6</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bookmarkEnd w:id="141"/>
      <w:r>
        <w:rPr>
          <w:b/>
          <w:color w:val="000000" w:themeColor="text1"/>
          <w14:textFill>
            <w14:solidFill>
              <w14:schemeClr w14:val="tx1"/>
            </w14:solidFill>
          </w14:textFill>
        </w:rPr>
        <w:t xml:space="preserve">  换热器类详细设备介绍情况一览表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51"/>
        <w:gridCol w:w="1418"/>
        <w:gridCol w:w="708"/>
        <w:gridCol w:w="3037"/>
        <w:gridCol w:w="756"/>
        <w:gridCol w:w="599"/>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731"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位号</w:t>
            </w:r>
          </w:p>
        </w:tc>
        <w:tc>
          <w:tcPr>
            <w:tcW w:w="767"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名称及类型</w:t>
            </w:r>
          </w:p>
        </w:tc>
        <w:tc>
          <w:tcPr>
            <w:tcW w:w="383"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数量</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外形尺寸mm</w:t>
            </w:r>
          </w:p>
        </w:tc>
        <w:tc>
          <w:tcPr>
            <w:tcW w:w="409"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换热面积m</w:t>
            </w:r>
            <w:r>
              <w:rPr>
                <w:rFonts w:hint="default" w:ascii="Times New Roman" w:hAnsi="Times New Roman" w:eastAsia="宋体" w:cs="Times New Roman"/>
                <w:color w:val="000000" w:themeColor="text1"/>
                <w:sz w:val="21"/>
                <w:vertAlign w:val="superscript"/>
                <w14:textFill>
                  <w14:solidFill>
                    <w14:schemeClr w14:val="tx1"/>
                  </w14:solidFill>
                </w14:textFill>
              </w:rPr>
              <w:t>2</w:t>
            </w:r>
          </w:p>
        </w:tc>
        <w:tc>
          <w:tcPr>
            <w:tcW w:w="742"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绝热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31"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767"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383"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直径×长（高）度</w:t>
            </w:r>
          </w:p>
        </w:tc>
        <w:tc>
          <w:tcPr>
            <w:tcW w:w="409"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3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材料</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厚度mm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E-201A/B/C</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原料/反应产物换热器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BES600-4.0-55-4.5/25-6I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3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硅酸铝</w:t>
            </w:r>
          </w:p>
        </w:tc>
        <w:tc>
          <w:tcPr>
            <w:tcW w:w="418"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E-202</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常渣/反应进料换热器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BES500-4.0-40-4.5/25-2I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40</w:t>
            </w:r>
          </w:p>
        </w:tc>
        <w:tc>
          <w:tcPr>
            <w:tcW w:w="3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硅酸铝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E-203</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氢气/3#粗白油产品换热器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BES325-4.0-10-4.5/25-2I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3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硅酸铝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E-204</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粗白油分馏塔顶冷凝器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BES900-2.5-155-4.5/25-4I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155</w:t>
            </w:r>
          </w:p>
        </w:tc>
        <w:tc>
          <w:tcPr>
            <w:tcW w:w="32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硅酸铝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E-205</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3#粗白油产品后冷器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BES800-2.5-120-4.5/25-4I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120</w:t>
            </w:r>
          </w:p>
        </w:tc>
        <w:tc>
          <w:tcPr>
            <w:tcW w:w="32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E-206A/B</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原料/3#粗白油产品换热器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BES500-4.0-40-4.5/25-4I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40</w:t>
            </w:r>
          </w:p>
        </w:tc>
        <w:tc>
          <w:tcPr>
            <w:tcW w:w="32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E-207</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200#溶剂油产品后冷器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BES700-2.5-85-4.5/25-4I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85</w:t>
            </w:r>
          </w:p>
        </w:tc>
        <w:tc>
          <w:tcPr>
            <w:tcW w:w="32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E-208</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原料/200#溶剂油产品换热器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BES500-4.0-40-4.5/25-4I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40</w:t>
            </w:r>
          </w:p>
        </w:tc>
        <w:tc>
          <w:tcPr>
            <w:tcW w:w="32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9</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E-209</w:t>
            </w:r>
          </w:p>
        </w:tc>
        <w:tc>
          <w:tcPr>
            <w:tcW w:w="76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分馏塔底油重沸器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BJS1000-2.5-190-4.5/25-6I</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190</w:t>
            </w:r>
          </w:p>
        </w:tc>
        <w:tc>
          <w:tcPr>
            <w:tcW w:w="32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731"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E-210</w:t>
            </w:r>
          </w:p>
        </w:tc>
        <w:tc>
          <w:tcPr>
            <w:tcW w:w="7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电加热器</w:t>
            </w:r>
          </w:p>
        </w:tc>
        <w:tc>
          <w:tcPr>
            <w:tcW w:w="38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w:t>
            </w:r>
          </w:p>
        </w:tc>
        <w:tc>
          <w:tcPr>
            <w:tcW w:w="164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功率300KW</w:t>
            </w:r>
          </w:p>
        </w:tc>
        <w:tc>
          <w:tcPr>
            <w:tcW w:w="40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32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硅酸</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铝</w:t>
            </w:r>
          </w:p>
        </w:tc>
        <w:tc>
          <w:tcPr>
            <w:tcW w:w="41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160</w:t>
            </w:r>
          </w:p>
        </w:tc>
      </w:tr>
    </w:tbl>
    <w:p>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6</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泵类详细设备介绍情况一览表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484"/>
        <w:gridCol w:w="3218"/>
        <w:gridCol w:w="967"/>
        <w:gridCol w:w="1301"/>
        <w:gridCol w:w="1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序号</w:t>
            </w:r>
          </w:p>
        </w:tc>
        <w:tc>
          <w:tcPr>
            <w:tcW w:w="80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位号</w:t>
            </w:r>
          </w:p>
        </w:tc>
        <w:tc>
          <w:tcPr>
            <w:tcW w:w="174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名称及型号</w:t>
            </w:r>
          </w:p>
        </w:tc>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台数</w:t>
            </w:r>
          </w:p>
        </w:tc>
        <w:tc>
          <w:tcPr>
            <w:tcW w:w="70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类型</w:t>
            </w:r>
          </w:p>
        </w:tc>
        <w:tc>
          <w:tcPr>
            <w:tcW w:w="70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功率kW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80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P-201A/B</w:t>
            </w:r>
          </w:p>
        </w:tc>
        <w:tc>
          <w:tcPr>
            <w:tcW w:w="174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加氢进料泵</w:t>
            </w:r>
          </w:p>
        </w:tc>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70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离心泵</w:t>
            </w:r>
          </w:p>
        </w:tc>
        <w:tc>
          <w:tcPr>
            <w:tcW w:w="707"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80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P-202A/B</w:t>
            </w:r>
          </w:p>
        </w:tc>
        <w:tc>
          <w:tcPr>
            <w:tcW w:w="1741"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粗白油分馏塔顶回流泵</w:t>
            </w:r>
          </w:p>
        </w:tc>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70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离心泵</w:t>
            </w:r>
          </w:p>
        </w:tc>
        <w:tc>
          <w:tcPr>
            <w:tcW w:w="707"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80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P-203A/B</w:t>
            </w:r>
          </w:p>
        </w:tc>
        <w:tc>
          <w:tcPr>
            <w:tcW w:w="1741"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3#粗白油产品泵</w:t>
            </w:r>
          </w:p>
        </w:tc>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70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离心泵</w:t>
            </w:r>
          </w:p>
        </w:tc>
        <w:tc>
          <w:tcPr>
            <w:tcW w:w="707"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w:t>
            </w:r>
          </w:p>
        </w:tc>
        <w:tc>
          <w:tcPr>
            <w:tcW w:w="80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P-204A/B</w:t>
            </w:r>
          </w:p>
        </w:tc>
        <w:tc>
          <w:tcPr>
            <w:tcW w:w="1741"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200#溶剂油产品泵</w:t>
            </w:r>
          </w:p>
        </w:tc>
        <w:tc>
          <w:tcPr>
            <w:tcW w:w="52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70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离心泵</w:t>
            </w:r>
          </w:p>
        </w:tc>
        <w:tc>
          <w:tcPr>
            <w:tcW w:w="707"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r>
    </w:tbl>
    <w:p>
      <w:pPr>
        <w:adjustRightInd w:val="0"/>
        <w:snapToGrid w:val="0"/>
        <w:jc w:val="center"/>
        <w:rPr>
          <w:b/>
          <w:color w:val="000000" w:themeColor="text1"/>
          <w14:textFill>
            <w14:solidFill>
              <w14:schemeClr w14:val="tx1"/>
            </w14:solidFill>
          </w14:textFill>
        </w:rPr>
      </w:pPr>
      <w:bookmarkStart w:id="142" w:name="_Ref55448095"/>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6</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bookmarkEnd w:id="142"/>
      <w:r>
        <w:rPr>
          <w:b/>
          <w:color w:val="000000" w:themeColor="text1"/>
          <w14:textFill>
            <w14:solidFill>
              <w14:schemeClr w14:val="tx1"/>
            </w14:solidFill>
          </w14:textFill>
        </w:rPr>
        <w:t xml:space="preserve">  其他设备详细设备介绍情况一览表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6"/>
        <w:gridCol w:w="2009"/>
        <w:gridCol w:w="1320"/>
        <w:gridCol w:w="1320"/>
        <w:gridCol w:w="1321"/>
        <w:gridCol w:w="1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序号</w:t>
            </w: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位号</w:t>
            </w:r>
          </w:p>
        </w:tc>
        <w:tc>
          <w:tcPr>
            <w:tcW w:w="2009"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设备名称</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数量</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类型</w:t>
            </w:r>
          </w:p>
        </w:tc>
        <w:tc>
          <w:tcPr>
            <w:tcW w:w="132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材质</w:t>
            </w:r>
          </w:p>
        </w:tc>
        <w:tc>
          <w:tcPr>
            <w:tcW w:w="1321"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厚度mm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67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SR-201A/B</w:t>
            </w:r>
          </w:p>
        </w:tc>
        <w:tc>
          <w:tcPr>
            <w:tcW w:w="200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原料反冲洗过滤器</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反冲洗</w:t>
            </w:r>
          </w:p>
        </w:tc>
        <w:tc>
          <w:tcPr>
            <w:tcW w:w="132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硅酸铝</w:t>
            </w:r>
          </w:p>
        </w:tc>
        <w:tc>
          <w:tcPr>
            <w:tcW w:w="132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1276"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M-201</w:t>
            </w:r>
          </w:p>
        </w:tc>
        <w:tc>
          <w:tcPr>
            <w:tcW w:w="2009"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氢油混合器</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1320"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静态混合器</w:t>
            </w:r>
          </w:p>
        </w:tc>
        <w:tc>
          <w:tcPr>
            <w:tcW w:w="132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硅酸铝</w:t>
            </w:r>
          </w:p>
        </w:tc>
        <w:tc>
          <w:tcPr>
            <w:tcW w:w="1321" w:type="dxa"/>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160</w:t>
            </w:r>
          </w:p>
        </w:tc>
      </w:tr>
    </w:tbl>
    <w:p>
      <w:pPr>
        <w:pStyle w:val="4"/>
        <w:rPr>
          <w:color w:val="000000" w:themeColor="text1"/>
          <w14:textFill>
            <w14:solidFill>
              <w14:schemeClr w14:val="tx1"/>
            </w14:solidFill>
          </w14:textFill>
        </w:rPr>
      </w:pPr>
      <w:bookmarkStart w:id="143" w:name="_Toc11711"/>
      <w:r>
        <w:rPr>
          <w:color w:val="000000" w:themeColor="text1"/>
          <w14:textFill>
            <w14:solidFill>
              <w14:schemeClr w14:val="tx1"/>
            </w14:solidFill>
          </w14:textFill>
        </w:rPr>
        <w:t>工作制度及劳动定员</w:t>
      </w:r>
      <w:bookmarkEnd w:id="143"/>
    </w:p>
    <w:p>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本项目工作制度和劳动定员与之前的一致，没有做调整和变动，劳动定员40人，每年工作330天，一天工作24小时</w:t>
      </w:r>
      <w:r>
        <w:rPr>
          <w:rStyle w:val="45"/>
          <w:rFonts w:hint="default" w:ascii="Times New Roman" w:hAnsi="Times New Roman" w:eastAsia="宋体" w:cs="Times New Roman"/>
          <w:color w:val="000000" w:themeColor="text1"/>
          <w:sz w:val="24"/>
          <w:szCs w:val="24"/>
          <w:lang w:eastAsia="zh-CN"/>
          <w14:textFill>
            <w14:solidFill>
              <w14:schemeClr w14:val="tx1"/>
            </w14:solidFill>
          </w14:textFill>
        </w:rPr>
        <w:t>，无新增劳动定员。</w:t>
      </w:r>
    </w:p>
    <w:p>
      <w:pPr>
        <w:pStyle w:val="4"/>
        <w:rPr>
          <w:color w:val="000000" w:themeColor="text1"/>
          <w14:textFill>
            <w14:solidFill>
              <w14:schemeClr w14:val="tx1"/>
            </w14:solidFill>
          </w14:textFill>
        </w:rPr>
      </w:pPr>
      <w:bookmarkStart w:id="144" w:name="_Toc26611"/>
      <w:r>
        <w:rPr>
          <w:color w:val="000000" w:themeColor="text1"/>
          <w14:textFill>
            <w14:solidFill>
              <w14:schemeClr w14:val="tx1"/>
            </w14:solidFill>
          </w14:textFill>
        </w:rPr>
        <w:t>平面布置情况</w:t>
      </w:r>
      <w:bookmarkEnd w:id="144"/>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氢装置布置在常压框架的东面，新建一个构架，构架共4层，每层采用不燃烧材料的封闭式楼板隔离保护，且为无泄漏楼板。反应器（R-201）、原料缓冲罐（D-201）、粗白油分馏塔（C-201）布置在构架的南面。泵集中布置在地面层；分馏塔底油重沸器(E-209) 超过自燃点，靠近相关设备粗白油分馏塔（C-201）布置，且与周围其他设备间距超过</w:t>
      </w:r>
      <w:r>
        <w:rPr>
          <w:rFonts w:hint="default" w:ascii="Times New Roman" w:hAnsi="Times New Roman" w:cs="Times New Roman"/>
          <w:color w:val="000000" w:themeColor="text1"/>
          <w:kern w:val="0"/>
          <w:szCs w:val="24"/>
          <w14:textFill>
            <w14:solidFill>
              <w14:schemeClr w14:val="tx1"/>
            </w14:solidFill>
          </w14:textFill>
        </w:rPr>
        <w:t>4.5m；常渣/反应进料换热器（E-202）超过自燃点，与200#溶剂油产品后冷器（E-205）丙B类设备间距不限，靠近布置。</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配管设计要求做到安全可靠、经济合理，满足施工、操作、维修等方面的要求，并力求整齐美观。配管设计宜成排成组布置管道，并考虑其荷重。 本装置管道敷设的原则是：在满足工艺需要的前提下，尽量做到布局合理、经济适用、整齐美观。 </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厂区平面布置：在遵循总平面布置原则的前提下，结合厂区现状根据总流程将新建装置布置在已有常压装置的东侧。</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竖向布置：在以上原则基础上，结合厂址自然地形、地势及周边相邻场烯烃事业部原有地标高现状情况，装置区域场地平整由西北坡向东南，坡度0.3%，平整方式采用连续平整。场地平均标高控制在78.0米及70.0米左右，既有利于雨水迅速排除，又便于生产污水能自流进入烯烃事业部原有污水预处理场内，且不增加管道的埋地深度。由于本工程占地大部分为丘陵地，开山充分结合地形，依山就势，以减少护坡投资，挖填方持平。</w:t>
      </w:r>
    </w:p>
    <w:p>
      <w:pPr>
        <w:pStyle w:val="4"/>
        <w:rPr>
          <w:color w:val="000000" w:themeColor="text1"/>
          <w14:textFill>
            <w14:solidFill>
              <w14:schemeClr w14:val="tx1"/>
            </w14:solidFill>
          </w14:textFill>
        </w:rPr>
      </w:pPr>
      <w:bookmarkStart w:id="145" w:name="_Toc25325"/>
      <w:r>
        <w:rPr>
          <w:color w:val="000000" w:themeColor="text1"/>
          <w14:textFill>
            <w14:solidFill>
              <w14:schemeClr w14:val="tx1"/>
            </w14:solidFill>
          </w14:textFill>
        </w:rPr>
        <w:t>公用工程</w:t>
      </w:r>
      <w:bookmarkEnd w:id="145"/>
    </w:p>
    <w:p>
      <w:pPr>
        <w:pStyle w:val="5"/>
        <w:rPr>
          <w:color w:val="000000" w:themeColor="text1"/>
          <w14:textFill>
            <w14:solidFill>
              <w14:schemeClr w14:val="tx1"/>
            </w14:solidFill>
          </w14:textFill>
        </w:rPr>
      </w:pPr>
      <w:r>
        <w:rPr>
          <w:color w:val="000000" w:themeColor="text1"/>
          <w14:textFill>
            <w14:solidFill>
              <w14:schemeClr w14:val="tx1"/>
            </w14:solidFill>
          </w14:textFill>
        </w:rPr>
        <w:t>给排水</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（1）给水</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中石化巴陵石油化工有限公司</w:t>
      </w:r>
      <w:r>
        <w:rPr>
          <w:rFonts w:hint="default" w:ascii="Times New Roman" w:hAnsi="Times New Roman" w:cs="Times New Roman"/>
          <w:color w:val="000000" w:themeColor="text1"/>
          <w14:textFill>
            <w14:solidFill>
              <w14:schemeClr w14:val="tx1"/>
            </w14:solidFill>
          </w14:textFill>
        </w:rPr>
        <w:t>有自备生产水厂和生活水厂，生产用水从长江取水，生产取水能力为10万m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/d，生活用水取自铁山水库和双花水库，取水能力为3.4万m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项目供水依托巴陵石化分公司，公司南侧路口已有DN300的新鲜水管线，供给公司生产生活用水，供水压力为0.5MPa，供水能力约为300m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/h，目前已接至厂区，可满足项目用水的需要。</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①循环冷却水补充用水</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14:textFill>
            <w14:solidFill>
              <w14:schemeClr w14:val="tx1"/>
            </w14:solidFill>
          </w14:textFill>
        </w:rPr>
        <w:t>本项目依托炼油部现有循环冷却水站，设计规模为400m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/h（循环量），设计给水水压为0.4MPa（G）、给水水温为32℃，回水压力为0.25Mpa（G）、回水水温为37℃。循环冷却水站配1座冷却塔，循环水泵2台，一开一备，一个100m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水池。现有循环站满足需要，无需扩建。</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②地面冲洗水</w:t>
      </w:r>
    </w:p>
    <w:p>
      <w:pPr>
        <w:adjustRightInd w:val="0"/>
        <w:snapToGrid w:val="0"/>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本项目生产过程将定期对设备进行检修，检修后将进行地面冲洗。根据企业提供的资料，本项目全年检修12次，一次0.5h，用水量为2t/h，则地面冲洗水量为12t/a。</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③初期雨水</w:t>
      </w:r>
    </w:p>
    <w:p>
      <w:pPr>
        <w:adjustRightInd w:val="0"/>
        <w:snapToGrid w:val="0"/>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根据工程分析计算可知，项目总汇水面积为340m</w:t>
      </w:r>
      <w:r>
        <w:rPr>
          <w:rFonts w:hint="eastAsia"/>
          <w:color w:val="000000" w:themeColor="text1"/>
          <w:szCs w:val="24"/>
          <w:vertAlign w:val="superscript"/>
          <w14:textFill>
            <w14:solidFill>
              <w14:schemeClr w14:val="tx1"/>
            </w14:solidFill>
          </w14:textFill>
        </w:rPr>
        <w:t>2</w:t>
      </w:r>
      <w:r>
        <w:rPr>
          <w:rFonts w:hint="eastAsia"/>
          <w:color w:val="000000" w:themeColor="text1"/>
          <w:szCs w:val="24"/>
          <w14:textFill>
            <w14:solidFill>
              <w14:schemeClr w14:val="tx1"/>
            </w14:solidFill>
          </w14:textFill>
        </w:rPr>
        <w:t>，前10分钟初期雨水量约67.8m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，暴雨次数按18次/a计，则初期雨水的年产生量为1220.4m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/a。</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④含油污水</w:t>
      </w:r>
    </w:p>
    <w:p>
      <w:pPr>
        <w:adjustRightInd w:val="0"/>
        <w:snapToGrid w:val="0"/>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根据物料平衡以及产排污分析，</w:t>
      </w:r>
      <w:r>
        <w:rPr>
          <w:color w:val="000000" w:themeColor="text1"/>
          <w14:textFill>
            <w14:solidFill>
              <w14:schemeClr w14:val="tx1"/>
            </w14:solidFill>
          </w14:textFill>
        </w:rPr>
        <w:t>炼油部8万吨/年粗白油精装置</w:t>
      </w:r>
      <w:r>
        <w:rPr>
          <w:rFonts w:hint="eastAsia"/>
          <w:color w:val="000000" w:themeColor="text1"/>
          <w14:textFill>
            <w14:solidFill>
              <w14:schemeClr w14:val="tx1"/>
            </w14:solidFill>
          </w14:textFill>
        </w:rPr>
        <w:t>机泵冷却产生的含油污水产生量为</w:t>
      </w:r>
      <w:r>
        <w:rPr>
          <w:rFonts w:hint="eastAsia"/>
          <w:color w:val="000000" w:themeColor="text1"/>
          <w:szCs w:val="24"/>
          <w14:textFill>
            <w14:solidFill>
              <w14:schemeClr w14:val="tx1"/>
            </w14:solidFill>
          </w14:textFill>
        </w:rPr>
        <w:t>5t/</w:t>
      </w:r>
      <w:r>
        <w:rPr>
          <w:rFonts w:hint="eastAsia"/>
          <w:color w:val="000000" w:themeColor="text1"/>
          <w:szCs w:val="24"/>
          <w:lang w:val="en-US" w:eastAsia="zh-CN"/>
          <w14:textFill>
            <w14:solidFill>
              <w14:schemeClr w14:val="tx1"/>
            </w14:solidFill>
          </w14:textFill>
        </w:rPr>
        <w:t>d</w:t>
      </w:r>
      <w:r>
        <w:rPr>
          <w:rFonts w:hint="eastAsia"/>
          <w:color w:val="000000" w:themeColor="text1"/>
          <w:szCs w:val="24"/>
          <w14:textFill>
            <w14:solidFill>
              <w14:schemeClr w14:val="tx1"/>
            </w14:solidFill>
          </w14:textFill>
        </w:rPr>
        <w:t>（1650t/a）。</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⑤含硫污水</w:t>
      </w:r>
    </w:p>
    <w:p>
      <w:pPr>
        <w:adjustRightInd w:val="0"/>
        <w:snapToGrid w:val="0"/>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根据物料平衡以及产排污分析，</w:t>
      </w:r>
      <w:r>
        <w:rPr>
          <w:color w:val="000000" w:themeColor="text1"/>
          <w14:textFill>
            <w14:solidFill>
              <w14:schemeClr w14:val="tx1"/>
            </w14:solidFill>
          </w14:textFill>
        </w:rPr>
        <w:t>炼油部8万吨/年粗白油精装置</w:t>
      </w:r>
      <w:r>
        <w:rPr>
          <w:rFonts w:hint="eastAsia"/>
          <w:color w:val="000000" w:themeColor="text1"/>
          <w14:textFill>
            <w14:solidFill>
              <w14:schemeClr w14:val="tx1"/>
            </w14:solidFill>
          </w14:textFill>
        </w:rPr>
        <w:t>分馏塔油水分离产生的含硫污水量为</w:t>
      </w:r>
      <w:r>
        <w:rPr>
          <w:rFonts w:hint="eastAsia"/>
          <w:color w:val="000000" w:themeColor="text1"/>
          <w:szCs w:val="24"/>
          <w14:textFill>
            <w14:solidFill>
              <w14:schemeClr w14:val="tx1"/>
            </w14:solidFill>
          </w14:textFill>
        </w:rPr>
        <w:t>1t/</w:t>
      </w:r>
      <w:r>
        <w:rPr>
          <w:rFonts w:hint="eastAsia"/>
          <w:color w:val="000000" w:themeColor="text1"/>
          <w:szCs w:val="24"/>
          <w:lang w:val="en-US" w:eastAsia="zh-CN"/>
          <w14:textFill>
            <w14:solidFill>
              <w14:schemeClr w14:val="tx1"/>
            </w14:solidFill>
          </w14:textFill>
        </w:rPr>
        <w:t>d</w:t>
      </w:r>
      <w:r>
        <w:rPr>
          <w:rFonts w:hint="eastAsia"/>
          <w:color w:val="000000" w:themeColor="text1"/>
          <w:szCs w:val="24"/>
          <w14:textFill>
            <w14:solidFill>
              <w14:schemeClr w14:val="tx1"/>
            </w14:solidFill>
          </w14:textFill>
        </w:rPr>
        <w:t>（330t/a）。</w:t>
      </w:r>
    </w:p>
    <w:p>
      <w:pPr>
        <w:adjustRightInd w:val="0"/>
        <w:snapToGrid w:val="0"/>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本项目水平衡图见下图所示。</w:t>
      </w:r>
    </w:p>
    <w:p>
      <w:pPr>
        <w:pStyle w:val="20"/>
        <w:keepNext/>
        <w:ind w:left="480" w:firstLine="480"/>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object>
          <v:shape id="_x0000_i1029" o:spt="75" type="#_x0000_t75" style="height:190.05pt;width:379.7pt;" o:ole="t" filled="f" o:preferrelative="t" stroked="f" coordsize="21600,21600">
            <v:path/>
            <v:fill on="f" focussize="0,0"/>
            <v:stroke on="f"/>
            <v:imagedata r:id="rId20" cropleft="1218f" croptop="5860f" cropright="4288f" cropbottom="9075f" o:title=""/>
            <o:lock v:ext="edit" aspectratio="f"/>
            <w10:wrap type="none"/>
            <w10:anchorlock/>
          </v:shape>
          <o:OLEObject Type="Embed" ProgID="Visio.Drawing.11" ShapeID="_x0000_i1029" DrawAspect="Content" ObjectID="_1468075729" r:id="rId19">
            <o:LockedField>false</o:LockedField>
          </o:OLEObject>
        </w:object>
      </w:r>
    </w:p>
    <w:p>
      <w:pPr>
        <w:pStyle w:val="20"/>
        <w:keepNext/>
        <w:ind w:left="480" w:firstLine="482"/>
        <w:jc w:val="center"/>
        <w:rPr>
          <w:b/>
          <w:color w:val="000000" w:themeColor="text1"/>
          <w:u w:val="single"/>
          <w14:textFill>
            <w14:solidFill>
              <w14:schemeClr w14:val="tx1"/>
            </w14:solidFill>
          </w14:textFill>
        </w:rPr>
      </w:pPr>
      <w:r>
        <w:rPr>
          <w:b/>
          <w:color w:val="000000" w:themeColor="text1"/>
          <w:szCs w:val="24"/>
          <w:u w:val="single"/>
          <w14:textFill>
            <w14:solidFill>
              <w14:schemeClr w14:val="tx1"/>
            </w14:solidFill>
          </w14:textFill>
        </w:rPr>
        <w:t>图</w:t>
      </w:r>
      <w:r>
        <w:rPr>
          <w:b/>
          <w:color w:val="000000" w:themeColor="text1"/>
          <w:szCs w:val="24"/>
          <w:u w:val="single"/>
          <w14:textFill>
            <w14:solidFill>
              <w14:schemeClr w14:val="tx1"/>
            </w14:solidFill>
          </w14:textFill>
        </w:rPr>
        <w:fldChar w:fldCharType="begin"/>
      </w:r>
      <w:r>
        <w:rPr>
          <w:b/>
          <w:color w:val="000000" w:themeColor="text1"/>
          <w:szCs w:val="24"/>
          <w:u w:val="single"/>
          <w14:textFill>
            <w14:solidFill>
              <w14:schemeClr w14:val="tx1"/>
            </w14:solidFill>
          </w14:textFill>
        </w:rPr>
        <w:instrText xml:space="preserve"> STYLEREF 2 \s </w:instrText>
      </w:r>
      <w:r>
        <w:rPr>
          <w:b/>
          <w:color w:val="000000" w:themeColor="text1"/>
          <w:szCs w:val="24"/>
          <w:u w:val="single"/>
          <w14:textFill>
            <w14:solidFill>
              <w14:schemeClr w14:val="tx1"/>
            </w14:solidFill>
          </w14:textFill>
        </w:rPr>
        <w:fldChar w:fldCharType="separate"/>
      </w:r>
      <w:r>
        <w:rPr>
          <w:b/>
          <w:color w:val="000000" w:themeColor="text1"/>
          <w:szCs w:val="24"/>
          <w:u w:val="single"/>
          <w14:textFill>
            <w14:solidFill>
              <w14:schemeClr w14:val="tx1"/>
            </w14:solidFill>
          </w14:textFill>
        </w:rPr>
        <w:t>4</w:t>
      </w:r>
      <w:r>
        <w:rPr>
          <w:rFonts w:hint="eastAsia"/>
          <w:b/>
          <w:color w:val="000000" w:themeColor="text1"/>
          <w:szCs w:val="24"/>
          <w:u w:val="single"/>
          <w:lang w:val="en-US" w:eastAsia="zh-CN"/>
          <w14:textFill>
            <w14:solidFill>
              <w14:schemeClr w14:val="tx1"/>
            </w14:solidFill>
          </w14:textFill>
        </w:rPr>
        <w:t>.</w:t>
      </w:r>
      <w:r>
        <w:rPr>
          <w:b/>
          <w:color w:val="000000" w:themeColor="text1"/>
          <w:szCs w:val="24"/>
          <w:u w:val="single"/>
          <w14:textFill>
            <w14:solidFill>
              <w14:schemeClr w14:val="tx1"/>
            </w14:solidFill>
          </w14:textFill>
        </w:rPr>
        <w:t>9</w:t>
      </w:r>
      <w:r>
        <w:rPr>
          <w:b/>
          <w:color w:val="000000" w:themeColor="text1"/>
          <w:szCs w:val="24"/>
          <w:u w:val="single"/>
          <w14:textFill>
            <w14:solidFill>
              <w14:schemeClr w14:val="tx1"/>
            </w14:solidFill>
          </w14:textFill>
        </w:rPr>
        <w:fldChar w:fldCharType="end"/>
      </w:r>
      <w:r>
        <w:rPr>
          <w:b/>
          <w:color w:val="000000" w:themeColor="text1"/>
          <w:szCs w:val="24"/>
          <w:u w:val="single"/>
          <w14:textFill>
            <w14:solidFill>
              <w14:schemeClr w14:val="tx1"/>
            </w14:solidFill>
          </w14:textFill>
        </w:rPr>
        <w:noBreakHyphen/>
      </w:r>
      <w:r>
        <w:rPr>
          <w:b/>
          <w:color w:val="000000" w:themeColor="text1"/>
          <w:szCs w:val="24"/>
          <w:u w:val="single"/>
          <w14:textFill>
            <w14:solidFill>
              <w14:schemeClr w14:val="tx1"/>
            </w14:solidFill>
          </w14:textFill>
        </w:rPr>
        <w:fldChar w:fldCharType="begin"/>
      </w:r>
      <w:r>
        <w:rPr>
          <w:b/>
          <w:color w:val="000000" w:themeColor="text1"/>
          <w:szCs w:val="24"/>
          <w:u w:val="single"/>
          <w14:textFill>
            <w14:solidFill>
              <w14:schemeClr w14:val="tx1"/>
            </w14:solidFill>
          </w14:textFill>
        </w:rPr>
        <w:instrText xml:space="preserve"> SEQ 图 \* ARABIC \s 2 </w:instrText>
      </w:r>
      <w:r>
        <w:rPr>
          <w:b/>
          <w:color w:val="000000" w:themeColor="text1"/>
          <w:szCs w:val="24"/>
          <w:u w:val="single"/>
          <w14:textFill>
            <w14:solidFill>
              <w14:schemeClr w14:val="tx1"/>
            </w14:solidFill>
          </w14:textFill>
        </w:rPr>
        <w:fldChar w:fldCharType="separate"/>
      </w:r>
      <w:r>
        <w:rPr>
          <w:b/>
          <w:color w:val="000000" w:themeColor="text1"/>
          <w:szCs w:val="24"/>
          <w:u w:val="single"/>
          <w14:textFill>
            <w14:solidFill>
              <w14:schemeClr w14:val="tx1"/>
            </w14:solidFill>
          </w14:textFill>
        </w:rPr>
        <w:t>1</w:t>
      </w:r>
      <w:r>
        <w:rPr>
          <w:b/>
          <w:color w:val="000000" w:themeColor="text1"/>
          <w:szCs w:val="24"/>
          <w:u w:val="single"/>
          <w14:textFill>
            <w14:solidFill>
              <w14:schemeClr w14:val="tx1"/>
            </w14:solidFill>
          </w14:textFill>
        </w:rPr>
        <w:fldChar w:fldCharType="end"/>
      </w:r>
      <w:r>
        <w:rPr>
          <w:b/>
          <w:color w:val="000000" w:themeColor="text1"/>
          <w:u w:val="single"/>
          <w14:textFill>
            <w14:solidFill>
              <w14:schemeClr w14:val="tx1"/>
            </w14:solidFill>
          </w14:textFill>
        </w:rPr>
        <w:t xml:space="preserve">  本项目水平衡图</w:t>
      </w:r>
      <w:r>
        <w:rPr>
          <w:rFonts w:hint="eastAsia"/>
          <w:b/>
          <w:color w:val="000000" w:themeColor="text1"/>
          <w:u w:val="single"/>
          <w:lang w:val="en-US" w:eastAsia="zh-CN"/>
          <w14:textFill>
            <w14:solidFill>
              <w14:schemeClr w14:val="tx1"/>
            </w14:solidFill>
          </w14:textFill>
        </w:rPr>
        <w:t>（单位：</w:t>
      </w:r>
      <w:r>
        <w:rPr>
          <w:b/>
          <w:color w:val="000000" w:themeColor="text1"/>
          <w:u w:val="single"/>
          <w14:textFill>
            <w14:solidFill>
              <w14:schemeClr w14:val="tx1"/>
            </w14:solidFill>
          </w14:textFill>
        </w:rPr>
        <w:t>t/a</w:t>
      </w:r>
      <w:r>
        <w:rPr>
          <w:rFonts w:hint="eastAsia"/>
          <w:b/>
          <w:color w:val="000000" w:themeColor="text1"/>
          <w:u w:val="single"/>
          <w:lang w:val="en-US" w:eastAsia="zh-CN"/>
          <w14:textFill>
            <w14:solidFill>
              <w14:schemeClr w14:val="tx1"/>
            </w14:solidFill>
          </w14:textFill>
        </w:rPr>
        <w:t>）</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（2）排水</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项目排水系统根据装置排出的污水的性质和清污分流的原则，划分为生产污水、初期雨水系统和清洁雨水系统以及应急废水处理收集系统。根据现场调查，</w:t>
      </w:r>
      <w:r>
        <w:rPr>
          <w:rFonts w:hint="eastAsia"/>
          <w:color w:val="000000" w:themeColor="text1"/>
          <w:lang w:eastAsia="zh-CN"/>
          <w14:textFill>
            <w14:solidFill>
              <w14:schemeClr w14:val="tx1"/>
            </w14:solidFill>
          </w14:textFill>
        </w:rPr>
        <w:t>中石化巴陵石油化工有限公司</w:t>
      </w:r>
      <w:r>
        <w:rPr>
          <w:color w:val="000000" w:themeColor="text1"/>
          <w14:textFill>
            <w14:solidFill>
              <w14:schemeClr w14:val="tx1"/>
            </w14:solidFill>
          </w14:textFill>
        </w:rPr>
        <w:t>已运行多年，项目装置区附近均已经敷设完整的雨水沟、污水排放管道，能够确保区域内雨水、污水的收集，污水可以通过管道排放</w:t>
      </w:r>
      <w:r>
        <w:rPr>
          <w:rFonts w:hint="eastAsia"/>
          <w:color w:val="000000" w:themeColor="text1"/>
          <w:lang w:eastAsia="zh-CN"/>
          <w14:textFill>
            <w14:solidFill>
              <w14:schemeClr w14:val="tx1"/>
            </w14:solidFill>
          </w14:textFill>
        </w:rPr>
        <w:t>到巴陵石化水务部云溪生化装置</w:t>
      </w:r>
      <w:r>
        <w:rPr>
          <w:color w:val="000000" w:themeColor="text1"/>
          <w14:textFill>
            <w14:solidFill>
              <w14:schemeClr w14:val="tx1"/>
            </w14:solidFill>
          </w14:textFill>
        </w:rPr>
        <w:t>内达标处理。</w:t>
      </w:r>
    </w:p>
    <w:p>
      <w:pPr>
        <w:adjustRightInd w:val="0"/>
        <w:snapToGrid w:val="0"/>
        <w:spacing w:line="360" w:lineRule="auto"/>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14:textFill>
            <w14:solidFill>
              <w14:schemeClr w14:val="tx1"/>
            </w14:solidFill>
          </w14:textFill>
        </w:rPr>
        <w:t>地面冲洗废水</w:t>
      </w:r>
    </w:p>
    <w:p>
      <w:pPr>
        <w:pStyle w:val="20"/>
        <w:adjustRightInd w:val="0"/>
        <w:snapToGrid w:val="0"/>
        <w:spacing w:after="0" w:line="360" w:lineRule="auto"/>
        <w:ind w:left="0" w:leftChars="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本项目营运期生产过程将定期对设备进行检修，检修后将进行地面冲洗。冲洗废水经炼油部污水预处理装置隔油处理后，再送巴陵石化水务部云溪生化装置处理。</w:t>
      </w:r>
    </w:p>
    <w:p>
      <w:pPr>
        <w:adjustRightInd w:val="0"/>
        <w:snapToGrid w:val="0"/>
        <w:spacing w:line="360" w:lineRule="auto"/>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14:textFill>
            <w14:solidFill>
              <w14:schemeClr w14:val="tx1"/>
            </w14:solidFill>
          </w14:textFill>
        </w:rPr>
        <w:t>含油污水</w:t>
      </w:r>
    </w:p>
    <w:p>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根据物料平衡及产排污分析，</w:t>
      </w:r>
      <w:r>
        <w:rPr>
          <w:color w:val="000000" w:themeColor="text1"/>
          <w14:textFill>
            <w14:solidFill>
              <w14:schemeClr w14:val="tx1"/>
            </w14:solidFill>
          </w14:textFill>
        </w:rPr>
        <w:t>炼油部8万吨/年粗白油精装置</w:t>
      </w:r>
      <w:r>
        <w:rPr>
          <w:rFonts w:hint="eastAsia"/>
          <w:color w:val="000000" w:themeColor="text1"/>
          <w14:textFill>
            <w14:solidFill>
              <w14:schemeClr w14:val="tx1"/>
            </w14:solidFill>
          </w14:textFill>
        </w:rPr>
        <w:t>机泵冷却产生的含油污水</w:t>
      </w:r>
      <w:r>
        <w:rPr>
          <w:rFonts w:hint="eastAsia"/>
          <w:color w:val="000000" w:themeColor="text1"/>
          <w:szCs w:val="24"/>
          <w14:textFill>
            <w14:solidFill>
              <w14:schemeClr w14:val="tx1"/>
            </w14:solidFill>
          </w14:textFill>
        </w:rPr>
        <w:t>经炼油部污水预处理装置处理后，再送巴陵石化水务部云溪生化装置处理。</w:t>
      </w:r>
    </w:p>
    <w:p>
      <w:pPr>
        <w:adjustRightInd w:val="0"/>
        <w:snapToGrid w:val="0"/>
        <w:spacing w:line="360" w:lineRule="auto"/>
        <w:ind w:firstLine="480" w:firstLineChars="200"/>
        <w:rPr>
          <w:rFonts w:hint="eastAsia"/>
          <w:color w:val="000000" w:themeColor="text1"/>
          <w14:textFill>
            <w14:solidFill>
              <w14:schemeClr w14:val="tx1"/>
            </w14:solidFill>
          </w14:textFill>
        </w:rPr>
      </w:pPr>
      <w:r>
        <w:rPr>
          <w:color w:val="000000" w:themeColor="text1"/>
          <w14:textFill>
            <w14:solidFill>
              <w14:schemeClr w14:val="tx1"/>
            </w14:solidFill>
          </w14:textFill>
        </w:rPr>
        <w:t>③</w:t>
      </w:r>
      <w:r>
        <w:rPr>
          <w:rFonts w:hint="eastAsia"/>
          <w:color w:val="000000" w:themeColor="text1"/>
          <w14:textFill>
            <w14:solidFill>
              <w14:schemeClr w14:val="tx1"/>
            </w14:solidFill>
          </w14:textFill>
        </w:rPr>
        <w:t>含硫污水</w:t>
      </w:r>
    </w:p>
    <w:p>
      <w:pPr>
        <w:adjustRightInd w:val="0"/>
        <w:snapToGrid w:val="0"/>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根据物料平衡以及产排污分析，炼油部8万吨/年粗白油精装置分馏塔油水分离产生的含硫污水，</w:t>
      </w:r>
      <w:r>
        <w:rPr>
          <w:rFonts w:hint="eastAsia"/>
          <w:color w:val="000000" w:themeColor="text1"/>
          <w:szCs w:val="24"/>
          <w14:textFill>
            <w14:solidFill>
              <w14:schemeClr w14:val="tx1"/>
            </w14:solidFill>
          </w14:textFill>
        </w:rPr>
        <w:t>送酸性水气提装置处理后部分回用常压装置，其余排入炼油部污水预处理装置处理后，再送巴陵石化水务部云溪生化装置处理。</w:t>
      </w:r>
    </w:p>
    <w:p>
      <w:pPr>
        <w:adjustRightInd w:val="0"/>
        <w:snapToGrid w:val="0"/>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初期雨水系统</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厂区初期污染雨水主要为装置露天区域的地面雨水，根据现场踏勘可知，目前装置周边设有雨污分流管网，前期雨水能够通过收集和生产污水进入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集中统一处理。后期雨水通过切换阀外排雨水管网，再排入松阳湖。</w:t>
      </w:r>
    </w:p>
    <w:p>
      <w:pPr>
        <w:adjustRightInd w:val="0"/>
        <w:snapToGrid w:val="0"/>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清洁雨水和冷凝水系统</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工序中粗白油分馏塔冷凝器需要用到冷凝水，本项目分馏塔内使用的蒸汽与物料不接触，其冷凝水通过管道回热力部循环使用，不外排。厂区的清洁雨水经室外排水沟收集后，统一排入到区域的地表水（松阳湖）。</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eastAsia="宋体"/>
          <w:color w:val="000000" w:themeColor="text1"/>
          <w:lang w:val="en-US" w:eastAsia="zh-CN"/>
          <w14:textFill>
            <w14:solidFill>
              <w14:schemeClr w14:val="tx1"/>
            </w14:solidFill>
          </w14:textFill>
        </w:rPr>
        <w:t>3</w:t>
      </w:r>
      <w:r>
        <w:rPr>
          <w:color w:val="000000" w:themeColor="text1"/>
          <w14:textFill>
            <w14:solidFill>
              <w14:schemeClr w14:val="tx1"/>
            </w14:solidFill>
          </w14:textFill>
        </w:rPr>
        <w:t>）污水处理厂情况介绍</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汇集了各事业部的工业废水，各事业部废水经预处理后通过暗沟排入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，处理后经管道外排长江。</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现有2套生化处理装置和1套环氧污水处理设施，总规模1200m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default" w:ascii="Times New Roman" w:hAnsi="Times New Roman" w:cs="Times New Roman"/>
          <w:color w:val="000000" w:themeColor="text1"/>
          <w14:textFill>
            <w14:solidFill>
              <w14:schemeClr w14:val="tx1"/>
            </w14:solidFill>
          </w14:textFill>
        </w:rPr>
        <w:t>目前实际处理880m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/h。其中生化污水处理系统设计规模700m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/h，目前实际处理量为520m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第一套污水处理装置采用O/O处理工艺，设计处理水量400m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第二套为A/O/O装置，即缺氧-好氧-好氧组合工艺，设计处理水量300m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/h。第三套为HO/O装置，采用高浓度活性污泥法＋二段接触氧化工艺，设计处理水量500m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/h，单独处理环氧树脂事业部环氧污水。</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污水处理厂工程设计进水水质COD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610~4200mg/L，平均值1058mg/L，出水</w:t>
      </w:r>
      <w:r>
        <w:rPr>
          <w:rFonts w:hint="default" w:ascii="Times New Roman" w:hAnsi="Times New Roman" w:cs="Times New Roman"/>
          <w:color w:val="000000" w:themeColor="text1"/>
          <w:spacing w:val="-2"/>
          <w14:textFill>
            <w14:solidFill>
              <w14:schemeClr w14:val="tx1"/>
            </w14:solidFill>
          </w14:textFill>
        </w:rPr>
        <w:t>COD≦60mg/L。</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2019年前二季度监督性监测数据可知（详见下表），</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废水经生化处理后满足《</w:t>
      </w:r>
      <w:r>
        <w:rPr>
          <w:rFonts w:hint="eastAsia"/>
          <w:color w:val="000000" w:themeColor="text1"/>
          <w:lang w:eastAsia="zh-CN"/>
          <w14:textFill>
            <w14:solidFill>
              <w14:schemeClr w14:val="tx1"/>
            </w14:solidFill>
          </w14:textFill>
        </w:rPr>
        <w:t>石油炼制工业污染物排放标准</w:t>
      </w:r>
      <w:r>
        <w:rPr>
          <w:color w:val="000000" w:themeColor="text1"/>
          <w14:textFill>
            <w14:solidFill>
              <w14:schemeClr w14:val="tx1"/>
            </w14:solidFill>
          </w14:textFill>
        </w:rPr>
        <w:t>》（GB3157</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-2015）表2限值要求。</w:t>
      </w:r>
    </w:p>
    <w:p>
      <w:pPr>
        <w:pStyle w:val="20"/>
        <w:spacing w:after="0"/>
        <w:ind w:left="0" w:leftChars="0" w:firstLine="0" w:firstLineChars="0"/>
        <w:rPr>
          <w:b/>
          <w:bCs/>
          <w:color w:val="000000" w:themeColor="text1"/>
          <w:sz w:val="2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9</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巴陵石化水务部云溪生化装置</w:t>
      </w:r>
      <w:r>
        <w:rPr>
          <w:b/>
          <w:color w:val="000000" w:themeColor="text1"/>
          <w14:textFill>
            <w14:solidFill>
              <w14:schemeClr w14:val="tx1"/>
            </w14:solidFill>
          </w14:textFill>
        </w:rPr>
        <w:t>水质监测结果一览表  单位：</w:t>
      </w:r>
      <w:r>
        <w:rPr>
          <w:b/>
          <w:bCs/>
          <w:color w:val="000000" w:themeColor="text1"/>
          <w:szCs w:val="24"/>
          <w14:textFill>
            <w14:solidFill>
              <w14:schemeClr w14:val="tx1"/>
            </w14:solidFill>
          </w14:textFill>
        </w:rPr>
        <w:t>mg/L，pH</w:t>
      </w:r>
      <w:r>
        <w:rPr>
          <w:b/>
          <w:bCs/>
          <w:color w:val="000000" w:themeColor="text1"/>
          <w:spacing w:val="-5"/>
          <w:szCs w:val="24"/>
          <w14:textFill>
            <w14:solidFill>
              <w14:schemeClr w14:val="tx1"/>
            </w14:solidFill>
          </w14:textFill>
        </w:rPr>
        <w:t xml:space="preserve"> </w:t>
      </w:r>
      <w:r>
        <w:rPr>
          <w:b/>
          <w:bCs/>
          <w:color w:val="000000" w:themeColor="text1"/>
          <w:szCs w:val="24"/>
          <w14:textFill>
            <w14:solidFill>
              <w14:schemeClr w14:val="tx1"/>
            </w14:solidFill>
          </w14:textFill>
        </w:rPr>
        <w:t>除外</w:t>
      </w:r>
    </w:p>
    <w:tbl>
      <w:tblPr>
        <w:tblStyle w:val="41"/>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79"/>
        <w:gridCol w:w="1992"/>
        <w:gridCol w:w="782"/>
        <w:gridCol w:w="782"/>
        <w:gridCol w:w="860"/>
        <w:gridCol w:w="899"/>
        <w:gridCol w:w="977"/>
        <w:gridCol w:w="941"/>
        <w:gridCol w:w="8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645" w:type="pct"/>
            <w:gridSpan w:val="2"/>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0" w:beforeAutospacing="0" w:after="0" w:afterAutospacing="0"/>
              <w:ind w:left="927" w:right="907"/>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控制项目</w:t>
            </w:r>
          </w:p>
        </w:tc>
        <w:tc>
          <w:tcPr>
            <w:tcW w:w="433"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pH</w:t>
            </w:r>
          </w:p>
        </w:tc>
        <w:tc>
          <w:tcPr>
            <w:tcW w:w="433"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w:t>
            </w:r>
          </w:p>
        </w:tc>
        <w:tc>
          <w:tcPr>
            <w:tcW w:w="476"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498"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w:t>
            </w:r>
          </w:p>
        </w:tc>
        <w:tc>
          <w:tcPr>
            <w:tcW w:w="541"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氨氮</w:t>
            </w:r>
          </w:p>
        </w:tc>
        <w:tc>
          <w:tcPr>
            <w:tcW w:w="521" w:type="pc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总磷</w:t>
            </w:r>
          </w:p>
        </w:tc>
        <w:tc>
          <w:tcPr>
            <w:tcW w:w="450" w:type="pct"/>
            <w:tcBorders>
              <w:top w:val="single" w:color="000000" w:sz="12"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542" w:type="pct"/>
            <w:vMerge w:val="restart"/>
            <w:tcBorders>
              <w:top w:val="single" w:color="000000" w:sz="4" w:space="0"/>
              <w:left w:val="nil"/>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9" w:beforeAutospacing="0" w:after="0" w:afterAutospacing="0"/>
              <w:ind w:left="132"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处理设</w:t>
            </w:r>
          </w:p>
          <w:p>
            <w:pPr>
              <w:pStyle w:val="112"/>
              <w:keepNext w:val="0"/>
              <w:keepLines w:val="0"/>
              <w:pageBreakBefore w:val="0"/>
              <w:suppressLineNumbers w:val="0"/>
              <w:kinsoku/>
              <w:wordWrap/>
              <w:overflowPunct/>
              <w:topLinePunct w:val="0"/>
              <w:bidi w:val="0"/>
              <w:adjustRightInd/>
              <w:snapToGrid/>
              <w:spacing w:before="43" w:beforeAutospacing="0" w:after="0" w:afterAutospacing="0"/>
              <w:ind w:left="132"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施排口</w:t>
            </w: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5" w:beforeAutospacing="0" w:after="0" w:afterAutospacing="0"/>
              <w:ind w:left="143" w:right="11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年第一季度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7.25</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27" w:right="94"/>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43.71</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1.25</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18.63</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6" w:right="7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3.38</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213" w:right="177"/>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11" w:right="64"/>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left w:val="nil"/>
              <w:right w:val="single" w:color="000000" w:sz="4" w:space="0"/>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1" w:beforeAutospacing="0" w:after="0" w:afterAutospacing="0"/>
              <w:ind w:left="143" w:right="11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年第二季度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7.37</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37.02</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0.75</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13.92</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1.84</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213" w:right="177"/>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0.09</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11" w:right="64"/>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left w:val="nil"/>
              <w:right w:val="single" w:color="000000" w:sz="4" w:space="0"/>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1" w:beforeAutospacing="0" w:after="0" w:afterAutospacing="0"/>
              <w:ind w:left="143" w:right="11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年第三季度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7.59</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39.06</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1.65</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27.00</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1.09</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213" w:right="177"/>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0.22</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11" w:right="64"/>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left w:val="nil"/>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p>
        </w:tc>
        <w:tc>
          <w:tcPr>
            <w:tcW w:w="110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1" w:beforeAutospacing="0" w:after="0" w:afterAutospacing="0"/>
              <w:ind w:left="143" w:right="11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年第四季度</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7.62</w:t>
            </w:r>
          </w:p>
        </w:tc>
        <w:tc>
          <w:tcPr>
            <w:tcW w:w="433"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35.81</w:t>
            </w:r>
          </w:p>
        </w:tc>
        <w:tc>
          <w:tcPr>
            <w:tcW w:w="47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1.40</w:t>
            </w:r>
          </w:p>
        </w:tc>
        <w:tc>
          <w:tcPr>
            <w:tcW w:w="498"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5" w:beforeAutospacing="0" w:after="0" w:afterAutospacing="0"/>
              <w:ind w:left="103" w:right="72"/>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18.62</w:t>
            </w:r>
          </w:p>
        </w:tc>
        <w:tc>
          <w:tcPr>
            <w:tcW w:w="54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06" w:right="71"/>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1.06</w:t>
            </w:r>
          </w:p>
        </w:tc>
        <w:tc>
          <w:tcPr>
            <w:tcW w:w="521"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213" w:right="177"/>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w:t>
            </w:r>
          </w:p>
        </w:tc>
        <w:tc>
          <w:tcPr>
            <w:tcW w:w="450" w:type="pct"/>
            <w:tcBorders>
              <w:top w:val="single" w:color="000000" w:sz="4" w:space="0"/>
              <w:left w:val="nil"/>
              <w:bottom w:val="single" w:color="000000" w:sz="4" w:space="0"/>
              <w:right w:val="nil"/>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11" w:right="64"/>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1645" w:type="pct"/>
            <w:gridSpan w:val="2"/>
            <w:tcBorders>
              <w:top w:val="single" w:color="000000" w:sz="4" w:space="0"/>
              <w:left w:val="nil"/>
              <w:bottom w:val="single" w:color="000000" w:sz="12"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25" w:beforeAutospacing="0" w:after="0" w:afterAutospacing="0"/>
              <w:ind w:left="108"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（GB3157</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-2015）表2 限值</w:t>
            </w:r>
          </w:p>
        </w:tc>
        <w:tc>
          <w:tcPr>
            <w:tcW w:w="433" w:type="pct"/>
            <w:tcBorders>
              <w:top w:val="single" w:color="000000" w:sz="4" w:space="0"/>
              <w:left w:val="nil"/>
              <w:bottom w:val="single" w:color="000000" w:sz="12" w:space="0"/>
              <w:right w:val="single" w:color="000000" w:sz="4" w:space="0"/>
            </w:tcBorders>
            <w:noWrap w:val="0"/>
            <w:vAlign w:val="center"/>
          </w:tcPr>
          <w:p>
            <w:pPr>
              <w:pStyle w:val="112"/>
              <w:keepNext w:val="0"/>
              <w:keepLines w:val="0"/>
              <w:pageBreakBefore w:val="0"/>
              <w:suppressLineNumbers w:val="0"/>
              <w:kinsoku/>
              <w:wordWrap/>
              <w:overflowPunct/>
              <w:topLinePunct w:val="0"/>
              <w:bidi w:val="0"/>
              <w:adjustRightInd/>
              <w:snapToGrid/>
              <w:spacing w:before="31" w:beforeAutospacing="0" w:after="0" w:afterAutospacing="0"/>
              <w:ind w:left="127" w:right="95"/>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6～9</w:t>
            </w:r>
          </w:p>
        </w:tc>
        <w:tc>
          <w:tcPr>
            <w:tcW w:w="433"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w:t>
            </w:r>
          </w:p>
        </w:tc>
        <w:tc>
          <w:tcPr>
            <w:tcW w:w="476"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w:t>
            </w:r>
          </w:p>
        </w:tc>
        <w:tc>
          <w:tcPr>
            <w:tcW w:w="498"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w:t>
            </w:r>
          </w:p>
        </w:tc>
        <w:tc>
          <w:tcPr>
            <w:tcW w:w="541"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w:t>
            </w:r>
          </w:p>
        </w:tc>
        <w:tc>
          <w:tcPr>
            <w:tcW w:w="521" w:type="pct"/>
            <w:tcBorders>
              <w:top w:val="single" w:color="000000" w:sz="4" w:space="0"/>
              <w:left w:val="nil"/>
              <w:bottom w:val="single" w:color="000000" w:sz="12" w:space="0"/>
              <w:right w:val="single" w:color="000000" w:sz="4" w:space="0"/>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＜0.5</w:t>
            </w:r>
          </w:p>
        </w:tc>
        <w:tc>
          <w:tcPr>
            <w:tcW w:w="450" w:type="pct"/>
            <w:tcBorders>
              <w:top w:val="single" w:color="000000" w:sz="4" w:space="0"/>
              <w:left w:val="nil"/>
              <w:bottom w:val="single" w:color="000000" w:sz="12" w:space="0"/>
              <w:right w:val="nil"/>
            </w:tcBorders>
            <w:noWrap w:val="0"/>
            <w:vAlign w:val="center"/>
          </w:tcPr>
          <w:p>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jc w:val="center"/>
              <w:textAlignment w:val="auto"/>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＜10</w:t>
            </w:r>
          </w:p>
        </w:tc>
      </w:tr>
    </w:tbl>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本项目废水均通过污水管道送至</w:t>
      </w:r>
      <w:r>
        <w:rPr>
          <w:rFonts w:hint="eastAsia"/>
          <w:color w:val="000000" w:themeColor="text1"/>
          <w14:textFill>
            <w14:solidFill>
              <w14:schemeClr w14:val="tx1"/>
            </w14:solidFill>
          </w14:textFill>
        </w:rPr>
        <w:t>巴陵石化水务部云溪生化装置</w:t>
      </w:r>
      <w:r>
        <w:rPr>
          <w:rFonts w:hint="eastAsia"/>
          <w:color w:val="000000" w:themeColor="text1"/>
          <w:lang w:eastAsia="zh-CN"/>
          <w14:textFill>
            <w14:solidFill>
              <w14:schemeClr w14:val="tx1"/>
            </w14:solidFill>
          </w14:textFill>
        </w:rPr>
        <w:t>处理</w:t>
      </w:r>
      <w:r>
        <w:rPr>
          <w:color w:val="000000" w:themeColor="text1"/>
          <w14:textFill>
            <w14:solidFill>
              <w14:schemeClr w14:val="tx1"/>
            </w14:solidFill>
          </w14:textFill>
        </w:rPr>
        <w:t>。目前，</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的废水经处理后均能实现达标排放，而且处理水量有一定富余。本项目位于巴陵石化分公司炼油部用地范围内，废水一直纳入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处理，因此其依托可行。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供电</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①用电负荷等级</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本装置属于连续性生产装置，区域划为爆炸危险环境，生产过程对供电的可靠性、连续性要求很高。根据国家标准《供配电系统设计规范》（GB 50052-2009），本项目新增自控DCS系统为一级负荷中特别重要的负荷，工艺负荷为二级负荷，检修负荷为三级负荷。</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②供电要求</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8万吨/年粗白油精制装置新增设备供电依托原常压配电间，配电间变压器备用容量均满足本工程用电需求，配电间内备用柜位可以满足本项目新增配电柜需求。</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③用电负荷分配原则</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用电负荷采用放射式配电。在满足工艺要求的前提下，按负荷均衡分配及减少供电半径的原则，将负荷分配在不同的母线段上。</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④用电负荷容量</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本项目设备安装容量732kW，计算负荷471.7kW。详见下表所示。</w:t>
      </w:r>
    </w:p>
    <w:p>
      <w:pPr>
        <w:pStyle w:val="17"/>
        <w:keepNext/>
        <w:spacing w:after="0"/>
        <w:ind w:firstLine="482" w:firstLineChars="200"/>
        <w:jc w:val="center"/>
        <w:rPr>
          <w:b/>
          <w:color w:val="000000" w:themeColor="text1"/>
          <w14:textFill>
            <w14:solidFill>
              <w14:schemeClr w14:val="tx1"/>
            </w14:solidFill>
          </w14:textFill>
        </w:rPr>
      </w:pPr>
      <w:r>
        <w:rPr>
          <w:b/>
          <w:color w:val="000000" w:themeColor="text1"/>
          <w:kern w:val="0"/>
          <w:szCs w:val="24"/>
          <w14:textFill>
            <w14:solidFill>
              <w14:schemeClr w14:val="tx1"/>
            </w14:solidFill>
          </w14:textFill>
        </w:rPr>
        <w:t>表</w:t>
      </w:r>
      <w:r>
        <w:rPr>
          <w:b/>
          <w:color w:val="000000" w:themeColor="text1"/>
          <w:kern w:val="0"/>
          <w:szCs w:val="24"/>
          <w14:textFill>
            <w14:solidFill>
              <w14:schemeClr w14:val="tx1"/>
            </w14:solidFill>
          </w14:textFill>
        </w:rPr>
        <w:fldChar w:fldCharType="begin"/>
      </w:r>
      <w:r>
        <w:rPr>
          <w:b/>
          <w:color w:val="000000" w:themeColor="text1"/>
          <w:kern w:val="0"/>
          <w:szCs w:val="24"/>
          <w14:textFill>
            <w14:solidFill>
              <w14:schemeClr w14:val="tx1"/>
            </w14:solidFill>
          </w14:textFill>
        </w:rPr>
        <w:instrText xml:space="preserve"> STYLEREF 2 \s </w:instrText>
      </w:r>
      <w:r>
        <w:rPr>
          <w:b/>
          <w:color w:val="000000" w:themeColor="text1"/>
          <w:kern w:val="0"/>
          <w:szCs w:val="24"/>
          <w14:textFill>
            <w14:solidFill>
              <w14:schemeClr w14:val="tx1"/>
            </w14:solidFill>
          </w14:textFill>
        </w:rPr>
        <w:fldChar w:fldCharType="separate"/>
      </w:r>
      <w:r>
        <w:rPr>
          <w:b/>
          <w:color w:val="000000" w:themeColor="text1"/>
          <w:kern w:val="0"/>
          <w:szCs w:val="24"/>
          <w14:textFill>
            <w14:solidFill>
              <w14:schemeClr w14:val="tx1"/>
            </w14:solidFill>
          </w14:textFill>
        </w:rPr>
        <w:t>4</w:t>
      </w:r>
      <w:r>
        <w:rPr>
          <w:rFonts w:hint="eastAsia"/>
          <w:b/>
          <w:color w:val="000000" w:themeColor="text1"/>
          <w:kern w:val="0"/>
          <w:szCs w:val="24"/>
          <w:lang w:val="en-US" w:eastAsia="zh-CN"/>
          <w14:textFill>
            <w14:solidFill>
              <w14:schemeClr w14:val="tx1"/>
            </w14:solidFill>
          </w14:textFill>
        </w:rPr>
        <w:t>.</w:t>
      </w:r>
      <w:r>
        <w:rPr>
          <w:b/>
          <w:color w:val="000000" w:themeColor="text1"/>
          <w:kern w:val="0"/>
          <w:szCs w:val="24"/>
          <w14:textFill>
            <w14:solidFill>
              <w14:schemeClr w14:val="tx1"/>
            </w14:solidFill>
          </w14:textFill>
        </w:rPr>
        <w:t>9</w:t>
      </w:r>
      <w:r>
        <w:rPr>
          <w:b/>
          <w:color w:val="000000" w:themeColor="text1"/>
          <w:kern w:val="0"/>
          <w:szCs w:val="24"/>
          <w14:textFill>
            <w14:solidFill>
              <w14:schemeClr w14:val="tx1"/>
            </w14:solidFill>
          </w14:textFill>
        </w:rPr>
        <w:fldChar w:fldCharType="end"/>
      </w:r>
      <w:r>
        <w:rPr>
          <w:b/>
          <w:color w:val="000000" w:themeColor="text1"/>
          <w:kern w:val="0"/>
          <w:szCs w:val="24"/>
          <w14:textFill>
            <w14:solidFill>
              <w14:schemeClr w14:val="tx1"/>
            </w14:solidFill>
          </w14:textFill>
        </w:rPr>
        <w:noBreakHyphen/>
      </w:r>
      <w:r>
        <w:rPr>
          <w:b/>
          <w:color w:val="000000" w:themeColor="text1"/>
          <w:kern w:val="0"/>
          <w:szCs w:val="24"/>
          <w14:textFill>
            <w14:solidFill>
              <w14:schemeClr w14:val="tx1"/>
            </w14:solidFill>
          </w14:textFill>
        </w:rPr>
        <w:fldChar w:fldCharType="begin"/>
      </w:r>
      <w:r>
        <w:rPr>
          <w:b/>
          <w:color w:val="000000" w:themeColor="text1"/>
          <w:kern w:val="0"/>
          <w:szCs w:val="24"/>
          <w14:textFill>
            <w14:solidFill>
              <w14:schemeClr w14:val="tx1"/>
            </w14:solidFill>
          </w14:textFill>
        </w:rPr>
        <w:instrText xml:space="preserve"> SEQ 表 \* ARABIC \s 2 </w:instrText>
      </w:r>
      <w:r>
        <w:rPr>
          <w:b/>
          <w:color w:val="000000" w:themeColor="text1"/>
          <w:kern w:val="0"/>
          <w:szCs w:val="24"/>
          <w14:textFill>
            <w14:solidFill>
              <w14:schemeClr w14:val="tx1"/>
            </w14:solidFill>
          </w14:textFill>
        </w:rPr>
        <w:fldChar w:fldCharType="separate"/>
      </w:r>
      <w:r>
        <w:rPr>
          <w:b/>
          <w:color w:val="000000" w:themeColor="text1"/>
          <w:kern w:val="0"/>
          <w:szCs w:val="24"/>
          <w14:textFill>
            <w14:solidFill>
              <w14:schemeClr w14:val="tx1"/>
            </w14:solidFill>
          </w14:textFill>
        </w:rPr>
        <w:t>2</w:t>
      </w:r>
      <w:r>
        <w:rPr>
          <w:b/>
          <w:color w:val="000000" w:themeColor="text1"/>
          <w:kern w:val="0"/>
          <w:szCs w:val="24"/>
          <w14:textFill>
            <w14:solidFill>
              <w14:schemeClr w14:val="tx1"/>
            </w14:solidFill>
          </w14:textFill>
        </w:rPr>
        <w:fldChar w:fldCharType="end"/>
      </w:r>
      <w:r>
        <w:rPr>
          <w:b/>
          <w:color w:val="000000" w:themeColor="text1"/>
          <w:spacing w:val="-13"/>
          <w14:textFill>
            <w14:solidFill>
              <w14:schemeClr w14:val="tx1"/>
            </w14:solidFill>
          </w14:textFill>
        </w:rPr>
        <w:t xml:space="preserve">  电气负荷一览表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068"/>
        <w:gridCol w:w="1728"/>
        <w:gridCol w:w="835"/>
        <w:gridCol w:w="1334"/>
        <w:gridCol w:w="1213"/>
        <w:gridCol w:w="1015"/>
        <w:gridCol w:w="1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设备位号</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设备名称</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负荷等级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额定电压（V）</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单台额定</w:t>
            </w:r>
          </w:p>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功率（kW）</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安装容量</w:t>
            </w:r>
          </w:p>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（kW）</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计算负荷（kW）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P-201A/B</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加氢进料泵</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75</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P-202A/B</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粗白油分馏塔顶回流泵</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P-203A/B</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3#粗白油产品泵</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P-204A/B</w:t>
            </w:r>
          </w:p>
        </w:tc>
        <w:tc>
          <w:tcPr>
            <w:tcW w:w="0" w:type="auto"/>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200#溶剂油产品泵</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15</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K-201</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压缩机</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132</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132</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电加热器</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300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300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UPS</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UPS</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一级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AL1</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防爆照明配电箱</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二级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9</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ESB1</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防爆检修电源箱</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三级</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50</w:t>
            </w:r>
          </w:p>
        </w:tc>
        <w:tc>
          <w:tcPr>
            <w:tcW w:w="0" w:type="auto"/>
            <w:noWrap w:val="0"/>
            <w:vAlign w:val="center"/>
          </w:tcPr>
          <w:p>
            <w:pPr>
              <w:pStyle w:val="17"/>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bl>
    <w:p>
      <w:pPr>
        <w:pStyle w:val="17"/>
        <w:keepNext/>
        <w:keepLines w:val="0"/>
        <w:pageBreakBefore w:val="0"/>
        <w:widowControl w:val="0"/>
        <w:kinsoku/>
        <w:wordWrap/>
        <w:overflowPunct/>
        <w:topLinePunct w:val="0"/>
        <w:bidi w:val="0"/>
        <w:adjustRightInd w:val="0"/>
        <w:snapToGrid w:val="0"/>
        <w:spacing w:after="0" w:line="360" w:lineRule="auto"/>
        <w:ind w:firstLine="480" w:firstLineChars="20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⑤UPS选择</w:t>
      </w:r>
    </w:p>
    <w:p>
      <w:pPr>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原常压蒸馏装置现场机柜室的UPS室内有1套20kVA UPS系统，无法满足本装置新增DCS系统10kVA的供电需要，因此在原UPS室新增2套UPS系统，单机额定容量10kVA。UPS采用双机冗余。</w:t>
      </w:r>
    </w:p>
    <w:p>
      <w:pPr>
        <w:pStyle w:val="5"/>
        <w:rPr>
          <w:color w:val="000000" w:themeColor="text1"/>
          <w14:textFill>
            <w14:solidFill>
              <w14:schemeClr w14:val="tx1"/>
            </w14:solidFill>
          </w14:textFill>
        </w:rPr>
      </w:pPr>
      <w:r>
        <w:rPr>
          <w:color w:val="000000" w:themeColor="text1"/>
          <w14:textFill>
            <w14:solidFill>
              <w14:schemeClr w14:val="tx1"/>
            </w14:solidFill>
          </w14:textFill>
        </w:rPr>
        <w:t>蒸汽</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default" w:ascii="Times New Roman" w:hAnsi="Times New Roman" w:eastAsia="宋体" w:cs="Times New Roman"/>
          <w:color w:val="000000" w:themeColor="text1"/>
          <w:lang w:eastAsia="zh-CN"/>
          <w14:textFill>
            <w14:solidFill>
              <w14:schemeClr w14:val="tx1"/>
            </w14:solidFill>
          </w14:textFill>
        </w:rPr>
        <w:t>新</w:t>
      </w:r>
      <w:r>
        <w:rPr>
          <w:rFonts w:hint="default" w:ascii="Times New Roman" w:hAnsi="Times New Roman" w:cs="Times New Roman"/>
          <w:color w:val="000000" w:themeColor="text1"/>
          <w14:textFill>
            <w14:solidFill>
              <w14:schemeClr w14:val="tx1"/>
            </w14:solidFill>
          </w14:textFill>
        </w:rPr>
        <w:t>建装置区蒸汽使用量为260t/a，由巴陵石化分公司热电事业部提供，目前该部共有1台220t/h和4台130t/h高温高压燃煤锅炉，同时配有1台25MW低压抽凝式汽轮机，2台12MW高压背压汽轮机，2台12MW中压抽凝式汽轮机，1台12MW中压背改抽凝式汽轮机，1台中压压汽轮机。负责向巴陵石化下属的各事业、供销售及三产单位生产装置供应蒸汽、电力和软水。目前蒸汽剩余能力约100t/h，完全能满足项目蒸汽需求量。</w:t>
      </w:r>
    </w:p>
    <w:p>
      <w:pPr>
        <w:pStyle w:val="5"/>
        <w:rPr>
          <w:color w:val="000000" w:themeColor="text1"/>
          <w:kern w:val="0"/>
          <w14:textFill>
            <w14:solidFill>
              <w14:schemeClr w14:val="tx1"/>
            </w14:solidFill>
          </w14:textFill>
        </w:rPr>
      </w:pPr>
      <w:r>
        <w:rPr>
          <w:color w:val="000000" w:themeColor="text1"/>
          <w:kern w:val="0"/>
          <w14:textFill>
            <w14:solidFill>
              <w14:schemeClr w14:val="tx1"/>
            </w14:solidFill>
          </w14:textFill>
        </w:rPr>
        <w:t>氮气</w:t>
      </w:r>
    </w:p>
    <w:p>
      <w:pPr>
        <w:pStyle w:val="17"/>
        <w:spacing w:after="0" w:line="360" w:lineRule="auto"/>
        <w:ind w:firstLine="480" w:firstLineChars="200"/>
        <w:rPr>
          <w:rFonts w:hint="default" w:ascii="Times New Roman" w:hAnsi="Times New Roman" w:eastAsia="宋体" w:cs="Times New Roman"/>
          <w:color w:val="000000" w:themeColor="text1"/>
          <w:kern w:val="0"/>
          <w:szCs w:val="24"/>
          <w:lang w:val="en-US" w:eastAsia="zh-CN"/>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项目氮气供应依托巴陵石化分公司已有装置，目前巴陵石化云溪片KDONAr-3600/7200/100装置的产氮能力为7200Nm</w:t>
      </w:r>
      <w:r>
        <w:rPr>
          <w:rFonts w:hint="default" w:ascii="Times New Roman" w:hAnsi="Times New Roman" w:cs="Times New Roman"/>
          <w:color w:val="000000" w:themeColor="text1"/>
          <w:kern w:val="0"/>
          <w:szCs w:val="24"/>
          <w:vertAlign w:val="superscript"/>
          <w14:textFill>
            <w14:solidFill>
              <w14:schemeClr w14:val="tx1"/>
            </w14:solidFill>
          </w14:textFill>
        </w:rPr>
        <w:t>3</w:t>
      </w:r>
      <w:r>
        <w:rPr>
          <w:rFonts w:hint="default" w:ascii="Times New Roman" w:hAnsi="Times New Roman" w:cs="Times New Roman"/>
          <w:color w:val="000000" w:themeColor="text1"/>
          <w:kern w:val="0"/>
          <w:szCs w:val="24"/>
          <w14:textFill>
            <w14:solidFill>
              <w14:schemeClr w14:val="tx1"/>
            </w14:solidFill>
          </w14:textFill>
        </w:rPr>
        <w:t>/h，巴陵石化分公司现有工程氮气平均负荷2200~2300Nm</w:t>
      </w:r>
      <w:r>
        <w:rPr>
          <w:rFonts w:hint="default" w:ascii="Times New Roman" w:hAnsi="Times New Roman" w:cs="Times New Roman"/>
          <w:color w:val="000000" w:themeColor="text1"/>
          <w:kern w:val="0"/>
          <w:szCs w:val="24"/>
          <w:vertAlign w:val="superscript"/>
          <w14:textFill>
            <w14:solidFill>
              <w14:schemeClr w14:val="tx1"/>
            </w14:solidFill>
          </w14:textFill>
        </w:rPr>
        <w:t>3</w:t>
      </w:r>
      <w:r>
        <w:rPr>
          <w:rFonts w:hint="default" w:ascii="Times New Roman" w:hAnsi="Times New Roman" w:cs="Times New Roman"/>
          <w:color w:val="000000" w:themeColor="text1"/>
          <w:kern w:val="0"/>
          <w:szCs w:val="24"/>
          <w14:textFill>
            <w14:solidFill>
              <w14:schemeClr w14:val="tx1"/>
            </w14:solidFill>
          </w14:textFill>
        </w:rPr>
        <w:t>/h（剩余能力约4900Nm</w:t>
      </w:r>
      <w:r>
        <w:rPr>
          <w:rFonts w:hint="default" w:ascii="Times New Roman" w:hAnsi="Times New Roman" w:cs="Times New Roman"/>
          <w:color w:val="000000" w:themeColor="text1"/>
          <w:kern w:val="0"/>
          <w:szCs w:val="24"/>
          <w:vertAlign w:val="superscript"/>
          <w14:textFill>
            <w14:solidFill>
              <w14:schemeClr w14:val="tx1"/>
            </w14:solidFill>
          </w14:textFill>
        </w:rPr>
        <w:t>3</w:t>
      </w:r>
      <w:r>
        <w:rPr>
          <w:rFonts w:hint="default" w:ascii="Times New Roman" w:hAnsi="Times New Roman" w:cs="Times New Roman"/>
          <w:color w:val="000000" w:themeColor="text1"/>
          <w:kern w:val="0"/>
          <w:szCs w:val="24"/>
          <w14:textFill>
            <w14:solidFill>
              <w14:schemeClr w14:val="tx1"/>
            </w14:solidFill>
          </w14:textFill>
        </w:rPr>
        <w:t>/h）。项目装置区氮气需要量为50Nm</w:t>
      </w:r>
      <w:r>
        <w:rPr>
          <w:rFonts w:hint="default" w:ascii="Times New Roman" w:hAnsi="Times New Roman" w:cs="Times New Roman"/>
          <w:color w:val="000000" w:themeColor="text1"/>
          <w:kern w:val="0"/>
          <w:szCs w:val="24"/>
          <w:vertAlign w:val="superscript"/>
          <w14:textFill>
            <w14:solidFill>
              <w14:schemeClr w14:val="tx1"/>
            </w14:solidFill>
          </w14:textFill>
        </w:rPr>
        <w:t>3</w:t>
      </w:r>
      <w:r>
        <w:rPr>
          <w:rFonts w:hint="default" w:ascii="Times New Roman" w:hAnsi="Times New Roman" w:cs="Times New Roman"/>
          <w:color w:val="000000" w:themeColor="text1"/>
          <w:kern w:val="0"/>
          <w:szCs w:val="24"/>
          <w14:textFill>
            <w14:solidFill>
              <w14:schemeClr w14:val="tx1"/>
            </w14:solidFill>
          </w14:textFill>
        </w:rPr>
        <w:t>/h（400000Nm</w:t>
      </w:r>
      <w:r>
        <w:rPr>
          <w:rFonts w:hint="default" w:ascii="Times New Roman" w:hAnsi="Times New Roman" w:cs="Times New Roman"/>
          <w:color w:val="000000" w:themeColor="text1"/>
          <w:kern w:val="0"/>
          <w:szCs w:val="24"/>
          <w:vertAlign w:val="superscript"/>
          <w14:textFill>
            <w14:solidFill>
              <w14:schemeClr w14:val="tx1"/>
            </w14:solidFill>
          </w14:textFill>
        </w:rPr>
        <w:t>3</w:t>
      </w:r>
      <w:r>
        <w:rPr>
          <w:rFonts w:hint="default" w:ascii="Times New Roman" w:hAnsi="Times New Roman" w:cs="Times New Roman"/>
          <w:color w:val="000000" w:themeColor="text1"/>
          <w:kern w:val="0"/>
          <w:szCs w:val="24"/>
          <w14:textFill>
            <w14:solidFill>
              <w14:schemeClr w14:val="tx1"/>
            </w14:solidFill>
          </w14:textFill>
        </w:rPr>
        <w:t>/a），巴陵石化分工剩余能力完全能满足本项目氮气的需求。</w:t>
      </w:r>
    </w:p>
    <w:p>
      <w:pPr>
        <w:pStyle w:val="2"/>
        <w:spacing w:line="360" w:lineRule="auto"/>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146" w:name="_Toc25131"/>
      <w:r>
        <w:rPr>
          <w:color w:val="000000" w:themeColor="text1"/>
          <w14:textFill>
            <w14:solidFill>
              <w14:schemeClr w14:val="tx1"/>
            </w14:solidFill>
          </w14:textFill>
        </w:rPr>
        <w:t>工程分析</w:t>
      </w:r>
      <w:bookmarkEnd w:id="146"/>
    </w:p>
    <w:p>
      <w:pPr>
        <w:pStyle w:val="4"/>
        <w:adjustRightInd w:val="0"/>
        <w:snapToGrid w:val="0"/>
        <w:rPr>
          <w:color w:val="000000" w:themeColor="text1"/>
          <w14:textFill>
            <w14:solidFill>
              <w14:schemeClr w14:val="tx1"/>
            </w14:solidFill>
          </w14:textFill>
        </w:rPr>
      </w:pPr>
      <w:bookmarkStart w:id="147" w:name="_Toc3356"/>
      <w:r>
        <w:rPr>
          <w:color w:val="000000" w:themeColor="text1"/>
          <w14:textFill>
            <w14:solidFill>
              <w14:schemeClr w14:val="tx1"/>
            </w14:solidFill>
          </w14:textFill>
        </w:rPr>
        <w:t>施工期工艺流程及产污节点</w:t>
      </w:r>
      <w:bookmarkEnd w:id="147"/>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项目新增加氢单元（包含原料过滤器、加氢反应器、分馏塔）粗白油精制装置位于</w:t>
      </w:r>
      <w:r>
        <w:rPr>
          <w:rFonts w:hint="default" w:ascii="Times New Roman" w:hAnsi="Times New Roman" w:cs="Times New Roman"/>
          <w:color w:val="000000" w:themeColor="text1"/>
          <w:lang w:eastAsia="zh-CN"/>
          <w14:textFill>
            <w14:solidFill>
              <w14:schemeClr w14:val="tx1"/>
            </w14:solidFill>
          </w14:textFill>
        </w:rPr>
        <w:t>中石化巴陵石油化工公司</w:t>
      </w:r>
      <w:r>
        <w:rPr>
          <w:rFonts w:hint="default" w:ascii="Times New Roman" w:hAnsi="Times New Roman" w:cs="Times New Roman"/>
          <w:color w:val="000000" w:themeColor="text1"/>
          <w14:textFill>
            <w14:solidFill>
              <w14:schemeClr w14:val="tx1"/>
            </w14:solidFill>
          </w14:textFill>
        </w:rPr>
        <w:t>的炼油部，在常压蒸馏装置的装置区内空地上增加构架和设备。常压蒸馏装置的周围均由建成车行道路，现有交通条件较好。拟建粗白油精制装置的构架及设备占地面积约340m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，利用常压蒸馏装置区内的空地，不需要新征土地，也无拆迁工程。</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施工期工艺流程及产污节点图如下图所示。</w:t>
      </w:r>
    </w:p>
    <w:p>
      <w:pPr>
        <w:keepNext/>
        <w:widowControl/>
        <w:jc w:val="center"/>
        <w:rPr>
          <w:b/>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126.15pt;width:471.75pt;" o:ole="t" filled="f" o:preferrelative="t" stroked="f" coordsize="21600,21600">
            <v:path/>
            <v:fill on="f" focussize="0,0"/>
            <v:stroke on="f"/>
            <v:imagedata r:id="rId22" o:title=""/>
            <o:lock v:ext="edit" aspectratio="f"/>
            <w10:wrap type="none"/>
            <w10:anchorlock/>
          </v:shape>
          <o:OLEObject Type="Embed" ProgID="Visio.Drawing.11" ShapeID="_x0000_i1030" DrawAspect="Content" ObjectID="_1468075730" r:id="rId21">
            <o:LockedField>false</o:LockedField>
          </o:OLEObject>
        </w:object>
      </w:r>
      <w:r>
        <w:rPr>
          <w:b/>
          <w:color w:val="000000" w:themeColor="text1"/>
          <w14:textFill>
            <w14:solidFill>
              <w14:schemeClr w14:val="tx1"/>
            </w14:solidFill>
          </w14:textFill>
        </w:rPr>
        <w:t xml:space="preserve">图 </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施工期工艺流程及产物环节图</w:t>
      </w:r>
    </w:p>
    <w:p>
      <w:pPr>
        <w:pStyle w:val="4"/>
        <w:rPr>
          <w:color w:val="000000" w:themeColor="text1"/>
          <w14:textFill>
            <w14:solidFill>
              <w14:schemeClr w14:val="tx1"/>
            </w14:solidFill>
          </w14:textFill>
        </w:rPr>
      </w:pPr>
      <w:bookmarkStart w:id="148" w:name="_Toc26300"/>
      <w:r>
        <w:rPr>
          <w:color w:val="000000" w:themeColor="text1"/>
          <w14:textFill>
            <w14:solidFill>
              <w14:schemeClr w14:val="tx1"/>
            </w14:solidFill>
          </w14:textFill>
        </w:rPr>
        <w:t>营运期工艺流程及产污节点</w:t>
      </w:r>
      <w:bookmarkEnd w:id="148"/>
    </w:p>
    <w:p>
      <w:pPr>
        <w:widowControl/>
        <w:spacing w:line="360" w:lineRule="auto"/>
        <w:ind w:firstLine="720" w:firstLineChars="300"/>
        <w:jc w:val="left"/>
        <w:rPr>
          <w:rFonts w:hint="default" w:ascii="Times New Roman" w:hAnsi="Times New Roman" w:eastAsia="宋体" w:cs="Times New Roman"/>
          <w:color w:val="000000" w:themeColor="text1"/>
          <w:u w:val="single"/>
          <w:lang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本项目工艺是以常压蒸馏的</w:t>
      </w:r>
      <w:r>
        <w:rPr>
          <w:rFonts w:hint="default" w:ascii="Times New Roman" w:hAnsi="Times New Roman" w:cs="Times New Roman"/>
          <w:color w:val="000000" w:themeColor="text1"/>
          <w:u w:val="single"/>
          <w:lang w:val="en-US" w:eastAsia="zh-CN"/>
          <w14:textFill>
            <w14:solidFill>
              <w14:schemeClr w14:val="tx1"/>
            </w14:solidFill>
          </w14:textFill>
        </w:rPr>
        <w:t>GPS-200溶剂油和航煤组分油</w:t>
      </w:r>
      <w:r>
        <w:rPr>
          <w:rFonts w:hint="default" w:ascii="Times New Roman" w:hAnsi="Times New Roman" w:cs="Times New Roman"/>
          <w:color w:val="000000" w:themeColor="text1"/>
          <w:u w:val="single"/>
          <w14:textFill>
            <w14:solidFill>
              <w14:schemeClr w14:val="tx1"/>
            </w14:solidFill>
          </w14:textFill>
        </w:rPr>
        <w:t>作为原料，通过加氢生产200#溶剂油和3#粗白油</w:t>
      </w:r>
      <w:r>
        <w:rPr>
          <w:rFonts w:hint="default" w:ascii="Times New Roman" w:hAnsi="Times New Roman" w:eastAsia="宋体" w:cs="Times New Roman"/>
          <w:color w:val="000000" w:themeColor="text1"/>
          <w:u w:val="single"/>
          <w:lang w:eastAsia="zh-CN"/>
          <w14:textFill>
            <w14:solidFill>
              <w14:schemeClr w14:val="tx1"/>
            </w14:solidFill>
          </w14:textFill>
        </w:rPr>
        <w:t>。</w:t>
      </w:r>
    </w:p>
    <w:p>
      <w:pPr>
        <w:pStyle w:val="20"/>
        <w:ind w:left="0" w:leftChars="0" w:firstLine="0" w:firstLineChars="0"/>
        <w:rPr>
          <w:color w:val="000000" w:themeColor="text1"/>
          <w14:textFill>
            <w14:solidFill>
              <w14:schemeClr w14:val="tx1"/>
            </w14:solidFill>
          </w14:textFill>
        </w:rPr>
        <w:sectPr>
          <w:pgSz w:w="11906" w:h="16838"/>
          <w:pgMar w:top="1440" w:right="1440" w:bottom="1440" w:left="1440" w:header="720" w:footer="720" w:gutter="0"/>
          <w:pgBorders>
            <w:top w:val="none" w:sz="0" w:space="0"/>
            <w:left w:val="none" w:sz="0" w:space="0"/>
            <w:bottom w:val="none" w:sz="0" w:space="0"/>
            <w:right w:val="none" w:sz="0" w:space="0"/>
          </w:pgBorders>
          <w:cols w:space="720" w:num="1"/>
        </w:sectPr>
      </w:pPr>
    </w:p>
    <w:p>
      <w:pPr>
        <w:widowControl/>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工艺流程图</w:t>
      </w:r>
      <w:r>
        <w:rPr>
          <w:color w:val="000000" w:themeColor="text1"/>
          <w14:textFill>
            <w14:solidFill>
              <w14:schemeClr w14:val="tx1"/>
            </w14:solidFill>
          </w14:textFill>
        </w:rPr>
        <w:t>：</w:t>
      </w:r>
    </w:p>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1" o:spt="75" type="#_x0000_t75" style="height:266.7pt;width:735pt;" o:ole="t" filled="f" o:preferrelative="t" stroked="f" coordsize="21600,21600">
            <v:path/>
            <v:fill on="f" focussize="0,0"/>
            <v:stroke on="f"/>
            <v:imagedata r:id="rId24" o:title=""/>
            <o:lock v:ext="edit" aspectratio="t"/>
            <w10:wrap type="none"/>
            <w10:anchorlock/>
          </v:shape>
          <o:OLEObject Type="Embed" ProgID="Visio.Drawing.11" ShapeID="_x0000_i1031" DrawAspect="Content" ObjectID="_1468075731" r:id="rId23">
            <o:LockedField>false</o:LockedField>
          </o:OLEObject>
        </w:object>
      </w:r>
      <w:r>
        <w:rPr>
          <w:b/>
          <w:color w:val="000000" w:themeColor="text1"/>
          <w:u w:val="single"/>
          <w14:textFill>
            <w14:solidFill>
              <w14:schemeClr w14:val="tx1"/>
            </w14:solidFill>
          </w14:textFill>
        </w:rPr>
        <w:t>图</w:t>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STYLEREF 2 \s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5</w:t>
      </w:r>
      <w:r>
        <w:rPr>
          <w:rFonts w:hint="eastAsia"/>
          <w:b/>
          <w:color w:val="000000" w:themeColor="text1"/>
          <w:u w:val="single"/>
          <w:lang w:val="en-US" w:eastAsia="zh-CN"/>
          <w14:textFill>
            <w14:solidFill>
              <w14:schemeClr w14:val="tx1"/>
            </w14:solidFill>
          </w14:textFill>
        </w:rPr>
        <w:t>.</w:t>
      </w:r>
      <w:r>
        <w:rPr>
          <w:b/>
          <w:color w:val="000000" w:themeColor="text1"/>
          <w:u w:val="single"/>
          <w14:textFill>
            <w14:solidFill>
              <w14:schemeClr w14:val="tx1"/>
            </w14:solidFill>
          </w14:textFill>
        </w:rPr>
        <w:t>2</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noBreakHyphen/>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SEQ 图 \* ARABIC \s 2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1</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t xml:space="preserve">  营运期生产工艺及产</w:t>
      </w:r>
      <w:r>
        <w:rPr>
          <w:rFonts w:hint="eastAsia"/>
          <w:b/>
          <w:color w:val="000000" w:themeColor="text1"/>
          <w:u w:val="single"/>
          <w:lang w:eastAsia="zh-CN"/>
          <w14:textFill>
            <w14:solidFill>
              <w14:schemeClr w14:val="tx1"/>
            </w14:solidFill>
          </w14:textFill>
        </w:rPr>
        <w:t>污</w:t>
      </w:r>
      <w:r>
        <w:rPr>
          <w:b/>
          <w:color w:val="000000" w:themeColor="text1"/>
          <w:u w:val="single"/>
          <w14:textFill>
            <w14:solidFill>
              <w14:schemeClr w14:val="tx1"/>
            </w14:solidFill>
          </w14:textFill>
        </w:rPr>
        <w:t>环节流程图</w:t>
      </w: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r>
        <w:rPr>
          <w:b/>
          <w:color w:val="000000" w:themeColor="text1"/>
          <w14:textFill>
            <w14:solidFill>
              <w14:schemeClr w14:val="tx1"/>
            </w14:solidFill>
          </w14:textFill>
        </w:rPr>
        <w:drawing>
          <wp:anchor distT="0" distB="0" distL="114300" distR="114300" simplePos="0" relativeHeight="251658240" behindDoc="1" locked="0" layoutInCell="1" allowOverlap="1">
            <wp:simplePos x="0" y="0"/>
            <wp:positionH relativeFrom="column">
              <wp:posOffset>146050</wp:posOffset>
            </wp:positionH>
            <wp:positionV relativeFrom="paragraph">
              <wp:posOffset>-852170</wp:posOffset>
            </wp:positionV>
            <wp:extent cx="8274050" cy="5852160"/>
            <wp:effectExtent l="0" t="0" r="12700" b="15240"/>
            <wp:wrapNone/>
            <wp:docPr id="1" name="图片 86" descr="D:\联合泰泽M2020.9.6\8万吨粗白油精制装置PFD-2020.8.19\8万吨粗白油精制装置PFD-2020.8.19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6" descr="D:\联合泰泽M2020.9.6\8万吨粗白油精制装置PFD-2020.8.19\8万吨粗白油精制装置PFD-2020.8.19_00.jpg"/>
                    <pic:cNvPicPr>
                      <a:picLocks noChangeAspect="1"/>
                    </pic:cNvPicPr>
                  </pic:nvPicPr>
                  <pic:blipFill>
                    <a:blip r:embed="rId25"/>
                    <a:stretch>
                      <a:fillRect/>
                    </a:stretch>
                  </pic:blipFill>
                  <pic:spPr>
                    <a:xfrm>
                      <a:off x="0" y="0"/>
                      <a:ext cx="8274050" cy="5852160"/>
                    </a:xfrm>
                    <a:prstGeom prst="rect">
                      <a:avLst/>
                    </a:prstGeom>
                    <a:noFill/>
                    <a:ln>
                      <a:noFill/>
                    </a:ln>
                  </pic:spPr>
                </pic:pic>
              </a:graphicData>
            </a:graphic>
          </wp:anchor>
        </w:drawing>
      </w: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keepNext/>
        <w:widowControl/>
        <w:jc w:val="center"/>
        <w:rPr>
          <w:b/>
          <w:color w:val="000000" w:themeColor="text1"/>
          <w14:textFill>
            <w14:solidFill>
              <w14:schemeClr w14:val="tx1"/>
            </w14:solidFill>
          </w14:textFill>
        </w:rPr>
      </w:pPr>
    </w:p>
    <w:p>
      <w:pPr>
        <w:widowControl/>
        <w:jc w:val="left"/>
        <w:rPr>
          <w:color w:val="000000" w:themeColor="text1"/>
          <w14:textFill>
            <w14:solidFill>
              <w14:schemeClr w14:val="tx1"/>
            </w14:solidFill>
          </w14:textFill>
        </w:rPr>
        <w:sectPr>
          <w:pgSz w:w="16838" w:h="11906" w:orient="landscape"/>
          <w:pgMar w:top="1440" w:right="1440" w:bottom="1440" w:left="1440" w:header="720" w:footer="720" w:gutter="0"/>
          <w:pgBorders>
            <w:top w:val="none" w:sz="0" w:space="0"/>
            <w:left w:val="none" w:sz="0" w:space="0"/>
            <w:bottom w:val="none" w:sz="0" w:space="0"/>
            <w:right w:val="none" w:sz="0" w:space="0"/>
          </w:pgBorders>
          <w:cols w:space="720" w:num="1"/>
        </w:sectPr>
      </w:pPr>
      <w:r>
        <w:rPr>
          <w:b/>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3305175</wp:posOffset>
                </wp:positionH>
                <wp:positionV relativeFrom="paragraph">
                  <wp:posOffset>3236595</wp:posOffset>
                </wp:positionV>
                <wp:extent cx="2847975" cy="342900"/>
                <wp:effectExtent l="0" t="0" r="0" b="0"/>
                <wp:wrapNone/>
                <wp:docPr id="7" name="文本框 185"/>
                <wp:cNvGraphicFramePr/>
                <a:graphic xmlns:a="http://schemas.openxmlformats.org/drawingml/2006/main">
                  <a:graphicData uri="http://schemas.microsoft.com/office/word/2010/wordprocessingShape">
                    <wps:wsp>
                      <wps:cNvSpPr txBox="1"/>
                      <wps:spPr>
                        <a:xfrm>
                          <a:off x="0" y="0"/>
                          <a:ext cx="2847975" cy="342900"/>
                        </a:xfrm>
                        <a:prstGeom prst="rect">
                          <a:avLst/>
                        </a:prstGeom>
                        <a:noFill/>
                        <a:ln>
                          <a:noFill/>
                        </a:ln>
                        <a:effectLst/>
                      </wps:spPr>
                      <wps:txbx>
                        <w:txbxContent>
                          <w:p>
                            <w:pPr>
                              <w:keepNext/>
                              <w:rPr>
                                <w:b/>
                              </w:rPr>
                            </w:pPr>
                            <w:r>
                              <w:rPr>
                                <w:rFonts w:hint="eastAsia"/>
                                <w:b/>
                              </w:rPr>
                              <w:t>图</w:t>
                            </w:r>
                            <w:r>
                              <w:rPr>
                                <w:rFonts w:hint="eastAsia"/>
                                <w:b/>
                                <w:lang w:val="en-US" w:eastAsia="zh-CN"/>
                              </w:rPr>
                              <w:t>5.2-2</w:t>
                            </w:r>
                            <w:r>
                              <w:rPr>
                                <w:rFonts w:hint="eastAsia"/>
                                <w:b/>
                              </w:rPr>
                              <w:t xml:space="preserve"> 营运期设备工序流图</w:t>
                            </w:r>
                          </w:p>
                        </w:txbxContent>
                      </wps:txbx>
                      <wps:bodyPr wrap="square" upright="1"/>
                    </wps:wsp>
                  </a:graphicData>
                </a:graphic>
              </wp:anchor>
            </w:drawing>
          </mc:Choice>
          <mc:Fallback>
            <w:pict>
              <v:shape id="文本框 185" o:spid="_x0000_s1026" o:spt="202" type="#_x0000_t202" style="position:absolute;left:0pt;margin-left:260.25pt;margin-top:254.85pt;height:27pt;width:224.25pt;z-index:251659264;mso-width-relative:page;mso-height-relative:page;" filled="f" stroked="f" coordsize="21600,21600" o:gfxdata="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cjdzYAAAACwEAAA8AAAAAAAAAAQAgAAAAIgAAAGRycy9kb3ducmV2Lnht&#10;bFBLAQIUABQAAAAIAIdO4kBnjxmcwAEAAGwDAAAOAAAAAAAAAAEAIAAAACcBAABkcnMvZTJvRG9j&#10;LnhtbFBLBQYAAAAABgAGAFkBAABZBQAAAAA=&#10;">
                <v:fill on="f" focussize="0,0"/>
                <v:stroke on="f"/>
                <v:imagedata o:title=""/>
                <o:lock v:ext="edit" aspectratio="f"/>
                <v:textbox>
                  <w:txbxContent>
                    <w:p>
                      <w:pPr>
                        <w:keepNext/>
                        <w:rPr>
                          <w:b/>
                        </w:rPr>
                      </w:pPr>
                      <w:r>
                        <w:rPr>
                          <w:rFonts w:hint="eastAsia"/>
                          <w:b/>
                        </w:rPr>
                        <w:t>图</w:t>
                      </w:r>
                      <w:r>
                        <w:rPr>
                          <w:rFonts w:hint="eastAsia"/>
                          <w:b/>
                          <w:lang w:val="en-US" w:eastAsia="zh-CN"/>
                        </w:rPr>
                        <w:t>5.2-2</w:t>
                      </w:r>
                      <w:r>
                        <w:rPr>
                          <w:rFonts w:hint="eastAsia"/>
                          <w:b/>
                        </w:rPr>
                        <w:t xml:space="preserve"> 营运期设备工序流图</w:t>
                      </w:r>
                    </w:p>
                  </w:txbxContent>
                </v:textbox>
              </v:shape>
            </w:pict>
          </mc:Fallback>
        </mc:AlternateContent>
      </w:r>
    </w:p>
    <w:p>
      <w:pPr>
        <w:pStyle w:val="5"/>
        <w:rPr>
          <w:color w:val="000000" w:themeColor="text1"/>
          <w14:textFill>
            <w14:solidFill>
              <w14:schemeClr w14:val="tx1"/>
            </w14:solidFill>
          </w14:textFill>
        </w:rPr>
      </w:pPr>
      <w:r>
        <w:rPr>
          <w:color w:val="000000" w:themeColor="text1"/>
          <w14:textFill>
            <w14:solidFill>
              <w14:schemeClr w14:val="tx1"/>
            </w14:solidFill>
          </w14:textFill>
        </w:rPr>
        <w:t>加氢精制部分工艺原理</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加氢过程主要是对原料进行深度精制，使精制后的原料性质满足下游加工过程的进料要求及产品质量指标的要求。加氢处理过程的反应主要有脱除杂原子的反应及芳烃饱和反应等。</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（1）脱除杂环化合物的化学反应</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原料中的含硫、氮、氧杂环化合物类型很多，含量也差别很大，但加氢的基本原理是将硫、氮、氧转化为小分子化合物再通过气提或蒸馏除去。主要反应类型有以下几种：</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含氧化合物加氢生成水和烃</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70200" cy="599440"/>
            <wp:effectExtent l="0" t="0" r="6350" b="10160"/>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26"/>
                    <a:stretch>
                      <a:fillRect/>
                    </a:stretch>
                  </pic:blipFill>
                  <pic:spPr>
                    <a:xfrm>
                      <a:off x="0" y="0"/>
                      <a:ext cx="2870200" cy="599440"/>
                    </a:xfrm>
                    <a:prstGeom prst="rect">
                      <a:avLst/>
                    </a:prstGeom>
                    <a:noFill/>
                    <a:ln>
                      <a:noFill/>
                    </a:ln>
                  </pic:spPr>
                </pic:pic>
              </a:graphicData>
            </a:graphic>
          </wp:inline>
        </w:drawing>
      </w:r>
    </w:p>
    <w:p>
      <w:pPr>
        <w:jc w:val="left"/>
        <w:rPr>
          <w:color w:val="000000" w:themeColor="text1"/>
          <w14:textFill>
            <w14:solidFill>
              <w14:schemeClr w14:val="tx1"/>
            </w14:solidFill>
          </w14:textFill>
        </w:rPr>
      </w:pPr>
      <w:r>
        <w:rPr>
          <w:color w:val="000000" w:themeColor="text1"/>
          <w14:textFill>
            <w14:solidFill>
              <w14:schemeClr w14:val="tx1"/>
            </w14:solidFill>
          </w14:textFill>
        </w:rPr>
        <w:t>含硫化合物加氢生成H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S和烃</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17800" cy="623570"/>
            <wp:effectExtent l="0" t="0" r="6350" b="5080"/>
            <wp:docPr id="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pic:cNvPicPr>
                      <a:picLocks noChangeAspect="1"/>
                    </pic:cNvPicPr>
                  </pic:nvPicPr>
                  <pic:blipFill>
                    <a:blip r:embed="rId27"/>
                    <a:stretch>
                      <a:fillRect/>
                    </a:stretch>
                  </pic:blipFill>
                  <pic:spPr>
                    <a:xfrm>
                      <a:off x="0" y="0"/>
                      <a:ext cx="2717800" cy="62357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含氮化合物加氢生成NH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和烃</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984500" cy="604520"/>
            <wp:effectExtent l="0" t="0" r="6350" b="5080"/>
            <wp:docPr id="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5"/>
                    <pic:cNvPicPr>
                      <a:picLocks noChangeAspect="1"/>
                    </pic:cNvPicPr>
                  </pic:nvPicPr>
                  <pic:blipFill>
                    <a:blip r:embed="rId28"/>
                    <a:stretch>
                      <a:fillRect/>
                    </a:stretch>
                  </pic:blipFill>
                  <pic:spPr>
                    <a:xfrm>
                      <a:off x="0" y="0"/>
                      <a:ext cx="2984500" cy="60452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（2）稠环芳烃加氢生成稠环环烷烃的反应</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71900" cy="765175"/>
            <wp:effectExtent l="0" t="0" r="0" b="15875"/>
            <wp:docPr id="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8"/>
                    <pic:cNvPicPr>
                      <a:picLocks noChangeAspect="1"/>
                    </pic:cNvPicPr>
                  </pic:nvPicPr>
                  <pic:blipFill>
                    <a:blip r:embed="rId29"/>
                    <a:stretch>
                      <a:fillRect/>
                    </a:stretch>
                  </pic:blipFill>
                  <pic:spPr>
                    <a:xfrm>
                      <a:off x="0" y="0"/>
                      <a:ext cx="3771900" cy="76517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（3）稠环环烷烃部分加氢开环，生成带长侧链的单环环烷烃或单环芳烃的反应。</w:t>
      </w: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24350" cy="626745"/>
            <wp:effectExtent l="0" t="0" r="0" b="1905"/>
            <wp:docPr id="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pic:cNvPicPr>
                      <a:picLocks noChangeAspect="1"/>
                    </pic:cNvPicPr>
                  </pic:nvPicPr>
                  <pic:blipFill>
                    <a:blip r:embed="rId30"/>
                    <a:stretch>
                      <a:fillRect/>
                    </a:stretch>
                  </pic:blipFill>
                  <pic:spPr>
                    <a:xfrm>
                      <a:off x="0" y="0"/>
                      <a:ext cx="4324350" cy="62674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（4）正构烷烃或低分支异构烷烃异构化为高分支异构烷烃的反应。</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270250" cy="800100"/>
            <wp:effectExtent l="0" t="0" r="6350" b="0"/>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31"/>
                    <a:stretch>
                      <a:fillRect/>
                    </a:stretch>
                  </pic:blipFill>
                  <pic:spPr>
                    <a:xfrm>
                      <a:off x="0" y="0"/>
                      <a:ext cx="3270250" cy="800100"/>
                    </a:xfrm>
                    <a:prstGeom prst="rect">
                      <a:avLst/>
                    </a:prstGeom>
                    <a:noFill/>
                    <a:ln>
                      <a:noFill/>
                    </a:ln>
                  </pic:spPr>
                </pic:pic>
              </a:graphicData>
            </a:graphic>
          </wp:inline>
        </w:drawing>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本项目装置阶段，主要是针对未完全加氢的芳烃化合物、未被加氢脱除的硫化物和氮化物进行一步加氢脱除。</w:t>
      </w:r>
    </w:p>
    <w:p>
      <w:pPr>
        <w:pStyle w:val="5"/>
        <w:rPr>
          <w:color w:val="000000" w:themeColor="text1"/>
          <w14:textFill>
            <w14:solidFill>
              <w14:schemeClr w14:val="tx1"/>
            </w14:solidFill>
          </w14:textFill>
        </w:rPr>
      </w:pPr>
      <w:r>
        <w:rPr>
          <w:color w:val="000000" w:themeColor="text1"/>
          <w14:textFill>
            <w14:solidFill>
              <w14:schemeClr w14:val="tx1"/>
            </w14:solidFill>
          </w14:textFill>
        </w:rPr>
        <w:t>工艺技术方案</w:t>
      </w:r>
    </w:p>
    <w:p>
      <w:pPr>
        <w:widowControl/>
        <w:spacing w:line="360" w:lineRule="auto"/>
        <w:ind w:firstLine="480" w:firstLineChars="200"/>
        <w:jc w:val="left"/>
        <w:rPr>
          <w:rFonts w:hint="default" w:ascii="Times New Roman" w:hAnsi="Times New Roman" w:cs="Times New Roman"/>
          <w:color w:val="000000" w:themeColor="text1"/>
          <w:kern w:val="0"/>
          <w:szCs w:val="24"/>
          <w:u w:val="single"/>
          <w14:textFill>
            <w14:solidFill>
              <w14:schemeClr w14:val="tx1"/>
            </w14:solidFill>
          </w14:textFill>
        </w:rPr>
      </w:pPr>
      <w:r>
        <w:rPr>
          <w:rFonts w:hint="default" w:ascii="Times New Roman" w:hAnsi="Times New Roman" w:cs="Times New Roman"/>
          <w:color w:val="000000" w:themeColor="text1"/>
          <w:kern w:val="0"/>
          <w:szCs w:val="24"/>
          <w:u w:val="single"/>
          <w:lang w:eastAsia="zh-CN"/>
          <w14:textFill>
            <w14:solidFill>
              <w14:schemeClr w14:val="tx1"/>
            </w14:solidFill>
          </w14:textFill>
        </w:rPr>
        <w:t>本项目</w:t>
      </w:r>
      <w:r>
        <w:rPr>
          <w:rFonts w:hint="default" w:ascii="Times New Roman" w:hAnsi="Times New Roman" w:cs="Times New Roman"/>
          <w:color w:val="000000" w:themeColor="text1"/>
          <w:kern w:val="0"/>
          <w:szCs w:val="24"/>
          <w:u w:val="single"/>
          <w14:textFill>
            <w14:solidFill>
              <w14:schemeClr w14:val="tx1"/>
            </w14:solidFill>
          </w14:textFill>
        </w:rPr>
        <w:t>原料</w:t>
      </w:r>
      <w:r>
        <w:rPr>
          <w:rFonts w:hint="default" w:ascii="Times New Roman" w:hAnsi="Times New Roman" w:cs="Times New Roman"/>
          <w:color w:val="000000" w:themeColor="text1"/>
          <w:kern w:val="0"/>
          <w:szCs w:val="24"/>
          <w:u w:val="single"/>
          <w:lang w:eastAsia="zh-CN"/>
          <w14:textFill>
            <w14:solidFill>
              <w14:schemeClr w14:val="tx1"/>
            </w14:solidFill>
          </w14:textFill>
        </w:rPr>
        <w:t>溶剂油和航煤组分油的</w:t>
      </w:r>
      <w:r>
        <w:rPr>
          <w:rFonts w:hint="default" w:ascii="Times New Roman" w:hAnsi="Times New Roman" w:cs="Times New Roman"/>
          <w:color w:val="000000" w:themeColor="text1"/>
          <w:kern w:val="0"/>
          <w:szCs w:val="24"/>
          <w:u w:val="single"/>
          <w14:textFill>
            <w14:solidFill>
              <w14:schemeClr w14:val="tx1"/>
            </w14:solidFill>
          </w14:textFill>
        </w:rPr>
        <w:t>硫含量</w:t>
      </w:r>
      <w:r>
        <w:rPr>
          <w:rFonts w:hint="default" w:ascii="Times New Roman" w:hAnsi="Times New Roman" w:cs="Times New Roman"/>
          <w:color w:val="000000" w:themeColor="text1"/>
          <w:kern w:val="0"/>
          <w:szCs w:val="24"/>
          <w:u w:val="single"/>
          <w:lang w:eastAsia="zh-CN"/>
          <w14:textFill>
            <w14:solidFill>
              <w14:schemeClr w14:val="tx1"/>
            </w14:solidFill>
          </w14:textFill>
        </w:rPr>
        <w:t>为</w:t>
      </w:r>
      <w:r>
        <w:rPr>
          <w:rFonts w:hint="default" w:ascii="Times New Roman" w:hAnsi="Times New Roman" w:cs="Times New Roman"/>
          <w:color w:val="000000" w:themeColor="text1"/>
          <w:kern w:val="0"/>
          <w:szCs w:val="24"/>
          <w:u w:val="single"/>
          <w:lang w:val="en-US" w:eastAsia="zh-CN"/>
          <w14:textFill>
            <w14:solidFill>
              <w14:schemeClr w14:val="tx1"/>
            </w14:solidFill>
          </w14:textFill>
        </w:rPr>
        <w:t>56</w:t>
      </w:r>
      <w:r>
        <w:rPr>
          <w:rFonts w:hint="default" w:ascii="Times New Roman" w:hAnsi="Times New Roman" w:cs="Times New Roman"/>
          <w:color w:val="000000" w:themeColor="text1"/>
          <w:kern w:val="0"/>
          <w:szCs w:val="24"/>
          <w:u w:val="single"/>
          <w14:textFill>
            <w14:solidFill>
              <w14:schemeClr w14:val="tx1"/>
            </w14:solidFill>
          </w14:textFill>
        </w:rPr>
        <w:t>ppm，芳烃含量约12%，作为粗白油产品硫含量及芳烃含量超标，影响产品销售。本项目采用中国石油化工股份有限公司大连石油化工研究院的液相加氢技术，对油品进行加氢处理。</w:t>
      </w:r>
    </w:p>
    <w:p>
      <w:pPr>
        <w:widowControl/>
        <w:spacing w:line="360" w:lineRule="auto"/>
        <w:ind w:firstLine="480" w:firstLineChars="200"/>
        <w:jc w:val="left"/>
        <w:rPr>
          <w:rFonts w:hint="default" w:ascii="Times New Roman" w:hAnsi="Times New Roman" w:cs="Times New Roman"/>
          <w:color w:val="000000" w:themeColor="text1"/>
          <w:kern w:val="0"/>
          <w:szCs w:val="24"/>
          <w:u w:val="single"/>
          <w14:textFill>
            <w14:solidFill>
              <w14:schemeClr w14:val="tx1"/>
            </w14:solidFill>
          </w14:textFill>
        </w:rPr>
      </w:pPr>
      <w:r>
        <w:rPr>
          <w:rFonts w:hint="default" w:ascii="Times New Roman" w:hAnsi="Times New Roman" w:cs="Times New Roman"/>
          <w:color w:val="000000" w:themeColor="text1"/>
          <w:kern w:val="0"/>
          <w:szCs w:val="24"/>
          <w:u w:val="single"/>
          <w14:textFill>
            <w14:solidFill>
              <w14:schemeClr w14:val="tx1"/>
            </w14:solidFill>
          </w14:textFill>
        </w:rPr>
        <w:t xml:space="preserve">该技术采用成熟的FH-40C催化剂。FH-40C是FRIPP针对进口含硫油开发的新一代轻质馏分油加氢精制催化剂，非常适合于石脑油、煤油馏分加氢脱硫，脱硫深度高，裂解活性低，氢耗低，并具有制造成本低、催化剂装填密度低等特点。 </w:t>
      </w:r>
    </w:p>
    <w:p>
      <w:pPr>
        <w:widowControl/>
        <w:spacing w:line="360" w:lineRule="auto"/>
        <w:ind w:firstLine="480" w:firstLineChars="200"/>
        <w:jc w:val="left"/>
        <w:rPr>
          <w:rFonts w:hint="default" w:ascii="Times New Roman" w:hAnsi="Times New Roman" w:cs="Times New Roman"/>
          <w:color w:val="000000" w:themeColor="text1"/>
          <w:kern w:val="0"/>
          <w:szCs w:val="24"/>
          <w:u w:val="single"/>
          <w14:textFill>
            <w14:solidFill>
              <w14:schemeClr w14:val="tx1"/>
            </w14:solidFill>
          </w14:textFill>
        </w:rPr>
      </w:pPr>
      <w:r>
        <w:rPr>
          <w:rFonts w:hint="default" w:ascii="Times New Roman" w:hAnsi="Times New Roman" w:cs="Times New Roman"/>
          <w:color w:val="000000" w:themeColor="text1"/>
          <w:kern w:val="0"/>
          <w:szCs w:val="24"/>
          <w:u w:val="single"/>
          <w14:textFill>
            <w14:solidFill>
              <w14:schemeClr w14:val="tx1"/>
            </w14:solidFill>
          </w14:textFill>
        </w:rPr>
        <w:t>详细的工艺流程</w:t>
      </w:r>
    </w:p>
    <w:p>
      <w:pPr>
        <w:widowControl/>
        <w:spacing w:line="360" w:lineRule="auto"/>
        <w:ind w:firstLine="480" w:firstLineChars="200"/>
        <w:jc w:val="left"/>
        <w:rPr>
          <w:rFonts w:hint="default" w:ascii="Times New Roman" w:hAnsi="Times New Roman" w:cs="Times New Roman"/>
          <w:color w:val="000000" w:themeColor="text1"/>
          <w:kern w:val="0"/>
          <w:szCs w:val="24"/>
          <w:u w:val="single"/>
          <w14:textFill>
            <w14:solidFill>
              <w14:schemeClr w14:val="tx1"/>
            </w14:solidFill>
          </w14:textFill>
        </w:rPr>
      </w:pPr>
      <w:r>
        <w:rPr>
          <w:rFonts w:hint="default" w:ascii="Times New Roman" w:hAnsi="Times New Roman" w:cs="Times New Roman"/>
          <w:color w:val="000000" w:themeColor="text1"/>
          <w:kern w:val="0"/>
          <w:szCs w:val="24"/>
          <w:u w:val="single"/>
          <w14:textFill>
            <w14:solidFill>
              <w14:schemeClr w14:val="tx1"/>
            </w14:solidFill>
          </w14:textFill>
        </w:rPr>
        <w:t>（1）反应部分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Cs w:val="24"/>
          <w:u w:val="single"/>
          <w14:textFill>
            <w14:solidFill>
              <w14:schemeClr w14:val="tx1"/>
            </w14:solidFill>
          </w14:textFill>
        </w:rPr>
      </w:pPr>
      <w:r>
        <w:rPr>
          <w:rFonts w:hint="default" w:ascii="Times New Roman" w:hAnsi="Times New Roman" w:cs="Times New Roman"/>
          <w:color w:val="000000" w:themeColor="text1"/>
          <w:kern w:val="0"/>
          <w:szCs w:val="24"/>
          <w:u w:val="single"/>
          <w:lang w:eastAsia="zh-CN"/>
          <w14:textFill>
            <w14:solidFill>
              <w14:schemeClr w14:val="tx1"/>
            </w14:solidFill>
          </w14:textFill>
        </w:rPr>
        <w:t>从常压装置出来的溶剂油和航煤组分油</w:t>
      </w:r>
      <w:r>
        <w:rPr>
          <w:rFonts w:hint="default" w:ascii="Times New Roman" w:hAnsi="Times New Roman" w:cs="Times New Roman"/>
          <w:color w:val="000000" w:themeColor="text1"/>
          <w:kern w:val="0"/>
          <w:szCs w:val="24"/>
          <w:u w:val="single"/>
          <w14:textFill>
            <w14:solidFill>
              <w14:schemeClr w14:val="tx1"/>
            </w14:solidFill>
          </w14:textFill>
        </w:rPr>
        <w:t>（40%常一线和60%常二线的混合油）经原料过滤器（SR-201A/B）过滤、由加氢进料泵（P-201A/B）升压后经过原料/200#溶剂油产品换热器（E-208）、原料/3#粗白油产品换热器（E206A/B）、原料/反应产物换热器（E-201A/B/C）依次与200#溶剂油、3#粗白油、反应产物换热，然后再经过常渣/反应进料换热器（E-202）、电加热器（E-201）加热后与经过计量后的氢气在高效氢气混合器中混合后由反应器底部进入加氢反应器（R-201）进行反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kern w:val="0"/>
          <w:szCs w:val="24"/>
          <w:u w:val="single"/>
          <w14:textFill>
            <w14:solidFill>
              <w14:schemeClr w14:val="tx1"/>
            </w14:solidFill>
          </w14:textFill>
        </w:rPr>
      </w:pPr>
      <w:r>
        <w:rPr>
          <w:rFonts w:hint="default" w:ascii="Times New Roman" w:hAnsi="Times New Roman" w:cs="Times New Roman"/>
          <w:color w:val="000000" w:themeColor="text1"/>
          <w:kern w:val="0"/>
          <w:szCs w:val="24"/>
          <w:u w:val="single"/>
          <w14:textFill>
            <w14:solidFill>
              <w14:schemeClr w14:val="tx1"/>
            </w14:solidFill>
          </w14:textFill>
        </w:rPr>
        <w:t>加氢反应器（R-201）顶部出来的加氢产物与加氢进料换热至泡点经减压后进入粗</w:t>
      </w:r>
      <w:r>
        <w:rPr>
          <w:rFonts w:hint="default" w:ascii="Times New Roman" w:hAnsi="Times New Roman" w:cs="Times New Roman"/>
          <w:color w:val="000000" w:themeColor="text1"/>
          <w:kern w:val="0"/>
          <w:szCs w:val="24"/>
          <w:u w:val="single"/>
          <w:lang w:eastAsia="zh-CN"/>
          <w14:textFill>
            <w14:solidFill>
              <w14:schemeClr w14:val="tx1"/>
            </w14:solidFill>
          </w14:textFill>
        </w:rPr>
        <w:t>白</w:t>
      </w:r>
      <w:r>
        <w:rPr>
          <w:rFonts w:hint="default" w:ascii="Times New Roman" w:hAnsi="Times New Roman" w:cs="Times New Roman"/>
          <w:color w:val="000000" w:themeColor="text1"/>
          <w:kern w:val="0"/>
          <w:szCs w:val="24"/>
          <w:u w:val="single"/>
          <w14:textFill>
            <w14:solidFill>
              <w14:schemeClr w14:val="tx1"/>
            </w14:solidFill>
          </w14:textFill>
        </w:rPr>
        <w:t>油馏塔（C-201）进行分馏。</w:t>
      </w:r>
      <w:r>
        <w:rPr>
          <w:rFonts w:hint="default" w:ascii="Times New Roman" w:hAnsi="Times New Roman" w:cs="Times New Roman"/>
          <w:color w:val="000000" w:themeColor="text1"/>
          <w:kern w:val="0"/>
          <w:szCs w:val="24"/>
          <w:u w:val="single"/>
          <w:lang w:eastAsia="zh-CN"/>
          <w14:textFill>
            <w14:solidFill>
              <w14:schemeClr w14:val="tx1"/>
            </w14:solidFill>
          </w14:textFill>
        </w:rPr>
        <w:t>加氢反应器主要有瓷球、催化剂和保护剂，催化剂</w:t>
      </w:r>
      <w:r>
        <w:rPr>
          <w:rFonts w:hint="default" w:ascii="Times New Roman" w:hAnsi="Times New Roman" w:cs="Times New Roman"/>
          <w:color w:val="000000" w:themeColor="text1"/>
          <w:kern w:val="0"/>
          <w:szCs w:val="24"/>
          <w:u w:val="single"/>
          <w:lang w:val="en-US" w:eastAsia="zh-CN"/>
          <w14:textFill>
            <w14:solidFill>
              <w14:schemeClr w14:val="tx1"/>
            </w14:solidFill>
          </w14:textFill>
        </w:rPr>
        <w:t>6年更换一次</w:t>
      </w:r>
      <w:r>
        <w:rPr>
          <w:rFonts w:hint="default" w:ascii="Times New Roman" w:hAnsi="Times New Roman" w:cs="Times New Roman"/>
          <w:color w:val="000000" w:themeColor="text1"/>
          <w:kern w:val="0"/>
          <w:szCs w:val="24"/>
          <w:u w:val="single"/>
          <w14:textFill>
            <w14:solidFill>
              <w14:schemeClr w14:val="tx1"/>
            </w14:solidFill>
          </w14:textFill>
        </w:rPr>
        <w:t>，</w:t>
      </w:r>
      <w:r>
        <w:rPr>
          <w:rFonts w:hint="default" w:ascii="Times New Roman" w:hAnsi="Times New Roman" w:cs="Times New Roman"/>
          <w:color w:val="000000" w:themeColor="text1"/>
          <w:kern w:val="0"/>
          <w:szCs w:val="24"/>
          <w:u w:val="single"/>
          <w:lang w:eastAsia="zh-CN"/>
          <w14:textFill>
            <w14:solidFill>
              <w14:schemeClr w14:val="tx1"/>
            </w14:solidFill>
          </w14:textFill>
        </w:rPr>
        <w:t>保护剂</w:t>
      </w:r>
      <w:r>
        <w:rPr>
          <w:rFonts w:hint="default" w:ascii="Times New Roman" w:hAnsi="Times New Roman" w:cs="Times New Roman"/>
          <w:color w:val="000000" w:themeColor="text1"/>
          <w:kern w:val="0"/>
          <w:szCs w:val="24"/>
          <w:u w:val="single"/>
          <w:lang w:val="en-US" w:eastAsia="zh-CN"/>
          <w14:textFill>
            <w14:solidFill>
              <w14:schemeClr w14:val="tx1"/>
            </w14:solidFill>
          </w14:textFill>
        </w:rPr>
        <w:t>3年更换一次、瓷球3年更换一次，更换下来的废催化剂、废保护剂和废瓷球属于危险固废，</w:t>
      </w:r>
      <w:r>
        <w:rPr>
          <w:rFonts w:hint="default" w:ascii="Times New Roman" w:hAnsi="Times New Roman" w:cs="Times New Roman"/>
          <w:color w:val="000000" w:themeColor="text1"/>
          <w:kern w:val="0"/>
          <w:szCs w:val="24"/>
          <w:u w:val="single"/>
          <w:lang w:eastAsia="zh-CN"/>
          <w14:textFill>
            <w14:solidFill>
              <w14:schemeClr w14:val="tx1"/>
            </w14:solidFill>
          </w14:textFill>
        </w:rPr>
        <w:t>产物编号主要为：</w:t>
      </w:r>
      <w:r>
        <w:rPr>
          <w:rFonts w:hint="default" w:ascii="Times New Roman" w:hAnsi="Times New Roman" w:cs="Times New Roman"/>
          <w:color w:val="000000" w:themeColor="text1"/>
          <w:kern w:val="0"/>
          <w:szCs w:val="24"/>
          <w:u w:val="single"/>
          <w14:textFill>
            <w14:solidFill>
              <w14:schemeClr w14:val="tx1"/>
            </w14:solidFill>
          </w14:textFill>
        </w:rPr>
        <w:t>S1废瓷球、S2废催化剂、S3废保护剂。</w:t>
      </w:r>
    </w:p>
    <w:p>
      <w:pPr>
        <w:widowControl/>
        <w:spacing w:line="360" w:lineRule="auto"/>
        <w:ind w:firstLine="480" w:firstLineChars="200"/>
        <w:jc w:val="left"/>
        <w:rPr>
          <w:color w:val="000000" w:themeColor="text1"/>
          <w:kern w:val="0"/>
          <w:szCs w:val="24"/>
          <w:u w:val="single"/>
          <w14:textFill>
            <w14:solidFill>
              <w14:schemeClr w14:val="tx1"/>
            </w14:solidFill>
          </w14:textFill>
        </w:rPr>
      </w:pPr>
      <w:r>
        <w:rPr>
          <w:color w:val="000000" w:themeColor="text1"/>
          <w:kern w:val="0"/>
          <w:szCs w:val="24"/>
          <w:u w:val="single"/>
          <w14:textFill>
            <w14:solidFill>
              <w14:schemeClr w14:val="tx1"/>
            </w14:solidFill>
          </w14:textFill>
        </w:rPr>
        <w:t>（2）分馏部分</w:t>
      </w:r>
    </w:p>
    <w:p>
      <w:pPr>
        <w:widowControl/>
        <w:spacing w:line="360" w:lineRule="auto"/>
        <w:ind w:firstLine="480" w:firstLineChars="200"/>
        <w:jc w:val="left"/>
        <w:rPr>
          <w:rFonts w:hint="eastAsia" w:eastAsia="宋体"/>
          <w:color w:val="000000" w:themeColor="text1"/>
          <w:kern w:val="0"/>
          <w:szCs w:val="24"/>
          <w:u w:val="single"/>
          <w:lang w:eastAsia="zh-CN"/>
          <w14:textFill>
            <w14:solidFill>
              <w14:schemeClr w14:val="tx1"/>
            </w14:solidFill>
          </w14:textFill>
        </w:rPr>
      </w:pPr>
      <w:r>
        <w:rPr>
          <w:rFonts w:hint="eastAsia"/>
          <w:color w:val="000000" w:themeColor="text1"/>
          <w:kern w:val="0"/>
          <w:szCs w:val="24"/>
          <w:u w:val="single"/>
          <w14:textFill>
            <w14:solidFill>
              <w14:schemeClr w14:val="tx1"/>
            </w14:solidFill>
          </w14:textFill>
        </w:rPr>
        <w:t>粗白油分馏塔（C-201）顶部的油气经粗白油分馏塔顶部冷凝器（E-204）冷却后一部分入粗白油分馏塔顶回流罐（D-202），一部分未冷凝的不凝气通过管道送至公司火炬</w:t>
      </w:r>
      <w:r>
        <w:rPr>
          <w:rFonts w:hint="eastAsia" w:ascii="宋体" w:hAnsi="宋体"/>
          <w:color w:val="000000" w:themeColor="text1"/>
          <w:u w:val="single"/>
          <w14:textFill>
            <w14:solidFill>
              <w14:schemeClr w14:val="tx1"/>
            </w14:solidFill>
          </w14:textFill>
        </w:rPr>
        <w:t>系统管网送气柜回收轻烃，回收不完时引入火炬焚烧</w:t>
      </w:r>
      <w:r>
        <w:rPr>
          <w:rFonts w:hint="eastAsia"/>
          <w:color w:val="000000" w:themeColor="text1"/>
          <w:kern w:val="0"/>
          <w:szCs w:val="24"/>
          <w:u w:val="single"/>
          <w14:textFill>
            <w14:solidFill>
              <w14:schemeClr w14:val="tx1"/>
            </w14:solidFill>
          </w14:textFill>
        </w:rPr>
        <w:t>；罐底含硫污水自流至污水罐集中处理。分馏部分主要产生G2不凝气、W2粗白油分馏塔顶回流罐产生的含硫污水</w:t>
      </w:r>
      <w:r>
        <w:rPr>
          <w:rFonts w:hint="eastAsia"/>
          <w:color w:val="000000" w:themeColor="text1"/>
          <w:kern w:val="0"/>
          <w:szCs w:val="24"/>
          <w:u w:val="single"/>
          <w:lang w:eastAsia="zh-CN"/>
          <w14:textFill>
            <w14:solidFill>
              <w14:schemeClr w14:val="tx1"/>
            </w14:solidFill>
          </w14:textFill>
        </w:rPr>
        <w:t>，本项目分馏部分会产生干气，干气主要回用于常压装置的常压炉使用</w:t>
      </w:r>
      <w:r>
        <w:rPr>
          <w:rFonts w:hint="eastAsia"/>
          <w:color w:val="000000" w:themeColor="text1"/>
          <w:kern w:val="0"/>
          <w:szCs w:val="24"/>
          <w:u w:val="single"/>
          <w14:textFill>
            <w14:solidFill>
              <w14:schemeClr w14:val="tx1"/>
            </w14:solidFill>
          </w14:textFill>
        </w:rPr>
        <w:t>。</w:t>
      </w:r>
      <w:r>
        <w:rPr>
          <w:rFonts w:hint="eastAsia"/>
          <w:color w:val="000000" w:themeColor="text1"/>
          <w:kern w:val="0"/>
          <w:szCs w:val="24"/>
          <w:u w:val="single"/>
          <w:lang w:eastAsia="zh-CN"/>
          <w14:textFill>
            <w14:solidFill>
              <w14:schemeClr w14:val="tx1"/>
            </w14:solidFill>
          </w14:textFill>
        </w:rPr>
        <w:t>本项目常压装置的常压加热炉设有一套干气温度控制阀及控制回路，设立切换开关，可控制干气或燃料油，使得干气及燃料油温控的双向无扰动自由切换，干气能起到辅助点火和长明灯的作用，加热炉燃烧干气可以节约燃料油的使用，节约能源。因此本项目产生的干气回用于常压装置的常压炉使用是合理可行的。</w:t>
      </w:r>
    </w:p>
    <w:p>
      <w:pPr>
        <w:widowControl/>
        <w:spacing w:line="360" w:lineRule="auto"/>
        <w:ind w:firstLine="480" w:firstLineChars="200"/>
        <w:jc w:val="left"/>
        <w:rPr>
          <w:color w:val="000000" w:themeColor="text1"/>
          <w:kern w:val="0"/>
          <w:szCs w:val="24"/>
          <w:u w:val="single"/>
          <w14:textFill>
            <w14:solidFill>
              <w14:schemeClr w14:val="tx1"/>
            </w14:solidFill>
          </w14:textFill>
        </w:rPr>
      </w:pPr>
      <w:r>
        <w:rPr>
          <w:color w:val="000000" w:themeColor="text1"/>
          <w:kern w:val="0"/>
          <w:szCs w:val="24"/>
          <w:u w:val="single"/>
          <w14:textFill>
            <w14:solidFill>
              <w14:schemeClr w14:val="tx1"/>
            </w14:solidFill>
          </w14:textFill>
        </w:rPr>
        <w:t>粗白油分馏塔（C-201）侧线200#溶剂油产品由200#溶剂油产品泵（P-204A/B）抽出，经原料/200#溶剂油产品换热器（E-208）和200#溶剂油产品后冷器（E-207）冷却后配管（约150米）接至新老常压管廊交界处，与原粗白油去二联合罐区的管线（DN50）碰头，通过已有流程送至二联合罐区T311-4罐。</w:t>
      </w:r>
    </w:p>
    <w:p>
      <w:pPr>
        <w:widowControl/>
        <w:spacing w:line="360" w:lineRule="auto"/>
        <w:ind w:firstLine="480" w:firstLineChars="200"/>
        <w:jc w:val="left"/>
        <w:rPr>
          <w:color w:val="000000" w:themeColor="text1"/>
          <w:kern w:val="0"/>
          <w:szCs w:val="24"/>
          <w:u w:val="single"/>
          <w14:textFill>
            <w14:solidFill>
              <w14:schemeClr w14:val="tx1"/>
            </w14:solidFill>
          </w14:textFill>
        </w:rPr>
      </w:pPr>
      <w:r>
        <w:rPr>
          <w:color w:val="000000" w:themeColor="text1"/>
          <w:kern w:val="0"/>
          <w:szCs w:val="24"/>
          <w:u w:val="single"/>
          <w14:textFill>
            <w14:solidFill>
              <w14:schemeClr w14:val="tx1"/>
            </w14:solidFill>
          </w14:textFill>
        </w:rPr>
        <w:t>粗白油分馏塔（C-201）底部3#粗白油产品由3#粗白油产品泵（P-203A/B）抽出，经原料/3#粗白油产品换热器（E-206/B）和3#粗白油产品冷凝器（E-205）冷却，出装置后配管（约30米）接至炼油常压装置常一线出装置的管线上，通过已有的常一线出装置去成品油罐区的流程去成品罐区C521/C522罐区</w:t>
      </w:r>
      <w:r>
        <w:rPr>
          <w:rFonts w:hint="eastAsia"/>
          <w:color w:val="000000" w:themeColor="text1"/>
          <w:kern w:val="0"/>
          <w:szCs w:val="24"/>
          <w:u w:val="single"/>
          <w:lang w:val="en-US" w:eastAsia="zh-CN"/>
          <w14:textFill>
            <w14:solidFill>
              <w14:schemeClr w14:val="tx1"/>
            </w14:solidFill>
          </w14:textFill>
        </w:rPr>
        <w:t>（现有成品罐区，本项目不新建罐区）</w:t>
      </w:r>
      <w:r>
        <w:rPr>
          <w:color w:val="000000" w:themeColor="text1"/>
          <w:kern w:val="0"/>
          <w:szCs w:val="24"/>
          <w:u w:val="single"/>
          <w14:textFill>
            <w14:solidFill>
              <w14:schemeClr w14:val="tx1"/>
            </w14:solidFill>
          </w14:textFill>
        </w:rPr>
        <w:t>。</w:t>
      </w:r>
    </w:p>
    <w:p>
      <w:pPr>
        <w:widowControl/>
        <w:spacing w:line="360" w:lineRule="auto"/>
        <w:ind w:firstLine="480" w:firstLineChars="200"/>
        <w:jc w:val="left"/>
        <w:rPr>
          <w:rFonts w:hint="eastAsia"/>
          <w:color w:val="000000" w:themeColor="text1"/>
          <w:kern w:val="0"/>
          <w:szCs w:val="24"/>
          <w:u w:val="single"/>
          <w14:textFill>
            <w14:solidFill>
              <w14:schemeClr w14:val="tx1"/>
            </w14:solidFill>
          </w14:textFill>
        </w:rPr>
      </w:pPr>
      <w:r>
        <w:rPr>
          <w:rFonts w:hint="eastAsia"/>
          <w:color w:val="000000" w:themeColor="text1"/>
          <w:kern w:val="0"/>
          <w:szCs w:val="24"/>
          <w:u w:val="single"/>
          <w14:textFill>
            <w14:solidFill>
              <w14:schemeClr w14:val="tx1"/>
            </w14:solidFill>
          </w14:textFill>
        </w:rPr>
        <w:t>整个</w:t>
      </w:r>
      <w:r>
        <w:rPr>
          <w:rFonts w:hint="eastAsia" w:eastAsia="宋体"/>
          <w:color w:val="000000" w:themeColor="text1"/>
          <w:kern w:val="0"/>
          <w:szCs w:val="24"/>
          <w:u w:val="single"/>
          <w:lang w:eastAsia="zh-CN"/>
          <w14:textFill>
            <w14:solidFill>
              <w14:schemeClr w14:val="tx1"/>
            </w14:solidFill>
          </w14:textFill>
        </w:rPr>
        <w:t>新</w:t>
      </w:r>
      <w:r>
        <w:rPr>
          <w:rFonts w:hint="eastAsia"/>
          <w:color w:val="000000" w:themeColor="text1"/>
          <w:kern w:val="0"/>
          <w:szCs w:val="24"/>
          <w:u w:val="single"/>
          <w14:textFill>
            <w14:solidFill>
              <w14:schemeClr w14:val="tx1"/>
            </w14:solidFill>
          </w14:textFill>
        </w:rPr>
        <w:t>建部分生产工序主要会产生G1装置、储罐管道跑漏废气、W1地面冲洗废水、W3初期雨水、W4机泵冷却产生的含油污水、N1设备噪声、泵、风机噪声。</w:t>
      </w:r>
    </w:p>
    <w:p>
      <w:pPr>
        <w:pStyle w:val="5"/>
        <w:rPr>
          <w:color w:val="000000" w:themeColor="text1"/>
          <w:kern w:val="0"/>
          <w14:textFill>
            <w14:solidFill>
              <w14:schemeClr w14:val="tx1"/>
            </w14:solidFill>
          </w14:textFill>
        </w:rPr>
      </w:pPr>
      <w:r>
        <w:rPr>
          <w:color w:val="000000" w:themeColor="text1"/>
          <w:kern w:val="0"/>
          <w14:textFill>
            <w14:solidFill>
              <w14:schemeClr w14:val="tx1"/>
            </w14:solidFill>
          </w14:textFill>
        </w:rPr>
        <w:t>工艺技术主要操作条件</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加氢单元的操作条件和粗白油分馏塔的操作条件见下表所示。</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加氢单元的操作条件</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3081"/>
        <w:gridCol w:w="3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名称</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项目</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操作条件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加氢单元</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入口压力，Mpa（G）</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体积空速，h</w:t>
            </w:r>
            <w:r>
              <w:rPr>
                <w:rFonts w:hint="default" w:ascii="Times New Roman" w:hAnsi="Times New Roman" w:cs="Times New Roman"/>
                <w:b w:val="0"/>
                <w:color w:val="000000" w:themeColor="text1"/>
                <w:sz w:val="21"/>
                <w:szCs w:val="21"/>
                <w:vertAlign w:val="superscript"/>
                <w14:textFill>
                  <w14:solidFill>
                    <w14:schemeClr w14:val="tx1"/>
                  </w14:solidFill>
                </w14:textFill>
              </w:rPr>
              <w:t>-1</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入口温度，℃</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初期290/末期330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预计温度，℃</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氢油体积比，V/V</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30</w:t>
            </w:r>
          </w:p>
        </w:tc>
      </w:tr>
    </w:tbl>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粗白油分馏塔的操作条件</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3081"/>
        <w:gridCol w:w="3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名称</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项目</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操作条件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粗白油分馏塔</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塔顶压力，Mpa（G）</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塔底压力，Mpa（G）</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塔顶温度，℃</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0" w:type="dxa"/>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塔底温度，℃</w:t>
            </w:r>
          </w:p>
        </w:tc>
        <w:tc>
          <w:tcPr>
            <w:tcW w:w="3081" w:type="dxa"/>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250</w:t>
            </w:r>
          </w:p>
        </w:tc>
      </w:tr>
    </w:tbl>
    <w:p>
      <w:pPr>
        <w:pStyle w:val="5"/>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依托工程可行性</w:t>
      </w:r>
    </w:p>
    <w:p>
      <w:pPr>
        <w:pStyle w:val="5"/>
        <w:keepNext/>
        <w:keepLines/>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eastAsia"/>
          <w:b w:val="0"/>
          <w:bCs/>
          <w:color w:val="000000" w:themeColor="text1"/>
          <w:lang w:eastAsia="zh-CN"/>
          <w14:textFill>
            <w14:solidFill>
              <w14:schemeClr w14:val="tx1"/>
            </w14:solidFill>
          </w14:textFill>
        </w:rPr>
      </w:pPr>
      <w:r>
        <w:rPr>
          <w:rFonts w:hint="eastAsia"/>
          <w:b w:val="0"/>
          <w:bCs/>
          <w:color w:val="000000" w:themeColor="text1"/>
          <w:lang w:eastAsia="zh-CN"/>
          <w14:textFill>
            <w14:solidFill>
              <w14:schemeClr w14:val="tx1"/>
            </w14:solidFill>
          </w14:textFill>
        </w:rPr>
        <w:t>本次新建项目依托内容具体见下表所示。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本项目依托工程情况一览表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4869"/>
        <w:gridCol w:w="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24" w:type="dxa"/>
            <w:tcBorders>
              <w:top w:val="single" w:color="auto" w:sz="12" w:space="0"/>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依托工程</w:t>
            </w:r>
          </w:p>
        </w:tc>
        <w:tc>
          <w:tcPr>
            <w:tcW w:w="4869" w:type="dxa"/>
            <w:tcBorders>
              <w:top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现有工程概况</w:t>
            </w:r>
          </w:p>
        </w:tc>
        <w:tc>
          <w:tcPr>
            <w:tcW w:w="0" w:type="auto"/>
            <w:tcBorders>
              <w:top w:val="single" w:color="auto" w:sz="12" w:space="0"/>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本项目依托可行性分析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供水</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拟建项目依托巴陵石化分公司有自备生产水厂和生活水厂，生产用水从长江取水，生产取水能力为10万m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/d，生活用水取自铁山水库和双花水库，取水能力为3.4万m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/d。目前已接至厂区，可满足项目用水的需要。</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排水</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厂区已雨污分流，雨污管网已相对成熟完善</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供电</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拟建项目工件依托原常压配电间，配电间变压器备用容量均满足本工程用电需求，配电间内备用柜位可以满足本项目新增配电柜需求。</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bidi="ar"/>
                <w14:textFill>
                  <w14:solidFill>
                    <w14:schemeClr w14:val="tx1"/>
                  </w14:solidFill>
                </w14:textFill>
              </w:rPr>
              <w:t>本项目所在区域</w:t>
            </w:r>
            <w:r>
              <w:rPr>
                <w:rFonts w:hint="default" w:ascii="Times New Roman" w:hAnsi="Times New Roman" w:eastAsia="宋体" w:cs="Times New Roman"/>
                <w:color w:val="000000" w:themeColor="text1"/>
                <w:sz w:val="21"/>
                <w:szCs w:val="21"/>
                <w:u w:val="single"/>
                <w:lang w:bidi="ar"/>
                <w14:textFill>
                  <w14:solidFill>
                    <w14:schemeClr w14:val="tx1"/>
                  </w14:solidFill>
                </w14:textFill>
              </w:rPr>
              <w:t>供电充裕，本工程用电满足要求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循环水</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拟建项目依托炼油部现有循环冷却水站，设计规模为400m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/h（循环量），循环冷却水站配1座冷却塔，循环水泵2台，一开一备，一个100m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水池。现有循环站满足需要，无需扩建。</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现有循环水站及冷却水剩余量满足本</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新建</w:t>
            </w:r>
            <w:r>
              <w:rPr>
                <w:rFonts w:hint="default" w:ascii="Times New Roman" w:hAnsi="Times New Roman" w:eastAsia="宋体" w:cs="Times New Roman"/>
                <w:color w:val="000000" w:themeColor="text1"/>
                <w:sz w:val="21"/>
                <w:szCs w:val="21"/>
                <w:u w:val="single"/>
                <w14:textFill>
                  <w14:solidFill>
                    <w14:schemeClr w14:val="tx1"/>
                  </w14:solidFill>
                </w14:textFill>
              </w:rPr>
              <w:t>内容的需要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供热</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本项目</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新</w:t>
            </w:r>
            <w:r>
              <w:rPr>
                <w:rFonts w:hint="default" w:ascii="Times New Roman" w:hAnsi="Times New Roman" w:eastAsia="宋体" w:cs="Times New Roman"/>
                <w:color w:val="000000" w:themeColor="text1"/>
                <w:sz w:val="21"/>
                <w:szCs w:val="21"/>
                <w:u w:val="single"/>
                <w14:textFill>
                  <w14:solidFill>
                    <w14:schemeClr w14:val="tx1"/>
                  </w14:solidFill>
                </w14:textFill>
              </w:rPr>
              <w:t>建装置区蒸汽使用量为260t/a，由巴陵石化分公司热电事业部提供，目前该部共有1台220t/h和4台130t/h高温高压燃煤锅炉，同时配有1台25MW低压抽凝式汽轮机，2台12MW高压背压汽轮机，2台12MW中压抽凝式汽轮机，1台12MW中压背改抽凝式汽轮机，1台中压压汽轮机。负责向巴陵石化下属的各事业、供销售及三产单位生产装置供应蒸汽、电力和软水。目前蒸汽剩余能力约100t/h，完全能满足项目蒸汽需求量。</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项目区已建有蒸汽管道，可满足本项目用汽需要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bidi="ar"/>
                <w14:textFill>
                  <w14:solidFill>
                    <w14:schemeClr w14:val="tx1"/>
                  </w14:solidFill>
                </w14:textFill>
              </w:rPr>
              <w:t>氮气</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项目氮气供应依托巴陵石化分公司已有装置，目前巴陵石化云溪片KDONAr-3600/7200/100 装置的产氮能力为 7200Nm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/h，巴陵石化分公司现有工程氮气平均负荷2200~2300Nm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/h（剩余能力约 4900Nm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/h）。项目装置区氮气需要量为50Nm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/h（400000Nm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single"/>
                <w14:textFill>
                  <w14:solidFill>
                    <w14:schemeClr w14:val="tx1"/>
                  </w14:solidFill>
                </w14:textFill>
              </w:rPr>
              <w:t>/a），巴陵石化分工</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氮气</w:t>
            </w:r>
            <w:r>
              <w:rPr>
                <w:rFonts w:hint="default" w:ascii="Times New Roman" w:hAnsi="Times New Roman" w:eastAsia="宋体" w:cs="Times New Roman"/>
                <w:color w:val="000000" w:themeColor="text1"/>
                <w:sz w:val="21"/>
                <w:szCs w:val="21"/>
                <w:u w:val="single"/>
                <w14:textFill>
                  <w14:solidFill>
                    <w14:schemeClr w14:val="tx1"/>
                  </w14:solidFill>
                </w14:textFill>
              </w:rPr>
              <w:t>剩余能力完全能满足本项目氮气的需求。</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巴陵石化分工</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氮气</w:t>
            </w:r>
            <w:r>
              <w:rPr>
                <w:rFonts w:hint="default" w:ascii="Times New Roman" w:hAnsi="Times New Roman" w:eastAsia="宋体" w:cs="Times New Roman"/>
                <w:color w:val="000000" w:themeColor="text1"/>
                <w:sz w:val="21"/>
                <w:szCs w:val="21"/>
                <w:u w:val="single"/>
                <w14:textFill>
                  <w14:solidFill>
                    <w14:schemeClr w14:val="tx1"/>
                  </w14:solidFill>
                </w14:textFill>
              </w:rPr>
              <w:t>剩余能力完全能满足本项目氮气的需求。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bidi="ar"/>
                <w14:textFill>
                  <w14:solidFill>
                    <w14:schemeClr w14:val="tx1"/>
                  </w14:solidFill>
                </w14:textFill>
              </w:rPr>
            </w:pPr>
            <w:r>
              <w:rPr>
                <w:rFonts w:hint="default" w:ascii="Times New Roman" w:hAnsi="Times New Roman" w:cs="Times New Roman"/>
                <w:color w:val="000000" w:themeColor="text1"/>
                <w:sz w:val="21"/>
                <w:szCs w:val="21"/>
                <w:u w:val="single"/>
                <w:lang w:eastAsia="zh-CN" w:bidi="ar"/>
                <w14:textFill>
                  <w14:solidFill>
                    <w14:schemeClr w14:val="tx1"/>
                  </w14:solidFill>
                </w14:textFill>
              </w:rPr>
              <w:t>氢气</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本项目氢气供应依托中石化巴陵石油化工有限公司已有装置</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lang w:eastAsia="zh-CN"/>
                <w14:textFill>
                  <w14:solidFill>
                    <w14:schemeClr w14:val="tx1"/>
                  </w14:solidFill>
                </w14:textFill>
              </w:rPr>
              <w:t>中石化巴陵石油化工有限公司氢气剩余能够满足本项目氢气的使用需求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储运</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炼油装置罐区包括原油罐组、中间罐组、渣油罐组、气分原料油罐组、重质油罐组五个部分，共19台罐。主要用来贮存原油、渣油、不合格油和气分原料等。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本项目原料主要来自炼油部常压装置，产品主要输送至炼油部现有油罐储运，拟建项目不新增产品油罐。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废水</w:t>
            </w:r>
          </w:p>
        </w:tc>
        <w:tc>
          <w:tcPr>
            <w:tcW w:w="4869" w:type="dxa"/>
            <w:noWrap w:val="0"/>
            <w:vAlign w:val="center"/>
          </w:tcPr>
          <w:p>
            <w:pPr>
              <w:keepNext w:val="0"/>
              <w:keepLines w:val="0"/>
              <w:pageBreakBefore w:val="0"/>
              <w:widowControl w:val="0"/>
              <w:suppressLineNumbers w:val="0"/>
              <w:tabs>
                <w:tab w:val="left" w:pos="1000"/>
              </w:tabs>
              <w:kinsoku/>
              <w:wordWrap/>
              <w:overflowPunct/>
              <w:topLinePunct w:val="0"/>
              <w:autoSpaceDE/>
              <w:autoSpaceDN/>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炼油部预处理厂主要对进厂污水进行除油处理，除油后的污水送至巴陵石化水务部云溪生化装置处理，主要设计有隔油、气浮、生化等一整套工艺流程。处理能力为120万t/a，实际处理量为110万t/a。</w:t>
            </w:r>
            <w:r>
              <w:rPr>
                <w:rFonts w:hint="default" w:ascii="Times New Roman" w:hAnsi="Times New Roman" w:eastAsia="宋体" w:cs="Times New Roman"/>
                <w:color w:val="000000" w:themeColor="text1"/>
                <w:sz w:val="21"/>
                <w:u w:val="single"/>
                <w14:textFill>
                  <w14:solidFill>
                    <w14:schemeClr w14:val="tx1"/>
                  </w14:solidFill>
                </w14:textFill>
              </w:rPr>
              <w:t>巴陵石化水务部云溪生化装置</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现有2套生化处理装置和1套环氧污水处理设施，总规模1200m</w:t>
            </w:r>
            <w:r>
              <w:rPr>
                <w:rFonts w:hint="default" w:ascii="Times New Roman" w:hAnsi="Times New Roman" w:eastAsia="宋体" w:cs="Times New Roman"/>
                <w:color w:val="000000" w:themeColor="text1"/>
                <w:sz w:val="21"/>
                <w:szCs w:val="21"/>
                <w:u w:val="singl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/h，目前实际处理880m</w:t>
            </w:r>
            <w:r>
              <w:rPr>
                <w:rFonts w:hint="default" w:ascii="Times New Roman" w:hAnsi="Times New Roman" w:eastAsia="宋体" w:cs="Times New Roman"/>
                <w:color w:val="000000" w:themeColor="text1"/>
                <w:sz w:val="21"/>
                <w:szCs w:val="21"/>
                <w:u w:val="singl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/h。其中生化污水处理系统设计规模700m</w:t>
            </w:r>
            <w:r>
              <w:rPr>
                <w:rFonts w:hint="default" w:ascii="Times New Roman" w:hAnsi="Times New Roman" w:eastAsia="宋体" w:cs="Times New Roman"/>
                <w:color w:val="000000" w:themeColor="text1"/>
                <w:sz w:val="21"/>
                <w:szCs w:val="21"/>
                <w:u w:val="singl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/h，目前实际处理量为520m</w:t>
            </w:r>
            <w:r>
              <w:rPr>
                <w:rFonts w:hint="default" w:ascii="Times New Roman" w:hAnsi="Times New Roman" w:eastAsia="宋体" w:cs="Times New Roman"/>
                <w:color w:val="000000" w:themeColor="text1"/>
                <w:sz w:val="21"/>
                <w:szCs w:val="21"/>
                <w:u w:val="singl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/h。</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拟建项目主要依托炼油部预处理站、酸性水气提装置和巴陵石化水务部云溪生化装置，本次产生的生产废水可以依托巴陵石化水务部云溪生化装置现有的污水处理设施。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废气</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炼油部现有火炬系统主要处理不凝气</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粗白油分馏塔（C-201）顶部的油气经粗白油分馏塔顶部冷凝器（E-204）冷却后一部分入粗白油分馏塔顶回流罐（D-202），一部分未冷凝的不凝气通过管道送至公司火炬系统管网送气柜回收轻烃，回收不完时引入火炬焚烧。主要依托公司炼油部现有火炬系统处理。</w:t>
            </w: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固体废物</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本项目现有厂区已设有危险废物暂存库（位于项目用地西南方向约200米），面积为600m</w:t>
            </w:r>
            <w:r>
              <w:rPr>
                <w:rFonts w:hint="default" w:ascii="Times New Roman" w:hAnsi="Times New Roman" w:eastAsia="宋体" w:cs="Times New Roman"/>
                <w:color w:val="000000" w:themeColor="text1"/>
                <w:sz w:val="21"/>
                <w:szCs w:val="21"/>
                <w:u w:val="singl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u w:val="single"/>
                <w14:textFill>
                  <w14:solidFill>
                    <w14:schemeClr w14:val="tx1"/>
                  </w14:solidFill>
                </w14:textFill>
              </w:rPr>
              <w:t>，用于暂存厂区内现有及本项目产生的危险废物</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危险废物暂存间可满足本项目危险废物临时贮存需要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24" w:type="dxa"/>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环境风险</w:t>
            </w:r>
          </w:p>
        </w:tc>
        <w:tc>
          <w:tcPr>
            <w:tcW w:w="486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巴陵石化分公司</w:t>
            </w:r>
            <w:r>
              <w:rPr>
                <w:rFonts w:hint="default" w:ascii="Times New Roman" w:hAnsi="Times New Roman" w:eastAsia="宋体" w:cs="Times New Roman"/>
                <w:b w:val="0"/>
                <w:bCs/>
                <w:color w:val="000000" w:themeColor="text1"/>
                <w:sz w:val="21"/>
                <w:szCs w:val="21"/>
                <w:u w:val="single"/>
                <w:lang w:eastAsia="zh-CN"/>
                <w14:textFill>
                  <w14:solidFill>
                    <w14:schemeClr w14:val="tx1"/>
                  </w14:solidFill>
                </w14:textFill>
              </w:rPr>
              <w:t>事故应急池，其有效容积为</w:t>
            </w:r>
            <w:r>
              <w:rPr>
                <w:rFonts w:hint="default" w:ascii="Times New Roman" w:hAnsi="Times New Roman" w:eastAsia="宋体" w:cs="Times New Roman"/>
                <w:b w:val="0"/>
                <w:bCs/>
                <w:color w:val="000000" w:themeColor="text1"/>
                <w:sz w:val="21"/>
                <w:szCs w:val="21"/>
                <w:u w:val="single"/>
                <w14:textFill>
                  <w14:solidFill>
                    <w14:schemeClr w14:val="tx1"/>
                  </w14:solidFill>
                </w14:textFill>
              </w:rPr>
              <w:t>20000m</w:t>
            </w:r>
            <w:r>
              <w:rPr>
                <w:rFonts w:hint="default" w:ascii="Times New Roman" w:hAnsi="Times New Roman" w:eastAsia="宋体" w:cs="Times New Roman"/>
                <w:b w:val="0"/>
                <w:bCs/>
                <w:color w:val="000000" w:themeColor="text1"/>
                <w:sz w:val="21"/>
                <w:szCs w:val="21"/>
                <w:u w:val="singl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w:t>
            </w:r>
          </w:p>
        </w:tc>
        <w:tc>
          <w:tcPr>
            <w:tcW w:w="0" w:type="auto"/>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拟建项目依托巴陵石化分公司事故应急池</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物料平衡</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中石化巴陵石油化工有限公司炼油部</w:t>
      </w:r>
      <w:r>
        <w:rPr>
          <w:rFonts w:hint="default" w:ascii="Times New Roman" w:hAnsi="Times New Roman" w:cs="Times New Roman"/>
          <w:color w:val="000000" w:themeColor="text1"/>
          <w14:textFill>
            <w14:solidFill>
              <w14:schemeClr w14:val="tx1"/>
            </w14:solidFill>
          </w14:textFill>
        </w:rPr>
        <w:t>粗白油精制装置投产后物料平衡见下表所示。</w:t>
      </w:r>
    </w:p>
    <w:p>
      <w:pPr>
        <w:pStyle w:val="14"/>
        <w:spacing w:line="240" w:lineRule="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 xml:space="preserve"> 粗白油精制装置物料平衡一栏表</w:t>
      </w:r>
      <w:r>
        <w:rPr>
          <w:rFonts w:hint="eastAsia"/>
          <w:color w:val="000000" w:themeColor="text1"/>
          <w:lang w:val="en-US" w:eastAsia="zh-CN"/>
          <w14:textFill>
            <w14:solidFill>
              <w14:schemeClr w14:val="tx1"/>
            </w14:solidFill>
          </w14:textFill>
        </w:rPr>
        <w:t xml:space="preserve">  （单位：t/a）</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2096"/>
        <w:gridCol w:w="1630"/>
        <w:gridCol w:w="847"/>
        <w:gridCol w:w="627"/>
        <w:gridCol w:w="753"/>
        <w:gridCol w:w="2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598" w:type="pct"/>
            <w:vMerge w:val="restar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序号</w:t>
            </w:r>
          </w:p>
        </w:tc>
        <w:tc>
          <w:tcPr>
            <w:tcW w:w="2015" w:type="pct"/>
            <w:gridSpan w:val="2"/>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投入</w:t>
            </w:r>
          </w:p>
        </w:tc>
        <w:tc>
          <w:tcPr>
            <w:tcW w:w="2385" w:type="pct"/>
            <w:gridSpan w:val="4"/>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vMerge w:val="continue"/>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名称</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数量（t/a）</w:t>
            </w:r>
          </w:p>
        </w:tc>
        <w:tc>
          <w:tcPr>
            <w:tcW w:w="458" w:type="pct"/>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类别</w:t>
            </w:r>
          </w:p>
        </w:tc>
        <w:tc>
          <w:tcPr>
            <w:tcW w:w="746" w:type="pct"/>
            <w:gridSpan w:val="2"/>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名称</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数量（t/a）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1</w:t>
            </w:r>
          </w:p>
        </w:tc>
        <w:tc>
          <w:tcPr>
            <w:tcW w:w="1133" w:type="pct"/>
            <w:noWrap w:val="0"/>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溶剂油</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32000</w:t>
            </w:r>
          </w:p>
        </w:tc>
        <w:tc>
          <w:tcPr>
            <w:tcW w:w="458" w:type="pct"/>
            <w:vMerge w:val="restart"/>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产品</w:t>
            </w:r>
          </w:p>
        </w:tc>
        <w:tc>
          <w:tcPr>
            <w:tcW w:w="746" w:type="pct"/>
            <w:gridSpan w:val="2"/>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200#溶剂油</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24000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2</w:t>
            </w:r>
          </w:p>
        </w:tc>
        <w:tc>
          <w:tcPr>
            <w:tcW w:w="1133" w:type="pct"/>
            <w:noWrap w:val="0"/>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航煤组分油</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48000</w:t>
            </w:r>
          </w:p>
        </w:tc>
        <w:tc>
          <w:tcPr>
            <w:tcW w:w="458" w:type="pct"/>
            <w:vMerge w:val="continue"/>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746" w:type="pct"/>
            <w:gridSpan w:val="2"/>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3#粗白油</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56020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3</w:t>
            </w: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氢气</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320</w:t>
            </w:r>
          </w:p>
        </w:tc>
        <w:tc>
          <w:tcPr>
            <w:tcW w:w="458" w:type="pct"/>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副产品</w:t>
            </w:r>
          </w:p>
        </w:tc>
        <w:tc>
          <w:tcPr>
            <w:tcW w:w="746" w:type="pct"/>
            <w:gridSpan w:val="2"/>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干气</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val="zh-CN"/>
                <w14:textFill>
                  <w14:solidFill>
                    <w14:schemeClr w14:val="tx1"/>
                  </w14:solidFill>
                </w14:textFill>
              </w:rPr>
              <w:t>194.9</w:t>
            </w:r>
            <w:r>
              <w:rPr>
                <w:rFonts w:hint="eastAsia" w:eastAsia="宋体" w:cs="Times New Roman"/>
                <w:color w:val="000000" w:themeColor="text1"/>
                <w:sz w:val="21"/>
                <w:szCs w:val="21"/>
                <w:u w:val="singl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u w:val="single"/>
                <w:lang w:val="zh-CN"/>
                <w14:textFill>
                  <w14:solidFill>
                    <w14:schemeClr w14:val="tx1"/>
                  </w14:solidFill>
                </w14:textFill>
              </w:rPr>
              <w:t>5</w:t>
            </w:r>
            <w:r>
              <w:rPr>
                <w:rFonts w:hint="eastAsia" w:eastAsia="宋体" w:cs="Times New Roman"/>
                <w:color w:val="000000" w:themeColor="text1"/>
                <w:sz w:val="21"/>
                <w:szCs w:val="21"/>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u w:val="single"/>
                <w:lang w:val="zh-CN"/>
                <w14:textFill>
                  <w14:solidFill>
                    <w14:schemeClr w14:val="tx1"/>
                  </w14:solidFill>
                </w14:textFill>
              </w:rPr>
              <w:t>43</w:t>
            </w:r>
            <w:r>
              <w:rPr>
                <w:rFonts w:hint="default" w:ascii="Times New Roman" w:hAnsi="Times New Roman" w:eastAsia="宋体" w:cs="Times New Roman"/>
                <w:color w:val="000000" w:themeColor="text1"/>
                <w:sz w:val="21"/>
                <w:szCs w:val="21"/>
                <w:u w:val="single"/>
                <w14:textFill>
                  <w14:solidFill>
                    <w14:schemeClr w14:val="tx1"/>
                  </w14:solidFill>
                </w14:textFill>
              </w:rPr>
              <w:t>（回用于常压装置的常压炉使用）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3</w:t>
            </w: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458" w:type="pct"/>
            <w:vMerge w:val="restart"/>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eastAsia="zh-CN"/>
                <w14:textFill>
                  <w14:solidFill>
                    <w14:schemeClr w14:val="tx1"/>
                  </w14:solidFill>
                </w14:textFill>
              </w:rPr>
              <w:t>废气</w:t>
            </w:r>
          </w:p>
        </w:tc>
        <w:tc>
          <w:tcPr>
            <w:tcW w:w="746" w:type="pct"/>
            <w:gridSpan w:val="2"/>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eastAsia="宋体" w:cs="Times New Roman"/>
                <w:color w:val="000000" w:themeColor="text1"/>
                <w:sz w:val="21"/>
                <w:szCs w:val="21"/>
                <w:u w:val="single"/>
                <w:lang w:eastAsia="zh-CN"/>
                <w14:textFill>
                  <w14:solidFill>
                    <w14:schemeClr w14:val="tx1"/>
                  </w14:solidFill>
                </w14:textFill>
              </w:rPr>
              <w:t>不凝气</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104.5763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4</w:t>
            </w: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458" w:type="pct"/>
            <w:vMerge w:val="continue"/>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p>
        </w:tc>
        <w:tc>
          <w:tcPr>
            <w:tcW w:w="339" w:type="pct"/>
            <w:vMerge w:val="restart"/>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其他无组织损耗</w:t>
            </w:r>
          </w:p>
        </w:tc>
        <w:tc>
          <w:tcPr>
            <w:tcW w:w="407" w:type="pct"/>
            <w:tcBorders>
              <w:left w:val="single" w:color="auto"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H</w:t>
            </w:r>
            <w:r>
              <w:rPr>
                <w:rFonts w:hint="default" w:ascii="Times New Roman" w:hAnsi="Times New Roman" w:eastAsia="宋体" w:cs="Times New Roman"/>
                <w:color w:val="000000" w:themeColor="text1"/>
                <w:sz w:val="21"/>
                <w:szCs w:val="21"/>
                <w:u w:val="singl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u w:val="single"/>
                <w14:textFill>
                  <w14:solidFill>
                    <w14:schemeClr w14:val="tx1"/>
                  </w14:solidFill>
                </w14:textFill>
              </w:rPr>
              <w:t>S</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0.000</w:t>
            </w:r>
            <w:r>
              <w:rPr>
                <w:rFonts w:hint="eastAsia" w:eastAsia="宋体" w:cs="Times New Roman"/>
                <w:color w:val="000000" w:themeColor="text1"/>
                <w:sz w:val="21"/>
                <w:szCs w:val="21"/>
                <w:u w:val="single"/>
                <w:lang w:val="en-US" w:eastAsia="zh-CN"/>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5</w:t>
            </w: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458" w:type="pct"/>
            <w:vMerge w:val="continue"/>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p>
        </w:tc>
        <w:tc>
          <w:tcPr>
            <w:tcW w:w="339" w:type="pct"/>
            <w:vMerge w:val="continue"/>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407" w:type="pct"/>
            <w:tcBorders>
              <w:left w:val="single" w:color="auto"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NH</w:t>
            </w:r>
            <w:r>
              <w:rPr>
                <w:rFonts w:hint="default" w:ascii="Times New Roman" w:hAnsi="Times New Roman" w:eastAsia="宋体" w:cs="Times New Roman"/>
                <w:color w:val="000000" w:themeColor="text1"/>
                <w:sz w:val="21"/>
                <w:szCs w:val="21"/>
                <w:u w:val="single"/>
                <w:vertAlign w:val="subscript"/>
                <w14:textFill>
                  <w14:solidFill>
                    <w14:schemeClr w14:val="tx1"/>
                  </w14:solidFill>
                </w14:textFill>
              </w:rPr>
              <w:t>3</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Style w:val="45"/>
                <w:rFonts w:hint="eastAsia" w:eastAsia="宋体" w:cs="Times New Roman"/>
                <w:color w:val="000000" w:themeColor="text1"/>
                <w:kern w:val="2"/>
                <w:u w:val="single"/>
                <w:lang w:val="en-US" w:eastAsia="zh-CN"/>
                <w14:textFill>
                  <w14:solidFill>
                    <w14:schemeClr w14:val="tx1"/>
                  </w14:solidFill>
                </w14:textFill>
              </w:rPr>
              <w:t>0.00077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6</w:t>
            </w: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458" w:type="pct"/>
            <w:vMerge w:val="continue"/>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p>
        </w:tc>
        <w:tc>
          <w:tcPr>
            <w:tcW w:w="339" w:type="pct"/>
            <w:vMerge w:val="continue"/>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407" w:type="pct"/>
            <w:tcBorders>
              <w:left w:val="single" w:color="auto"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VOCs</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0.271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7</w:t>
            </w: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w:t>
            </w:r>
          </w:p>
        </w:tc>
        <w:tc>
          <w:tcPr>
            <w:tcW w:w="458" w:type="pct"/>
            <w:tcBorders>
              <w:righ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eastAsia="宋体" w:cs="Times New Roman"/>
                <w:color w:val="000000" w:themeColor="text1"/>
                <w:sz w:val="21"/>
                <w:szCs w:val="21"/>
                <w:u w:val="single"/>
                <w:lang w:eastAsia="zh-CN"/>
                <w14:textFill>
                  <w14:solidFill>
                    <w14:schemeClr w14:val="tx1"/>
                  </w14:solidFill>
                </w14:textFill>
              </w:rPr>
              <w:t>废水</w:t>
            </w:r>
          </w:p>
        </w:tc>
        <w:tc>
          <w:tcPr>
            <w:tcW w:w="746" w:type="pct"/>
            <w:gridSpan w:val="2"/>
            <w:tcBorders>
              <w:left w:val="single" w:color="000000" w:sz="4" w:space="0"/>
            </w:tcBorders>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进入废水</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0.1937（石油类）</w:t>
            </w:r>
            <w:r>
              <w:rPr>
                <w:rFonts w:hint="eastAsia" w:eastAsia="宋体" w:cs="Times New Roman"/>
                <w:color w:val="000000" w:themeColor="text1"/>
                <w:sz w:val="21"/>
                <w:szCs w:val="21"/>
                <w:u w:val="single"/>
                <w:lang w:val="en-US" w:eastAsia="zh-CN"/>
                <w14:textFill>
                  <w14:solidFill>
                    <w14:schemeClr w14:val="tx1"/>
                  </w14:solidFill>
                </w14:textFill>
              </w:rPr>
              <w:t>，0.002（硫化物）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98"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u w:val="single"/>
                <w:lang w:eastAsia="zh-CN"/>
                <w14:textFill>
                  <w14:solidFill>
                    <w14:schemeClr w14:val="tx1"/>
                  </w14:solidFill>
                </w14:textFill>
              </w:rPr>
            </w:pPr>
            <w:r>
              <w:rPr>
                <w:rFonts w:hint="eastAsia" w:eastAsia="宋体" w:cs="Times New Roman"/>
                <w:color w:val="000000" w:themeColor="text1"/>
                <w:sz w:val="21"/>
                <w:szCs w:val="21"/>
                <w:u w:val="single"/>
                <w:lang w:val="en-US" w:eastAsia="zh-CN"/>
                <w14:textFill>
                  <w14:solidFill>
                    <w14:schemeClr w14:val="tx1"/>
                  </w14:solidFill>
                </w14:textFill>
              </w:rPr>
              <w:t>8</w:t>
            </w:r>
          </w:p>
        </w:tc>
        <w:tc>
          <w:tcPr>
            <w:tcW w:w="1133"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合计</w:t>
            </w:r>
          </w:p>
        </w:tc>
        <w:tc>
          <w:tcPr>
            <w:tcW w:w="8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80320</w:t>
            </w:r>
          </w:p>
        </w:tc>
        <w:tc>
          <w:tcPr>
            <w:tcW w:w="1204" w:type="pct"/>
            <w:gridSpan w:val="3"/>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合计</w:t>
            </w:r>
          </w:p>
        </w:tc>
        <w:tc>
          <w:tcPr>
            <w:tcW w:w="1181" w:type="pct"/>
            <w:noWrap w:val="0"/>
            <w:vAlign w:val="center"/>
          </w:tcPr>
          <w:p>
            <w:pPr>
              <w:pStyle w:val="8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80320</w:t>
            </w:r>
          </w:p>
        </w:tc>
      </w:tr>
    </w:tbl>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object>
          <v:shape id="_x0000_i1032" o:spt="75" type="#_x0000_t75" style="height:183.45pt;width:447.3pt;" o:ole="t" filled="f" o:preferrelative="t" stroked="f" coordsize="21600,21600">
            <v:path/>
            <v:fill on="f" focussize="0,0"/>
            <v:stroke on="f"/>
            <v:imagedata r:id="rId33" cropleft="6461f" croptop="13193f" cropright="11379f" cropbottom="5888f" o:title=""/>
            <o:lock v:ext="edit" aspectratio="f"/>
            <w10:wrap type="none"/>
            <w10:anchorlock/>
          </v:shape>
          <o:OLEObject Type="Embed" ProgID="Visio.Drawing.11" ShapeID="_x0000_i1032" DrawAspect="Content" ObjectID="_1468075732" r:id="rId32">
            <o:LockedField>false</o:LockedField>
          </o:OLEObject>
        </w:objec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u w:val="single"/>
          <w:lang w:val="en-US" w:eastAsia="zh-CN"/>
          <w14:textFill>
            <w14:solidFill>
              <w14:schemeClr w14:val="tx1"/>
            </w14:solidFill>
          </w14:textFill>
        </w:rPr>
      </w:pPr>
      <w:r>
        <w:rPr>
          <w:rFonts w:hint="eastAsia"/>
          <w:color w:val="000000" w:themeColor="text1"/>
          <w:u w:val="single"/>
          <w:lang w:eastAsia="zh-CN"/>
          <w14:textFill>
            <w14:solidFill>
              <w14:schemeClr w14:val="tx1"/>
            </w14:solidFill>
          </w14:textFill>
        </w:rPr>
        <w:t>图</w:t>
      </w:r>
      <w:r>
        <w:rPr>
          <w:rFonts w:hint="eastAsia"/>
          <w:color w:val="000000" w:themeColor="text1"/>
          <w:u w:val="single"/>
          <w:lang w:val="en-US" w:eastAsia="zh-CN"/>
          <w14:textFill>
            <w14:solidFill>
              <w14:schemeClr w14:val="tx1"/>
            </w14:solidFill>
          </w14:textFill>
        </w:rPr>
        <w:t>5.2-1  本项目物料平衡图（单位：t/a）</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粗白油精制装置</w:t>
      </w:r>
      <w:r>
        <w:rPr>
          <w:rFonts w:hint="eastAsia"/>
          <w:color w:val="000000" w:themeColor="text1"/>
          <w:lang w:eastAsia="zh-CN"/>
          <w14:textFill>
            <w14:solidFill>
              <w14:schemeClr w14:val="tx1"/>
            </w14:solidFill>
          </w14:textFill>
        </w:rPr>
        <w:t>硫平衡表（单位：</w:t>
      </w:r>
      <w:r>
        <w:rPr>
          <w:rFonts w:hint="eastAsia"/>
          <w:color w:val="000000" w:themeColor="text1"/>
          <w:lang w:val="en-US" w:eastAsia="zh-CN"/>
          <w14:textFill>
            <w14:solidFill>
              <w14:schemeClr w14:val="tx1"/>
            </w14:solidFill>
          </w14:textFill>
        </w:rPr>
        <w:t>t/a</w:t>
      </w:r>
      <w:r>
        <w:rPr>
          <w:rFonts w:hint="eastAsia"/>
          <w:color w:val="000000" w:themeColor="text1"/>
          <w:lang w:eastAsia="zh-CN"/>
          <w14:textFill>
            <w14:solidFill>
              <w14:schemeClr w14:val="tx1"/>
            </w14:solidFill>
          </w14:textFill>
        </w:rPr>
        <w:t>）</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149"/>
        <w:gridCol w:w="1146"/>
        <w:gridCol w:w="1146"/>
        <w:gridCol w:w="1147"/>
        <w:gridCol w:w="1214"/>
        <w:gridCol w:w="1147"/>
        <w:gridCol w:w="11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0" w:type="dxa"/>
            <w:gridSpan w:val="4"/>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进入</w:t>
            </w:r>
          </w:p>
        </w:tc>
        <w:tc>
          <w:tcPr>
            <w:tcW w:w="4622" w:type="dxa"/>
            <w:gridSpan w:val="4"/>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带走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vMerge w:val="restart"/>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项目</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进料量</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硫含量</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带走硫量</w:t>
            </w:r>
          </w:p>
        </w:tc>
        <w:tc>
          <w:tcPr>
            <w:tcW w:w="1155" w:type="dxa"/>
            <w:vMerge w:val="restart"/>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项目</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出料量</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硫含量</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带走硫量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vMerge w:val="continue"/>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t/a</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ppm</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t/a</w:t>
            </w:r>
          </w:p>
        </w:tc>
        <w:tc>
          <w:tcPr>
            <w:tcW w:w="1155" w:type="dxa"/>
            <w:vMerge w:val="continue"/>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t/a</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ppm</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溶剂油</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40000</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56</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2.24</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200#溶剂油</w:t>
            </w:r>
          </w:p>
        </w:tc>
        <w:tc>
          <w:tcPr>
            <w:tcW w:w="1155" w:type="dxa"/>
            <w:tcBorders>
              <w:tl2br w:val="nil"/>
              <w:tr2bl w:val="nil"/>
            </w:tcBorders>
            <w:noWrap w:val="0"/>
            <w:vAlign w:val="center"/>
          </w:tcPr>
          <w:p>
            <w:pPr>
              <w:pStyle w:val="8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24000</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10</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航煤组分油</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40000</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56</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2.24</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3#粗白油</w:t>
            </w:r>
          </w:p>
        </w:tc>
        <w:tc>
          <w:tcPr>
            <w:tcW w:w="1155" w:type="dxa"/>
            <w:tcBorders>
              <w:tl2br w:val="nil"/>
              <w:tr2bl w:val="nil"/>
            </w:tcBorders>
            <w:noWrap w:val="0"/>
            <w:vAlign w:val="center"/>
          </w:tcPr>
          <w:p>
            <w:pPr>
              <w:pStyle w:val="8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56020</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10</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干气</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eastAsia" w:cs="Times New Roman"/>
                <w:b w:val="0"/>
                <w:bCs/>
                <w:color w:val="000000" w:themeColor="text1"/>
                <w:sz w:val="21"/>
                <w:szCs w:val="21"/>
                <w:u w:val="single"/>
                <w:vertAlign w:val="baseline"/>
                <w:lang w:val="en-US" w:eastAsia="zh-CN"/>
                <w14:textFill>
                  <w14:solidFill>
                    <w14:schemeClr w14:val="tx1"/>
                  </w14:solidFill>
                </w14:textFill>
              </w:rPr>
              <w:t>194.955443</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20</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进入废气</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3.89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进入废水</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5" w:type="dxa"/>
            <w:gridSpan w:val="3"/>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合计</w:t>
            </w:r>
          </w:p>
        </w:tc>
        <w:tc>
          <w:tcPr>
            <w:tcW w:w="1155"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4.48</w:t>
            </w:r>
          </w:p>
        </w:tc>
        <w:tc>
          <w:tcPr>
            <w:tcW w:w="3466" w:type="dxa"/>
            <w:gridSpan w:val="3"/>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合计</w:t>
            </w:r>
          </w:p>
        </w:tc>
        <w:tc>
          <w:tcPr>
            <w:tcW w:w="1156"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4.48</w:t>
            </w:r>
          </w:p>
        </w:tc>
      </w:tr>
    </w:tbl>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本项目加氢工序产污环节如下表所示。</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 xml:space="preserve"> 产污环节一览表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740"/>
        <w:gridCol w:w="1848"/>
        <w:gridCol w:w="1650"/>
        <w:gridCol w:w="2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类型</w:t>
            </w: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污染源</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产污环节</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主要污染物</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废气</w:t>
            </w:r>
          </w:p>
        </w:tc>
        <w:tc>
          <w:tcPr>
            <w:tcW w:w="1481" w:type="pct"/>
            <w:noWrap w:val="0"/>
            <w:vAlign w:val="center"/>
          </w:tcPr>
          <w:p>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G1 装置、储罐管道跑漏废气</w:t>
            </w:r>
          </w:p>
        </w:tc>
        <w:tc>
          <w:tcPr>
            <w:tcW w:w="999" w:type="pct"/>
            <w:noWrap w:val="0"/>
            <w:vAlign w:val="center"/>
          </w:tcPr>
          <w:p>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装置及物料输送管道</w:t>
            </w:r>
          </w:p>
        </w:tc>
        <w:tc>
          <w:tcPr>
            <w:tcW w:w="892" w:type="pct"/>
            <w:noWrap w:val="0"/>
            <w:vAlign w:val="center"/>
          </w:tcPr>
          <w:p>
            <w:pPr>
              <w:pStyle w:val="1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VOC</w:t>
            </w:r>
            <w:r>
              <w:rPr>
                <w:rFonts w:hint="default" w:ascii="Times New Roman" w:hAnsi="Times New Roman" w:eastAsia="宋体" w:cs="Times New Roman"/>
                <w:color w:val="000000" w:themeColor="text1"/>
                <w:kern w:val="2"/>
                <w:sz w:val="21"/>
                <w:szCs w:val="21"/>
                <w:vertAlign w:val="subscript"/>
                <w14:textFill>
                  <w14:solidFill>
                    <w14:schemeClr w14:val="tx1"/>
                  </w14:solidFill>
                </w14:textFill>
              </w:rPr>
              <w:t>S</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氮封，集气系统涵盖每个产气点，并增加系统的密封性保证足够的处理能力，定期检测</w:t>
            </w:r>
            <w:r>
              <w:rPr>
                <w:rFonts w:hint="default" w:ascii="Times New Roman" w:hAnsi="Times New Roman" w:cs="Times New Roman"/>
                <w:b w:val="0"/>
                <w:color w:val="000000" w:themeColor="text1"/>
                <w:sz w:val="21"/>
                <w14:textFill>
                  <w14:solidFill>
                    <w14:schemeClr w14:val="tx1"/>
                  </w14:solidFill>
                </w14:textFill>
              </w:rPr>
              <w:t>定期维护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G2不凝气</w:t>
            </w:r>
          </w:p>
        </w:tc>
        <w:tc>
          <w:tcPr>
            <w:tcW w:w="999" w:type="pct"/>
            <w:tcBorders>
              <w:bottom w:val="single" w:color="auto" w:sz="4"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油汽冷凝过程未冷凝下来的不凝气</w:t>
            </w:r>
          </w:p>
        </w:tc>
        <w:tc>
          <w:tcPr>
            <w:tcW w:w="892" w:type="pct"/>
            <w:tcBorders>
              <w:bottom w:val="single" w:color="auto" w:sz="4" w:space="0"/>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VOC</w:t>
            </w:r>
            <w:r>
              <w:rPr>
                <w:rFonts w:hint="default" w:ascii="Times New Roman" w:hAnsi="Times New Roman" w:cs="Times New Roman"/>
                <w:b w:val="0"/>
                <w:bCs/>
                <w:color w:val="000000" w:themeColor="text1"/>
                <w:sz w:val="21"/>
                <w:szCs w:val="21"/>
                <w:vertAlign w:val="subscript"/>
                <w14:textFill>
                  <w14:solidFill>
                    <w14:schemeClr w14:val="tx1"/>
                  </w14:solidFill>
                </w14:textFill>
              </w:rPr>
              <w:t>S</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通过管道进入公司的火炬进行燃烧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废水</w:t>
            </w: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W1地面冲洗废水</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装置定期检修后地面冲洗</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COD</w:t>
            </w:r>
            <w:r>
              <w:rPr>
                <w:rFonts w:hint="default" w:ascii="Times New Roman" w:hAnsi="Times New Roman" w:cs="Times New Roman"/>
                <w:b w:val="0"/>
                <w:color w:val="000000" w:themeColor="text1"/>
                <w:sz w:val="21"/>
                <w:szCs w:val="21"/>
                <w:vertAlign w:val="subscript"/>
                <w14:textFill>
                  <w14:solidFill>
                    <w14:schemeClr w14:val="tx1"/>
                  </w14:solidFill>
                </w14:textFill>
              </w:rPr>
              <w:t>cr</w:t>
            </w:r>
            <w:r>
              <w:rPr>
                <w:rFonts w:hint="default" w:ascii="Times New Roman" w:hAnsi="Times New Roman" w:cs="Times New Roman"/>
                <w:b w:val="0"/>
                <w:color w:val="000000" w:themeColor="text1"/>
                <w:sz w:val="21"/>
                <w:szCs w:val="21"/>
                <w14:textFill>
                  <w14:solidFill>
                    <w14:schemeClr w14:val="tx1"/>
                  </w14:solidFill>
                </w14:textFill>
              </w:rPr>
              <w:t>、BOD</w:t>
            </w:r>
            <w:r>
              <w:rPr>
                <w:rFonts w:hint="default" w:ascii="Times New Roman" w:hAnsi="Times New Roman" w:cs="Times New Roman"/>
                <w:b w:val="0"/>
                <w:color w:val="000000" w:themeColor="text1"/>
                <w:sz w:val="21"/>
                <w:szCs w:val="21"/>
                <w:vertAlign w:val="subscript"/>
                <w14:textFill>
                  <w14:solidFill>
                    <w14:schemeClr w14:val="tx1"/>
                  </w14:solidFill>
                </w14:textFill>
              </w:rPr>
              <w:t>5</w:t>
            </w:r>
            <w:r>
              <w:rPr>
                <w:rFonts w:hint="default" w:ascii="Times New Roman" w:hAnsi="Times New Roman" w:cs="Times New Roman"/>
                <w:b w:val="0"/>
                <w:color w:val="000000" w:themeColor="text1"/>
                <w:sz w:val="21"/>
                <w:szCs w:val="21"/>
                <w14:textFill>
                  <w14:solidFill>
                    <w14:schemeClr w14:val="tx1"/>
                  </w14:solidFill>
                </w14:textFill>
              </w:rPr>
              <w:t>、石油类</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炼油部污水预处理装置隔油处理后，再送巴陵石化水务部云溪生化装置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17"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W2粗白油分馏塔顶回流罐产生的含硫污水</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分馏塔</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14:textFill>
                  <w14:solidFill>
                    <w14:schemeClr w14:val="tx1"/>
                  </w14:solidFill>
                </w14:textFill>
              </w:rPr>
              <w:t>COD、BOD</w:t>
            </w:r>
            <w:r>
              <w:rPr>
                <w:rFonts w:hint="default" w:ascii="Times New Roman" w:hAnsi="Times New Roman" w:cs="Times New Roman"/>
                <w:b w:val="0"/>
                <w:color w:val="000000" w:themeColor="text1"/>
                <w:sz w:val="21"/>
                <w:vertAlign w:val="subscript"/>
                <w14:textFill>
                  <w14:solidFill>
                    <w14:schemeClr w14:val="tx1"/>
                  </w14:solidFill>
                </w14:textFill>
              </w:rPr>
              <w:t>5</w:t>
            </w:r>
            <w:r>
              <w:rPr>
                <w:rFonts w:hint="default" w:ascii="Times New Roman" w:hAnsi="Times New Roman" w:cs="Times New Roman"/>
                <w:b w:val="0"/>
                <w:color w:val="000000" w:themeColor="text1"/>
                <w:sz w:val="21"/>
                <w14:textFill>
                  <w14:solidFill>
                    <w14:schemeClr w14:val="tx1"/>
                  </w14:solidFill>
                </w14:textFill>
              </w:rPr>
              <w:t>、石油类、氨氮、硫化物</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14:textFill>
                  <w14:solidFill>
                    <w14:schemeClr w14:val="tx1"/>
                  </w14:solidFill>
                </w14:textFill>
              </w:rPr>
              <w:t>送酸性水气提装置处理后部分回用常压装置，其余排入炼油部污水预处理装置处理后，再送巴陵石化水务部云溪生化装置处理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W3初期雨水</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COD、BOD</w:t>
            </w:r>
            <w:r>
              <w:rPr>
                <w:rFonts w:hint="default" w:ascii="Times New Roman" w:hAnsi="Times New Roman" w:cs="Times New Roman"/>
                <w:b w:val="0"/>
                <w:color w:val="000000" w:themeColor="text1"/>
                <w:sz w:val="21"/>
                <w:szCs w:val="21"/>
                <w:vertAlign w:val="subscript"/>
                <w14:textFill>
                  <w14:solidFill>
                    <w14:schemeClr w14:val="tx1"/>
                  </w14:solidFill>
                </w14:textFill>
              </w:rPr>
              <w:t>5</w:t>
            </w:r>
            <w:r>
              <w:rPr>
                <w:rFonts w:hint="default" w:ascii="Times New Roman" w:hAnsi="Times New Roman" w:cs="Times New Roman"/>
                <w:b w:val="0"/>
                <w:color w:val="000000" w:themeColor="text1"/>
                <w:sz w:val="21"/>
                <w:szCs w:val="21"/>
                <w14:textFill>
                  <w14:solidFill>
                    <w14:schemeClr w14:val="tx1"/>
                  </w14:solidFill>
                </w14:textFill>
              </w:rPr>
              <w:t>、石油类</w:t>
            </w:r>
            <w:r>
              <w:rPr>
                <w:rStyle w:val="45"/>
                <w:rFonts w:hint="default" w:ascii="Times New Roman" w:hAnsi="Times New Roman" w:cs="Times New Roman"/>
                <w:b w:val="0"/>
                <w:color w:val="000000" w:themeColor="text1"/>
                <w14:textFill>
                  <w14:solidFill>
                    <w14:schemeClr w14:val="tx1"/>
                  </w14:solidFill>
                </w14:textFill>
              </w:rPr>
              <w:t>、</w:t>
            </w:r>
            <w:r>
              <w:rPr>
                <w:rStyle w:val="45"/>
                <w:rFonts w:hint="default" w:ascii="Times New Roman" w:hAnsi="Times New Roman" w:cs="Times New Roman"/>
                <w:b w:val="0"/>
                <w:color w:val="000000" w:themeColor="text1"/>
                <w:lang w:val="en-US" w:eastAsia="zh-CN"/>
                <w14:textFill>
                  <w14:solidFill>
                    <w14:schemeClr w14:val="tx1"/>
                  </w14:solidFill>
                </w14:textFill>
              </w:rPr>
              <w:t>SS</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14:textFill>
                  <w14:solidFill>
                    <w14:schemeClr w14:val="tx1"/>
                  </w14:solidFill>
                </w14:textFill>
              </w:rPr>
              <w:t>炼油部污水预处理装置隔油处理后，再送巴陵石化水务部云溪生化装置处理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W4机泵冷却产生的含油污水</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机泵冷却</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COD、BOD</w:t>
            </w:r>
            <w:r>
              <w:rPr>
                <w:rFonts w:hint="default" w:ascii="Times New Roman" w:hAnsi="Times New Roman" w:cs="Times New Roman"/>
                <w:b w:val="0"/>
                <w:color w:val="000000" w:themeColor="text1"/>
                <w:sz w:val="21"/>
                <w:szCs w:val="21"/>
                <w:vertAlign w:val="subscript"/>
                <w14:textFill>
                  <w14:solidFill>
                    <w14:schemeClr w14:val="tx1"/>
                  </w14:solidFill>
                </w14:textFill>
              </w:rPr>
              <w:t>5</w:t>
            </w:r>
            <w:r>
              <w:rPr>
                <w:rFonts w:hint="default" w:ascii="Times New Roman" w:hAnsi="Times New Roman" w:cs="Times New Roman"/>
                <w:b w:val="0"/>
                <w:color w:val="000000" w:themeColor="text1"/>
                <w:sz w:val="21"/>
                <w:szCs w:val="21"/>
                <w14:textFill>
                  <w14:solidFill>
                    <w14:schemeClr w14:val="tx1"/>
                  </w14:solidFill>
                </w14:textFill>
              </w:rPr>
              <w:t>、石油类</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14:textFill>
                  <w14:solidFill>
                    <w14:schemeClr w14:val="tx1"/>
                  </w14:solidFill>
                </w14:textFill>
              </w:rPr>
              <w:t>炼油部污水预处理装置处理后，再送巴陵石化水务部云溪生化装置处理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噪声</w:t>
            </w: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N1设备噪声、泵、风机噪声</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各类设备、泵、风机运行过程</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环境噪声</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选低噪声设备、基础减振、距离衰减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restar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固废</w:t>
            </w: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S1废瓷球</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加氢反应</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废瓷球</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交有资质的单位统一处理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S2废催化剂</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加氢反应</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废催化剂</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交有资质的单位统一处理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7" w:type="pct"/>
            <w:vMerge w:val="continue"/>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p>
        </w:tc>
        <w:tc>
          <w:tcPr>
            <w:tcW w:w="1481"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S3废保护剂</w:t>
            </w:r>
          </w:p>
        </w:tc>
        <w:tc>
          <w:tcPr>
            <w:tcW w:w="999"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加氢反应</w:t>
            </w:r>
          </w:p>
        </w:tc>
        <w:tc>
          <w:tcPr>
            <w:tcW w:w="892"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废保护剂</w:t>
            </w:r>
          </w:p>
        </w:tc>
        <w:tc>
          <w:tcPr>
            <w:tcW w:w="1107" w:type="pct"/>
            <w:noWrap w:val="0"/>
            <w:vAlign w:val="center"/>
          </w:tcPr>
          <w:p>
            <w:pPr>
              <w:pStyle w:val="1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交有资质的单位统一处理</w:t>
            </w:r>
          </w:p>
        </w:tc>
      </w:tr>
    </w:tbl>
    <w:p>
      <w:pPr>
        <w:rPr>
          <w:color w:val="000000" w:themeColor="text1"/>
          <w14:textFill>
            <w14:solidFill>
              <w14:schemeClr w14:val="tx1"/>
            </w14:solidFill>
          </w14:textFill>
        </w:rPr>
      </w:pPr>
    </w:p>
    <w:p>
      <w:pPr>
        <w:pStyle w:val="4"/>
        <w:rPr>
          <w:color w:val="000000" w:themeColor="text1"/>
          <w14:textFill>
            <w14:solidFill>
              <w14:schemeClr w14:val="tx1"/>
            </w14:solidFill>
          </w14:textFill>
        </w:rPr>
      </w:pPr>
      <w:bookmarkStart w:id="149" w:name="_Toc3384"/>
      <w:r>
        <w:rPr>
          <w:color w:val="000000" w:themeColor="text1"/>
          <w14:textFill>
            <w14:solidFill>
              <w14:schemeClr w14:val="tx1"/>
            </w14:solidFill>
          </w14:textFill>
        </w:rPr>
        <w:t>污染源分析</w:t>
      </w:r>
      <w:bookmarkEnd w:id="149"/>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施工期污染源分析</w:t>
      </w:r>
    </w:p>
    <w:p>
      <w:pPr>
        <w:pStyle w:val="6"/>
        <w:rPr>
          <w:color w:val="000000" w:themeColor="text1"/>
          <w14:textFill>
            <w14:solidFill>
              <w14:schemeClr w14:val="tx1"/>
            </w14:solidFill>
          </w14:textFill>
        </w:rPr>
      </w:pPr>
      <w:r>
        <w:rPr>
          <w:color w:val="000000" w:themeColor="text1"/>
          <w14:textFill>
            <w14:solidFill>
              <w14:schemeClr w14:val="tx1"/>
            </w14:solidFill>
          </w14:textFill>
        </w:rPr>
        <w:t>施工期废气污染源分析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施工期废气污染物主要有施工扬尘、运输车辆及其他燃油动力设备运行产生燃烧尾气。</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扬尘主要有施工道路扬尘、施工场地扬尘和施工堆场扬尘，扬尘量与施工场地的尘土粒径、干燥程度、动力条件有关。施工期间的粉尘污染主要决定于施工作业方式、材料的堆场及风力等因素，其中受风力因素的影响最大。在一般气象条件下，平均风速为2.5m/s，建筑工地内TSP浓度为其上风向对照点的2~5倍，建筑施工扬尘的影响范围在下风向可达150m，影响范围内的TSP浓度平均值可达0.49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当设置有屏障施工围栏时，同等条件下其影响距离可缩短40%。当风速大于5m/s，施工现场及其下风向部分区域的TSP浓度将超过环境空气质量标准的二级标准，而且随着风速增大，施工扬尘产生的污染程度和超标范围也将随之增强和扩大。</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运输车和燃油动力机械产生燃烧尾气，施工期机械尾气的排放主要是流动污染源。尾气中的污染物主要是NOx、CO和THC；机械尾气的排放与机械性能和燃料质量关系很大。使用机械性能良好和燃用合格油品的机械排放尾气能够达到规定排放标准。</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罐体、管线安装时要经过除锈、喷漆作业，油漆中的溶剂主要有：二甲苯、丁醇、乙酸丁酯和乙醇，属于低毒类物质。喷漆过程中会产生废气，这种含有有害物质的废气会对局部作业环境产生影响，需要加以控制。</w:t>
      </w:r>
    </w:p>
    <w:p>
      <w:pPr>
        <w:pStyle w:val="6"/>
        <w:rPr>
          <w:color w:val="000000" w:themeColor="text1"/>
          <w14:textFill>
            <w14:solidFill>
              <w14:schemeClr w14:val="tx1"/>
            </w14:solidFill>
          </w14:textFill>
        </w:rPr>
      </w:pPr>
      <w:r>
        <w:rPr>
          <w:color w:val="000000" w:themeColor="text1"/>
          <w14:textFill>
            <w14:solidFill>
              <w14:schemeClr w14:val="tx1"/>
            </w14:solidFill>
          </w14:textFill>
        </w:rPr>
        <w:t>施工期废水污染源分析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期排放的废水主要有施工废水、施工人员产生的生活污水和试压废水。施工期产生的施工废水有：地表开挖、主体工程施工产生的泥浆水；各种施工机械设备产生的带有油污的冷却和洗涤用水；施工现场清洗废水；罐体、管道及设备试压废水。由于施工活动内容不同，所排废水中的污染物不同。泥浆水、清洗废水、试压废水中的污染物主要是悬浮物；机械设备产生的废水中的主要污染物是石油类。</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施工期生活污水包括洗涤废水和冲厕水。项目施工人员按25人计算，按照人均用水量约为150L，按80%的排放率，人均日排水量约120L，项目施工期产生的生活污水量为3m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/d。参考同类工程生活污水的排放浓度，生活污水中主要污染物COD为300mg/L，氨氮为50mg/L。对施工期的生活废水必须进行收集后处理。可以依托巴陵石化分公司现有的污水处理站。</w:t>
      </w:r>
    </w:p>
    <w:p>
      <w:pPr>
        <w:pStyle w:val="6"/>
        <w:rPr>
          <w:color w:val="000000" w:themeColor="text1"/>
          <w14:textFill>
            <w14:solidFill>
              <w14:schemeClr w14:val="tx1"/>
            </w14:solidFill>
          </w14:textFill>
        </w:rPr>
      </w:pPr>
      <w:r>
        <w:rPr>
          <w:color w:val="000000" w:themeColor="text1"/>
          <w14:textFill>
            <w14:solidFill>
              <w14:schemeClr w14:val="tx1"/>
            </w14:solidFill>
          </w14:textFill>
        </w:rPr>
        <w:t>施工期噪声污染源分析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项目施工过程产生的噪声主要来自施工机械和运输车辆，施工机械和运输车辆的单体声级一般都在80dB(A)以上，施工机械和运输车辆的噪声将影响施工场地周围区域声环境质量。</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（1）施工机械噪声</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施工设备中噪声级较高的机械设备有推土机、挖掘机、装载机、搅拌机、振捣棒、吊车等，其噪声级详见下表所示。</w:t>
      </w:r>
    </w:p>
    <w:p>
      <w:pPr>
        <w:keepNext/>
        <w:ind w:firstLine="482" w:firstLineChars="200"/>
        <w:jc w:val="center"/>
        <w:rPr>
          <w:b/>
          <w:color w:val="000000" w:themeColor="text1"/>
          <w14:textFill>
            <w14:solidFill>
              <w14:schemeClr w14:val="tx1"/>
            </w14:solidFill>
          </w14:textFill>
        </w:rPr>
      </w:pPr>
      <w:bookmarkStart w:id="150" w:name="_Ref52217601"/>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bookmarkEnd w:id="150"/>
      <w:r>
        <w:rPr>
          <w:b/>
          <w:color w:val="000000" w:themeColor="text1"/>
          <w14:textFill>
            <w14:solidFill>
              <w14:schemeClr w14:val="tx1"/>
            </w14:solidFill>
          </w14:textFill>
        </w:rPr>
        <w:t xml:space="preserve">  施工机械噪声级   单位：dB（A）</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83"/>
        <w:gridCol w:w="1946"/>
        <w:gridCol w:w="973"/>
        <w:gridCol w:w="1751"/>
        <w:gridCol w:w="1946"/>
        <w:gridCol w:w="10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66" w:type="pct"/>
            <w:noWrap w:val="0"/>
            <w:vAlign w:val="top"/>
          </w:tcPr>
          <w:p>
            <w:pPr>
              <w:pStyle w:val="112"/>
              <w:keepNext w:val="0"/>
              <w:keepLines w:val="0"/>
              <w:suppressLineNumbers w:val="0"/>
              <w:spacing w:before="4" w:beforeAutospacing="0" w:after="0" w:afterAutospacing="0" w:line="249" w:lineRule="exact"/>
              <w:ind w:left="216" w:right="0"/>
              <w:jc w:val="left"/>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施工阶段</w:t>
            </w:r>
          </w:p>
        </w:tc>
        <w:tc>
          <w:tcPr>
            <w:tcW w:w="1078" w:type="pct"/>
            <w:noWrap w:val="0"/>
            <w:vAlign w:val="top"/>
          </w:tcPr>
          <w:p>
            <w:pPr>
              <w:pStyle w:val="112"/>
              <w:keepNext w:val="0"/>
              <w:keepLines w:val="0"/>
              <w:suppressLineNumbers w:val="0"/>
              <w:spacing w:before="4" w:beforeAutospacing="0" w:after="0" w:afterAutospacing="0" w:line="249" w:lineRule="exact"/>
              <w:ind w:left="361" w:right="331"/>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施工设备</w:t>
            </w:r>
          </w:p>
        </w:tc>
        <w:tc>
          <w:tcPr>
            <w:tcW w:w="539" w:type="pct"/>
            <w:noWrap w:val="0"/>
            <w:vAlign w:val="top"/>
          </w:tcPr>
          <w:p>
            <w:pPr>
              <w:pStyle w:val="112"/>
              <w:keepNext w:val="0"/>
              <w:keepLines w:val="0"/>
              <w:suppressLineNumbers w:val="0"/>
              <w:spacing w:before="4" w:beforeAutospacing="0" w:after="0" w:afterAutospacing="0" w:line="249" w:lineRule="exact"/>
              <w:ind w:left="228" w:right="195"/>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声级</w:t>
            </w:r>
          </w:p>
        </w:tc>
        <w:tc>
          <w:tcPr>
            <w:tcW w:w="970" w:type="pct"/>
            <w:noWrap w:val="0"/>
            <w:vAlign w:val="top"/>
          </w:tcPr>
          <w:p>
            <w:pPr>
              <w:pStyle w:val="112"/>
              <w:keepNext w:val="0"/>
              <w:keepLines w:val="0"/>
              <w:suppressLineNumbers w:val="0"/>
              <w:spacing w:before="4" w:beforeAutospacing="0" w:after="0" w:afterAutospacing="0" w:line="249" w:lineRule="exact"/>
              <w:ind w:left="395" w:right="0"/>
              <w:jc w:val="left"/>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施工阶段</w:t>
            </w:r>
          </w:p>
        </w:tc>
        <w:tc>
          <w:tcPr>
            <w:tcW w:w="1078" w:type="pct"/>
            <w:noWrap w:val="0"/>
            <w:vAlign w:val="top"/>
          </w:tcPr>
          <w:p>
            <w:pPr>
              <w:pStyle w:val="112"/>
              <w:keepNext w:val="0"/>
              <w:keepLines w:val="0"/>
              <w:suppressLineNumbers w:val="0"/>
              <w:spacing w:before="4" w:beforeAutospacing="0" w:after="0" w:afterAutospacing="0" w:line="249" w:lineRule="exact"/>
              <w:ind w:left="361" w:right="334"/>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施工设备</w:t>
            </w:r>
          </w:p>
        </w:tc>
        <w:tc>
          <w:tcPr>
            <w:tcW w:w="570" w:type="pct"/>
            <w:noWrap w:val="0"/>
            <w:vAlign w:val="top"/>
          </w:tcPr>
          <w:p>
            <w:pPr>
              <w:pStyle w:val="112"/>
              <w:keepNext w:val="0"/>
              <w:keepLines w:val="0"/>
              <w:suppressLineNumbers w:val="0"/>
              <w:spacing w:before="4" w:beforeAutospacing="0" w:after="0" w:afterAutospacing="0" w:line="249" w:lineRule="exact"/>
              <w:ind w:left="250" w:right="216"/>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声级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1" w:hRule="atLeast"/>
        </w:trPr>
        <w:tc>
          <w:tcPr>
            <w:tcW w:w="766" w:type="pct"/>
            <w:vMerge w:val="restart"/>
            <w:noWrap w:val="0"/>
            <w:vAlign w:val="top"/>
          </w:tcPr>
          <w:p>
            <w:pPr>
              <w:pStyle w:val="112"/>
              <w:keepNext w:val="0"/>
              <w:keepLines w:val="0"/>
              <w:suppressLineNumbers w:val="0"/>
              <w:spacing w:before="5" w:beforeAutospacing="0" w:after="0" w:afterAutospacing="0"/>
              <w:ind w:left="0" w:right="0"/>
              <w:jc w:val="left"/>
              <w:rPr>
                <w:rFonts w:hint="default" w:ascii="Times New Roman" w:hAnsi="Times New Roman" w:cs="Times New Roman"/>
                <w:b/>
                <w:bCs/>
                <w:color w:val="000000" w:themeColor="text1"/>
                <w:sz w:val="26"/>
                <w:szCs w:val="26"/>
                <w14:textFill>
                  <w14:solidFill>
                    <w14:schemeClr w14:val="tx1"/>
                  </w14:solidFill>
                </w14:textFill>
              </w:rPr>
            </w:pPr>
          </w:p>
          <w:p>
            <w:pPr>
              <w:pStyle w:val="112"/>
              <w:keepNext w:val="0"/>
              <w:keepLines w:val="0"/>
              <w:suppressLineNumbers w:val="0"/>
              <w:spacing w:before="0" w:beforeAutospacing="0" w:after="0" w:afterAutospacing="0"/>
              <w:ind w:left="22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土方阶段</w:t>
            </w:r>
          </w:p>
        </w:tc>
        <w:tc>
          <w:tcPr>
            <w:tcW w:w="1078" w:type="pct"/>
            <w:noWrap w:val="0"/>
            <w:vAlign w:val="top"/>
          </w:tcPr>
          <w:p>
            <w:pPr>
              <w:pStyle w:val="112"/>
              <w:keepNext w:val="0"/>
              <w:keepLines w:val="0"/>
              <w:suppressLineNumbers w:val="0"/>
              <w:spacing w:before="0" w:beforeAutospacing="0" w:after="0" w:afterAutospacing="0" w:line="241" w:lineRule="exact"/>
              <w:ind w:left="361" w:right="3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推土机</w:t>
            </w:r>
          </w:p>
        </w:tc>
        <w:tc>
          <w:tcPr>
            <w:tcW w:w="539" w:type="pct"/>
            <w:noWrap w:val="0"/>
            <w:vAlign w:val="top"/>
          </w:tcPr>
          <w:p>
            <w:pPr>
              <w:pStyle w:val="112"/>
              <w:keepNext w:val="0"/>
              <w:keepLines w:val="0"/>
              <w:suppressLineNumbers w:val="0"/>
              <w:spacing w:before="6" w:beforeAutospacing="0" w:after="0" w:afterAutospacing="0" w:line="235" w:lineRule="exact"/>
              <w:ind w:left="228" w:right="19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86</w:t>
            </w:r>
          </w:p>
        </w:tc>
        <w:tc>
          <w:tcPr>
            <w:tcW w:w="970" w:type="pct"/>
            <w:vMerge w:val="restart"/>
            <w:noWrap w:val="0"/>
            <w:vAlign w:val="top"/>
          </w:tcPr>
          <w:p>
            <w:pPr>
              <w:pStyle w:val="112"/>
              <w:keepNext w:val="0"/>
              <w:keepLines w:val="0"/>
              <w:suppressLineNumbers w:val="0"/>
              <w:spacing w:before="5" w:beforeAutospacing="0" w:after="0" w:afterAutospacing="0"/>
              <w:ind w:left="0" w:right="0"/>
              <w:jc w:val="left"/>
              <w:rPr>
                <w:rFonts w:hint="default" w:ascii="Times New Roman" w:hAnsi="Times New Roman" w:cs="Times New Roman"/>
                <w:b/>
                <w:bCs/>
                <w:color w:val="000000" w:themeColor="text1"/>
                <w:sz w:val="26"/>
                <w:szCs w:val="26"/>
                <w14:textFill>
                  <w14:solidFill>
                    <w14:schemeClr w14:val="tx1"/>
                  </w14:solidFill>
                </w14:textFill>
              </w:rPr>
            </w:pPr>
          </w:p>
          <w:p>
            <w:pPr>
              <w:pStyle w:val="112"/>
              <w:keepNext w:val="0"/>
              <w:keepLines w:val="0"/>
              <w:suppressLineNumbers w:val="0"/>
              <w:spacing w:before="0" w:beforeAutospacing="0" w:after="0" w:afterAutospacing="0"/>
              <w:ind w:left="395"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结构阶段</w:t>
            </w:r>
          </w:p>
        </w:tc>
        <w:tc>
          <w:tcPr>
            <w:tcW w:w="1078" w:type="pct"/>
            <w:noWrap w:val="0"/>
            <w:vAlign w:val="top"/>
          </w:tcPr>
          <w:p>
            <w:pPr>
              <w:pStyle w:val="112"/>
              <w:keepNext w:val="0"/>
              <w:keepLines w:val="0"/>
              <w:suppressLineNumbers w:val="0"/>
              <w:spacing w:before="0" w:beforeAutospacing="0" w:after="0" w:afterAutospacing="0" w:line="241" w:lineRule="exact"/>
              <w:ind w:left="361" w:right="33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振捣机</w:t>
            </w:r>
          </w:p>
        </w:tc>
        <w:tc>
          <w:tcPr>
            <w:tcW w:w="570" w:type="pct"/>
            <w:noWrap w:val="0"/>
            <w:vAlign w:val="top"/>
          </w:tcPr>
          <w:p>
            <w:pPr>
              <w:pStyle w:val="112"/>
              <w:keepNext w:val="0"/>
              <w:keepLines w:val="0"/>
              <w:suppressLineNumbers w:val="0"/>
              <w:spacing w:before="6" w:beforeAutospacing="0" w:after="0" w:afterAutospacing="0" w:line="235" w:lineRule="exact"/>
              <w:ind w:left="250" w:right="2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66" w:type="pct"/>
            <w:vMerge w:val="continue"/>
            <w:noWrap w:val="0"/>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1078" w:type="pct"/>
            <w:noWrap w:val="0"/>
            <w:vAlign w:val="top"/>
          </w:tcPr>
          <w:p>
            <w:pPr>
              <w:pStyle w:val="112"/>
              <w:keepNext w:val="0"/>
              <w:keepLines w:val="0"/>
              <w:suppressLineNumbers w:val="0"/>
              <w:spacing w:before="13" w:beforeAutospacing="0" w:after="0" w:afterAutospacing="0" w:line="241" w:lineRule="exact"/>
              <w:ind w:left="361" w:right="32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挖掘机</w:t>
            </w:r>
          </w:p>
        </w:tc>
        <w:tc>
          <w:tcPr>
            <w:tcW w:w="539" w:type="pct"/>
            <w:noWrap w:val="0"/>
            <w:vAlign w:val="top"/>
          </w:tcPr>
          <w:p>
            <w:pPr>
              <w:pStyle w:val="112"/>
              <w:keepNext w:val="0"/>
              <w:keepLines w:val="0"/>
              <w:suppressLineNumbers w:val="0"/>
              <w:spacing w:before="19" w:beforeAutospacing="0" w:after="0" w:afterAutospacing="0" w:line="235" w:lineRule="exact"/>
              <w:ind w:left="228" w:right="19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w:t>
            </w:r>
          </w:p>
        </w:tc>
        <w:tc>
          <w:tcPr>
            <w:tcW w:w="970" w:type="pct"/>
            <w:vMerge w:val="continue"/>
            <w:noWrap w:val="0"/>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1078" w:type="pct"/>
            <w:noWrap w:val="0"/>
            <w:vAlign w:val="top"/>
          </w:tcPr>
          <w:p>
            <w:pPr>
              <w:pStyle w:val="112"/>
              <w:keepNext w:val="0"/>
              <w:keepLines w:val="0"/>
              <w:suppressLineNumbers w:val="0"/>
              <w:spacing w:before="13" w:beforeAutospacing="0" w:after="0" w:afterAutospacing="0" w:line="241" w:lineRule="exact"/>
              <w:ind w:left="361" w:right="33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移动式吊车</w:t>
            </w:r>
          </w:p>
        </w:tc>
        <w:tc>
          <w:tcPr>
            <w:tcW w:w="570" w:type="pct"/>
            <w:noWrap w:val="0"/>
            <w:vAlign w:val="top"/>
          </w:tcPr>
          <w:p>
            <w:pPr>
              <w:pStyle w:val="112"/>
              <w:keepNext w:val="0"/>
              <w:keepLines w:val="0"/>
              <w:suppressLineNumbers w:val="0"/>
              <w:spacing w:before="19" w:beforeAutospacing="0" w:after="0" w:afterAutospacing="0" w:line="235" w:lineRule="exact"/>
              <w:ind w:left="250" w:right="2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66" w:type="pct"/>
            <w:vMerge w:val="continue"/>
            <w:noWrap w:val="0"/>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1078" w:type="pct"/>
            <w:noWrap w:val="0"/>
            <w:vAlign w:val="top"/>
          </w:tcPr>
          <w:p>
            <w:pPr>
              <w:pStyle w:val="112"/>
              <w:keepNext w:val="0"/>
              <w:keepLines w:val="0"/>
              <w:suppressLineNumbers w:val="0"/>
              <w:spacing w:before="13" w:beforeAutospacing="0" w:after="0" w:afterAutospacing="0" w:line="249" w:lineRule="exact"/>
              <w:ind w:left="361" w:right="331"/>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卡车</w:t>
            </w:r>
          </w:p>
        </w:tc>
        <w:tc>
          <w:tcPr>
            <w:tcW w:w="539" w:type="pct"/>
            <w:noWrap w:val="0"/>
            <w:vAlign w:val="top"/>
          </w:tcPr>
          <w:p>
            <w:pPr>
              <w:pStyle w:val="112"/>
              <w:keepNext w:val="0"/>
              <w:keepLines w:val="0"/>
              <w:suppressLineNumbers w:val="0"/>
              <w:spacing w:before="15" w:beforeAutospacing="0" w:after="0" w:afterAutospacing="0"/>
              <w:ind w:left="228" w:right="19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92</w:t>
            </w:r>
          </w:p>
        </w:tc>
        <w:tc>
          <w:tcPr>
            <w:tcW w:w="970" w:type="pct"/>
            <w:vMerge w:val="continue"/>
            <w:noWrap w:val="0"/>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1078" w:type="pct"/>
            <w:noWrap w:val="0"/>
            <w:vAlign w:val="top"/>
          </w:tcPr>
          <w:p>
            <w:pPr>
              <w:pStyle w:val="112"/>
              <w:keepNext w:val="0"/>
              <w:keepLines w:val="0"/>
              <w:suppressLineNumbers w:val="0"/>
              <w:spacing w:before="13" w:beforeAutospacing="0" w:after="0" w:afterAutospacing="0" w:line="249" w:lineRule="exact"/>
              <w:ind w:left="361" w:right="33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空压机</w:t>
            </w:r>
          </w:p>
        </w:tc>
        <w:tc>
          <w:tcPr>
            <w:tcW w:w="570" w:type="pct"/>
            <w:noWrap w:val="0"/>
            <w:vAlign w:val="top"/>
          </w:tcPr>
          <w:p>
            <w:pPr>
              <w:pStyle w:val="112"/>
              <w:keepNext w:val="0"/>
              <w:keepLines w:val="0"/>
              <w:suppressLineNumbers w:val="0"/>
              <w:spacing w:before="15" w:beforeAutospacing="0" w:after="0" w:afterAutospacing="0"/>
              <w:ind w:left="250" w:right="2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w:t>
            </w:r>
          </w:p>
        </w:tc>
      </w:tr>
    </w:tbl>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（2）运输车辆噪声</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施工过程需要运输员材料，物料运输车流量增加，施工过程中使用的大型货运卡车，其噪声级高达95dB（A），施工过程交通运输车辆噪声源强见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_Ref54041597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表</w:t>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STYLEREF</w:instrText>
      </w:r>
      <w:r>
        <w:rPr>
          <w:rFonts w:hint="default" w:ascii="Times New Roman" w:hAnsi="Times New Roman" w:cs="Times New Roman"/>
          <w:color w:val="000000" w:themeColor="text1"/>
          <w14:textFill>
            <w14:solidFill>
              <w14:schemeClr w14:val="tx1"/>
            </w14:solidFill>
          </w14:textFill>
        </w:rPr>
        <w:instrText xml:space="preserve">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pPr>
        <w:spacing w:before="23" w:after="21"/>
        <w:ind w:right="16"/>
        <w:jc w:val="center"/>
        <w:rPr>
          <w:b/>
          <w:bCs/>
          <w:color w:val="000000" w:themeColor="text1"/>
          <w:szCs w:val="24"/>
          <w14:textFill>
            <w14:solidFill>
              <w14:schemeClr w14:val="tx1"/>
            </w14:solidFill>
          </w14:textFill>
        </w:rPr>
      </w:pPr>
      <w:bookmarkStart w:id="151" w:name="_Ref54041597"/>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5</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3</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bookmarkEnd w:id="151"/>
      <w:r>
        <w:rPr>
          <w:b/>
          <w:color w:val="000000" w:themeColor="text1"/>
          <w:szCs w:val="24"/>
          <w14:textFill>
            <w14:solidFill>
              <w14:schemeClr w14:val="tx1"/>
            </w14:solidFill>
          </w14:textFill>
        </w:rPr>
        <w:t xml:space="preserve">  </w:t>
      </w:r>
      <w:r>
        <w:rPr>
          <w:b/>
          <w:bCs/>
          <w:color w:val="000000" w:themeColor="text1"/>
          <w:szCs w:val="24"/>
          <w14:textFill>
            <w14:solidFill>
              <w14:schemeClr w14:val="tx1"/>
            </w14:solidFill>
          </w14:textFill>
        </w:rPr>
        <w:t>施工期运</w:t>
      </w:r>
      <w:r>
        <w:rPr>
          <w:b/>
          <w:bCs/>
          <w:color w:val="000000" w:themeColor="text1"/>
          <w:spacing w:val="-5"/>
          <w:szCs w:val="24"/>
          <w14:textFill>
            <w14:solidFill>
              <w14:schemeClr w14:val="tx1"/>
            </w14:solidFill>
          </w14:textFill>
        </w:rPr>
        <w:t>输</w:t>
      </w:r>
      <w:r>
        <w:rPr>
          <w:b/>
          <w:bCs/>
          <w:color w:val="000000" w:themeColor="text1"/>
          <w:szCs w:val="24"/>
          <w14:textFill>
            <w14:solidFill>
              <w14:schemeClr w14:val="tx1"/>
            </w14:solidFill>
          </w14:textFill>
        </w:rPr>
        <w:t>车辆噪</w:t>
      </w:r>
      <w:r>
        <w:rPr>
          <w:b/>
          <w:bCs/>
          <w:color w:val="000000" w:themeColor="text1"/>
          <w:spacing w:val="-5"/>
          <w:szCs w:val="24"/>
          <w14:textFill>
            <w14:solidFill>
              <w14:schemeClr w14:val="tx1"/>
            </w14:solidFill>
          </w14:textFill>
        </w:rPr>
        <w:t>声</w:t>
      </w:r>
      <w:r>
        <w:rPr>
          <w:b/>
          <w:bCs/>
          <w:color w:val="000000" w:themeColor="text1"/>
          <w:szCs w:val="24"/>
          <w14:textFill>
            <w14:solidFill>
              <w14:schemeClr w14:val="tx1"/>
            </w14:solidFill>
          </w14:textFill>
        </w:rPr>
        <w:t>级</w:t>
      </w:r>
      <w:r>
        <w:rPr>
          <w:b/>
          <w:bCs/>
          <w:color w:val="000000" w:themeColor="text1"/>
          <w:szCs w:val="24"/>
          <w14:textFill>
            <w14:solidFill>
              <w14:schemeClr w14:val="tx1"/>
            </w14:solidFill>
          </w14:textFill>
        </w:rPr>
        <w:tab/>
      </w:r>
      <w:r>
        <w:rPr>
          <w:b/>
          <w:bCs/>
          <w:color w:val="000000" w:themeColor="text1"/>
          <w:szCs w:val="24"/>
          <w14:textFill>
            <w14:solidFill>
              <w14:schemeClr w14:val="tx1"/>
            </w14:solidFill>
          </w14:textFill>
        </w:rPr>
        <w:t>单位：dB(A)</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08"/>
        <w:gridCol w:w="2172"/>
        <w:gridCol w:w="2789"/>
        <w:gridCol w:w="26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80" w:type="pct"/>
            <w:noWrap w:val="0"/>
            <w:vAlign w:val="top"/>
          </w:tcPr>
          <w:p>
            <w:pPr>
              <w:pStyle w:val="112"/>
              <w:keepNext w:val="0"/>
              <w:keepLines w:val="0"/>
              <w:suppressLineNumbers w:val="0"/>
              <w:spacing w:before="4" w:beforeAutospacing="0" w:after="0" w:afterAutospacing="0" w:line="249" w:lineRule="exact"/>
              <w:ind w:left="152" w:right="129"/>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声源</w:t>
            </w:r>
          </w:p>
        </w:tc>
        <w:tc>
          <w:tcPr>
            <w:tcW w:w="1203" w:type="pct"/>
            <w:noWrap w:val="0"/>
            <w:vAlign w:val="top"/>
          </w:tcPr>
          <w:p>
            <w:pPr>
              <w:pStyle w:val="112"/>
              <w:keepNext w:val="0"/>
              <w:keepLines w:val="0"/>
              <w:suppressLineNumbers w:val="0"/>
              <w:spacing w:before="4" w:beforeAutospacing="0" w:after="0" w:afterAutospacing="0" w:line="249" w:lineRule="exact"/>
              <w:ind w:left="466" w:right="436"/>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大型载重车</w:t>
            </w:r>
          </w:p>
        </w:tc>
        <w:tc>
          <w:tcPr>
            <w:tcW w:w="1545" w:type="pct"/>
            <w:noWrap w:val="0"/>
            <w:vAlign w:val="top"/>
          </w:tcPr>
          <w:p>
            <w:pPr>
              <w:pStyle w:val="112"/>
              <w:keepNext w:val="0"/>
              <w:keepLines w:val="0"/>
              <w:suppressLineNumbers w:val="0"/>
              <w:spacing w:before="4" w:beforeAutospacing="0" w:after="0" w:afterAutospacing="0" w:line="249" w:lineRule="exact"/>
              <w:ind w:left="332" w:right="30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混凝土罐车、载重车</w:t>
            </w:r>
          </w:p>
        </w:tc>
        <w:tc>
          <w:tcPr>
            <w:tcW w:w="1472" w:type="pct"/>
            <w:noWrap w:val="0"/>
            <w:vAlign w:val="top"/>
          </w:tcPr>
          <w:p>
            <w:pPr>
              <w:pStyle w:val="112"/>
              <w:keepNext w:val="0"/>
              <w:keepLines w:val="0"/>
              <w:suppressLineNumbers w:val="0"/>
              <w:spacing w:before="4" w:beforeAutospacing="0" w:after="0" w:afterAutospacing="0" w:line="249" w:lineRule="exact"/>
              <w:ind w:left="588" w:right="547"/>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轻型载重卡车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80" w:type="pct"/>
            <w:noWrap w:val="0"/>
            <w:vAlign w:val="top"/>
          </w:tcPr>
          <w:p>
            <w:pPr>
              <w:pStyle w:val="112"/>
              <w:keepNext w:val="0"/>
              <w:keepLines w:val="0"/>
              <w:suppressLineNumbers w:val="0"/>
              <w:spacing w:before="1" w:beforeAutospacing="0" w:after="0" w:afterAutospacing="0" w:line="249" w:lineRule="exact"/>
              <w:ind w:left="155" w:right="129"/>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声级dB(A)</w:t>
            </w:r>
          </w:p>
        </w:tc>
        <w:tc>
          <w:tcPr>
            <w:tcW w:w="1203" w:type="pct"/>
            <w:noWrap w:val="0"/>
            <w:vAlign w:val="top"/>
          </w:tcPr>
          <w:p>
            <w:pPr>
              <w:pStyle w:val="112"/>
              <w:keepNext w:val="0"/>
              <w:keepLines w:val="0"/>
              <w:suppressLineNumbers w:val="0"/>
              <w:spacing w:before="7" w:beforeAutospacing="0" w:after="0" w:afterAutospacing="0"/>
              <w:ind w:left="466" w:right="43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95</w:t>
            </w:r>
          </w:p>
        </w:tc>
        <w:tc>
          <w:tcPr>
            <w:tcW w:w="1545" w:type="pct"/>
            <w:noWrap w:val="0"/>
            <w:vAlign w:val="top"/>
          </w:tcPr>
          <w:p>
            <w:pPr>
              <w:pStyle w:val="112"/>
              <w:keepNext w:val="0"/>
              <w:keepLines w:val="0"/>
              <w:suppressLineNumbers w:val="0"/>
              <w:spacing w:before="1" w:beforeAutospacing="0" w:after="0" w:afterAutospacing="0" w:line="249" w:lineRule="exact"/>
              <w:ind w:left="332" w:right="298"/>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80～85</w:t>
            </w:r>
          </w:p>
        </w:tc>
        <w:tc>
          <w:tcPr>
            <w:tcW w:w="1472" w:type="pct"/>
            <w:noWrap w:val="0"/>
            <w:vAlign w:val="top"/>
          </w:tcPr>
          <w:p>
            <w:pPr>
              <w:pStyle w:val="112"/>
              <w:keepNext w:val="0"/>
              <w:keepLines w:val="0"/>
              <w:suppressLineNumbers w:val="0"/>
              <w:spacing w:before="7" w:beforeAutospacing="0" w:after="0" w:afterAutospacing="0"/>
              <w:ind w:left="585" w:right="54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w:t>
            </w: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施工期固废污染源分析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本项目施工期固体废物主要为施工时所产生的建筑垃圾和施工人员产生的生活垃圾。</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（1）建筑垃圾</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建筑垃圾主要包括厂房建设、装修及设备安装中产生的废砖块、混凝土块、钢筋头、废包装材料等，产生系数为20~50kg/m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，本项目取30kg/m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，项目建筑面积为340m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，则建筑垃圾产生量为10.2t，项目在施工过程中应对该类固体废物进行分类收集，分别处理。</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（2）生活垃圾</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人员在施工现场施工会产生生活垃圾，本项目施工场地位于巴陵石化厂内，在施工现场不设施工营地和食堂，可大大减少生活垃圾的排放。施工使用的所有垃圾收集箱等卫生设施全部依托厂区现有，纳入巴陵石化分公司环卫收运系统，进行集中收集处理。</w:t>
      </w:r>
    </w:p>
    <w:p>
      <w:pPr>
        <w:pStyle w:val="5"/>
        <w:rPr>
          <w:color w:val="000000" w:themeColor="text1"/>
          <w14:textFill>
            <w14:solidFill>
              <w14:schemeClr w14:val="tx1"/>
            </w14:solidFill>
          </w14:textFill>
        </w:rPr>
      </w:pPr>
      <w:r>
        <w:rPr>
          <w:color w:val="000000" w:themeColor="text1"/>
          <w14:textFill>
            <w14:solidFill>
              <w14:schemeClr w14:val="tx1"/>
            </w14:solidFill>
          </w14:textFill>
        </w:rPr>
        <w:t>营运期污染源分析</w:t>
      </w:r>
    </w:p>
    <w:p>
      <w:pPr>
        <w:pStyle w:val="6"/>
        <w:rPr>
          <w:color w:val="000000" w:themeColor="text1"/>
          <w14:textFill>
            <w14:solidFill>
              <w14:schemeClr w14:val="tx1"/>
            </w14:solidFill>
          </w14:textFill>
        </w:rPr>
      </w:pPr>
      <w:r>
        <w:rPr>
          <w:color w:val="000000" w:themeColor="text1"/>
          <w14:textFill>
            <w14:solidFill>
              <w14:schemeClr w14:val="tx1"/>
            </w14:solidFill>
          </w14:textFill>
        </w:rPr>
        <w:t>营运期废气污染源分析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项目装置主要废气包括：油汽冷凝过程未冷凝下来的不凝气，进入火炬系统燃烧，不直接外排。装置管道和法兰等设备与管线组件动静密封点因跑冒滴漏产生的无组织排放的VOCs。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（1）不凝气</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根据建设单位提供资料及项目可研：本项目设施不凝气（VOCs）产生量为35kg/h，97.44t/a，</w:t>
      </w:r>
      <w:r>
        <w:rPr>
          <w:rFonts w:hint="eastAsia" w:cs="Times New Roman"/>
          <w:color w:val="000000" w:themeColor="text1"/>
          <w:lang w:eastAsia="zh-CN"/>
          <w14:textFill>
            <w14:solidFill>
              <w14:schemeClr w14:val="tx1"/>
            </w14:solidFill>
          </w14:textFill>
        </w:rPr>
        <w:t>不凝气中含H</w:t>
      </w:r>
      <w:r>
        <w:rPr>
          <w:rFonts w:hint="eastAsia" w:cs="Times New Roman"/>
          <w:color w:val="000000" w:themeColor="text1"/>
          <w:vertAlign w:val="sub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S的量为</w:t>
      </w:r>
      <w:r>
        <w:rPr>
          <w:rFonts w:hint="eastAsia" w:cs="Times New Roman"/>
          <w:color w:val="000000" w:themeColor="text1"/>
          <w:lang w:val="en-US" w:eastAsia="zh-CN"/>
          <w14:textFill>
            <w14:solidFill>
              <w14:schemeClr w14:val="tx1"/>
            </w14:solidFill>
          </w14:textFill>
        </w:rPr>
        <w:t>4.1373t/a，</w:t>
      </w:r>
      <w:r>
        <w:rPr>
          <w:rFonts w:hint="eastAsia" w:cs="Times New Roman"/>
          <w:color w:val="000000" w:themeColor="text1"/>
          <w:lang w:eastAsia="zh-CN"/>
          <w14:textFill>
            <w14:solidFill>
              <w14:schemeClr w14:val="tx1"/>
            </w14:solidFill>
          </w14:textFill>
        </w:rPr>
        <w:t>不凝气中含</w:t>
      </w:r>
      <w:r>
        <w:rPr>
          <w:rFonts w:hint="eastAsia" w:cs="Times New Roman"/>
          <w:color w:val="000000" w:themeColor="text1"/>
          <w:lang w:val="en-US" w:eastAsia="zh-CN"/>
          <w14:textFill>
            <w14:solidFill>
              <w14:schemeClr w14:val="tx1"/>
            </w14:solidFill>
          </w14:textFill>
        </w:rPr>
        <w:t>NH</w:t>
      </w:r>
      <w:r>
        <w:rPr>
          <w:rFonts w:hint="eastAsia" w:cs="Times New Roman"/>
          <w:color w:val="000000" w:themeColor="text1"/>
          <w:vertAlign w:val="subscript"/>
          <w:lang w:val="en-US" w:eastAsia="zh-CN"/>
          <w14:textFill>
            <w14:solidFill>
              <w14:schemeClr w14:val="tx1"/>
            </w14:solidFill>
          </w14:textFill>
        </w:rPr>
        <w:t>3</w:t>
      </w:r>
      <w:r>
        <w:rPr>
          <w:rFonts w:hint="eastAsia" w:cs="Times New Roman"/>
          <w:color w:val="000000" w:themeColor="text1"/>
          <w:lang w:eastAsia="zh-CN"/>
          <w14:textFill>
            <w14:solidFill>
              <w14:schemeClr w14:val="tx1"/>
            </w14:solidFill>
          </w14:textFill>
        </w:rPr>
        <w:t>的量为</w:t>
      </w:r>
      <w:r>
        <w:rPr>
          <w:rFonts w:hint="eastAsia" w:cs="Times New Roman"/>
          <w:color w:val="000000" w:themeColor="text1"/>
          <w:lang w:val="en-US" w:eastAsia="zh-CN"/>
          <w14:textFill>
            <w14:solidFill>
              <w14:schemeClr w14:val="tx1"/>
            </w14:solidFill>
          </w14:textFill>
        </w:rPr>
        <w:t>2.999t/a，</w:t>
      </w:r>
      <w:r>
        <w:rPr>
          <w:rFonts w:hint="default" w:ascii="Times New Roman" w:hAnsi="Times New Roman" w:cs="Times New Roman"/>
          <w:color w:val="000000" w:themeColor="text1"/>
          <w14:textFill>
            <w14:solidFill>
              <w14:schemeClr w14:val="tx1"/>
            </w14:solidFill>
          </w14:textFill>
        </w:rPr>
        <w:t>产生的不凝气通过管道进入公司火炬系统</w:t>
      </w:r>
      <w:r>
        <w:rPr>
          <w:rFonts w:hint="default" w:ascii="Times New Roman" w:hAnsi="Times New Roman" w:cs="Times New Roman"/>
          <w:color w:val="000000" w:themeColor="text1"/>
          <w:lang w:val="en-US" w:eastAsia="zh-CN"/>
          <w14:textFill>
            <w14:solidFill>
              <w14:schemeClr w14:val="tx1"/>
            </w14:solidFill>
          </w14:textFill>
        </w:rPr>
        <w:t>管网送气柜回收轻烃，回收不完时引入火炬焚烧</w:t>
      </w:r>
      <w:r>
        <w:rPr>
          <w:rFonts w:hint="default" w:ascii="Times New Roman" w:hAnsi="Times New Roman" w:cs="Times New Roman"/>
          <w:color w:val="000000" w:themeColor="text1"/>
          <w14:textFill>
            <w14:solidFill>
              <w14:schemeClr w14:val="tx1"/>
            </w14:solidFill>
          </w14:textFill>
        </w:rPr>
        <w:t>。</w:t>
      </w:r>
    </w:p>
    <w:p>
      <w:pPr>
        <w:spacing w:line="360" w:lineRule="auto"/>
        <w:ind w:firstLine="360" w:firstLineChars="1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（2）无组织废气</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生产、储存过程中产生的无组织废气主要为装置区与中间罐区的泵、法兰等设备与管线组件动静密封点因跑冒滴漏产生的无组织排放，根据《排污许可证申请与核发技术规范-石化工业》（HJ853-2017）中相关规定，该无组织废气产生量计算方法如下：</w:t>
      </w:r>
    </w:p>
    <w:p>
      <w:pPr>
        <w:jc w:val="center"/>
        <w:rPr>
          <w:color w:val="000000" w:themeColor="text1"/>
          <w14:textFill>
            <w14:solidFill>
              <w14:schemeClr w14:val="tx1"/>
            </w14:solidFill>
          </w14:textFill>
        </w:rPr>
      </w:pPr>
      <w:r>
        <w:rPr>
          <w:color w:val="000000" w:themeColor="text1"/>
          <w:position w:val="-28"/>
          <w14:textFill>
            <w14:solidFill>
              <w14:schemeClr w14:val="tx1"/>
            </w14:solidFill>
          </w14:textFill>
        </w:rPr>
        <w:object>
          <v:shape id="_x0000_i1033" o:spt="75" type="#_x0000_t75" style="height:54.15pt;width:263.2pt;" o:ole="t" filled="f" o:preferrelative="t" stroked="f" coordsize="21600,21600">
            <v:path/>
            <v:fill on="f" focussize="0,0"/>
            <v:stroke on="f"/>
            <v:imagedata r:id="rId35" o:title=""/>
            <o:lock v:ext="edit" aspectratio="t"/>
            <w10:wrap type="none"/>
            <w10:anchorlock/>
          </v:shape>
          <o:OLEObject Type="Embed" ProgID="Equation.KSEE3" ShapeID="_x0000_i1033" DrawAspect="Content" ObjectID="_1468075733" r:id="rId34">
            <o:LockedField>false</o:LockedField>
          </o:OLEObject>
        </w:object>
      </w:r>
    </w:p>
    <w:p>
      <w:pPr>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式子：</w:t>
      </w:r>
    </w:p>
    <w:p>
      <w:pPr>
        <w:spacing w:line="360" w:lineRule="auto"/>
        <w:ind w:firstLine="1080" w:firstLineChars="4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E</w:t>
      </w:r>
      <w:r>
        <w:rPr>
          <w:rFonts w:hint="default" w:ascii="Times New Roman" w:hAnsi="Times New Roman" w:cs="Times New Roman"/>
          <w:color w:val="000000" w:themeColor="text1"/>
          <w:vertAlign w:val="subscript"/>
          <w14:textFill>
            <w14:solidFill>
              <w14:schemeClr w14:val="tx1"/>
            </w14:solidFill>
          </w14:textFill>
        </w:rPr>
        <w:t>设备</w:t>
      </w:r>
      <w:r>
        <w:rPr>
          <w:rFonts w:hint="default" w:ascii="Times New Roman" w:hAnsi="Times New Roman" w:cs="Times New Roman"/>
          <w:color w:val="000000" w:themeColor="text1"/>
          <w14:textFill>
            <w14:solidFill>
              <w14:schemeClr w14:val="tx1"/>
            </w14:solidFill>
          </w14:textFill>
        </w:rPr>
        <w:t>—设备及管线组件密封点泄漏的挥发性有机物年许可排放量，kg/a，</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t</w:t>
      </w:r>
      <w:r>
        <w:rPr>
          <w:rFonts w:hint="default" w:ascii="Times New Roman" w:hAnsi="Times New Roman" w:cs="Times New Roman"/>
          <w:color w:val="000000" w:themeColor="text1"/>
          <w:vertAlign w:val="subscript"/>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t>—密封点i的年运行时间，h/a；</w:t>
      </w:r>
    </w:p>
    <w:p>
      <w:pPr>
        <w:pStyle w:val="20"/>
        <w:spacing w:after="0"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e</w:t>
      </w:r>
      <w:r>
        <w:rPr>
          <w:rFonts w:hint="default" w:ascii="Times New Roman" w:hAnsi="Times New Roman" w:cs="Times New Roman"/>
          <w:color w:val="000000" w:themeColor="text1"/>
          <w:vertAlign w:val="subscript"/>
          <w14:textFill>
            <w14:solidFill>
              <w14:schemeClr w14:val="tx1"/>
            </w14:solidFill>
          </w14:textFill>
        </w:rPr>
        <w:t>TOC,i</w:t>
      </w:r>
      <w:r>
        <w:rPr>
          <w:rFonts w:hint="default" w:ascii="Times New Roman" w:hAnsi="Times New Roman" w:cs="Times New Roman"/>
          <w:color w:val="000000" w:themeColor="text1"/>
          <w14:textFill>
            <w14:solidFill>
              <w14:schemeClr w14:val="tx1"/>
            </w14:solidFill>
          </w14:textFill>
        </w:rPr>
        <w:t>—密封点i的总有机碳（TVOC）排放速率，kg/h；</w:t>
      </w:r>
    </w:p>
    <w:p>
      <w:pPr>
        <w:spacing w:line="360" w:lineRule="auto"/>
        <w:ind w:firstLine="1080" w:firstLineChars="4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WF</w:t>
      </w:r>
      <w:r>
        <w:rPr>
          <w:rFonts w:hint="default" w:ascii="Times New Roman" w:hAnsi="Times New Roman" w:cs="Times New Roman"/>
          <w:color w:val="000000" w:themeColor="text1"/>
          <w:vertAlign w:val="subscript"/>
          <w14:textFill>
            <w14:solidFill>
              <w14:schemeClr w14:val="tx1"/>
            </w14:solidFill>
          </w14:textFill>
        </w:rPr>
        <w:t>VOCS,i</w:t>
      </w:r>
      <w:r>
        <w:rPr>
          <w:rFonts w:hint="default" w:ascii="Times New Roman" w:hAnsi="Times New Roman" w:cs="Times New Roman"/>
          <w:color w:val="000000" w:themeColor="text1"/>
          <w14:textFill>
            <w14:solidFill>
              <w14:schemeClr w14:val="tx1"/>
            </w14:solidFill>
          </w14:textFill>
        </w:rPr>
        <w:t>—密封点i的物料中挥发性有机物平均质量分数，根据设计文件取值；</w:t>
      </w:r>
    </w:p>
    <w:p>
      <w:pPr>
        <w:pStyle w:val="20"/>
        <w:spacing w:after="0" w:line="360" w:lineRule="auto"/>
        <w:ind w:left="0" w:leftChars="0" w:firstLine="1080" w:firstLineChars="4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WF</w:t>
      </w:r>
      <w:r>
        <w:rPr>
          <w:rFonts w:hint="default" w:ascii="Times New Roman" w:hAnsi="Times New Roman" w:cs="Times New Roman"/>
          <w:color w:val="000000" w:themeColor="text1"/>
          <w:vertAlign w:val="subscript"/>
          <w14:textFill>
            <w14:solidFill>
              <w14:schemeClr w14:val="tx1"/>
            </w14:solidFill>
          </w14:textFill>
        </w:rPr>
        <w:t>TOCS,i</w:t>
      </w:r>
      <w:r>
        <w:rPr>
          <w:rFonts w:hint="default" w:ascii="Times New Roman" w:hAnsi="Times New Roman" w:cs="Times New Roman"/>
          <w:color w:val="000000" w:themeColor="text1"/>
          <w14:textFill>
            <w14:solidFill>
              <w14:schemeClr w14:val="tx1"/>
            </w14:solidFill>
          </w14:textFill>
        </w:rPr>
        <w:t>—密封点i的物料中总有机碳（TVOC）平均质量分数，根据设计文件取值；</w:t>
      </w:r>
    </w:p>
    <w:p>
      <w:pPr>
        <w:pStyle w:val="20"/>
        <w:spacing w:after="0" w:line="360" w:lineRule="auto"/>
        <w:ind w:left="0" w:leftChars="0" w:firstLine="1080" w:firstLineChars="4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n—挥发性有机物流经的设备与管线组件密封点数，见附件B中的表B.1。</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项目为石油化学项目，物料中挥发性有机物与总有机碳按照1：1的比例进行VOCs泄漏计算。</w:t>
      </w:r>
    </w:p>
    <w:p>
      <w:pPr>
        <w:ind w:firstLine="48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各装置设备动静密封点挥发性有机物排放量一览表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3777"/>
        <w:gridCol w:w="3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26" w:type="pct"/>
            <w:tcBorders>
              <w:top w:val="single" w:color="auto" w:sz="12"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类型</w:t>
            </w:r>
          </w:p>
        </w:tc>
        <w:tc>
          <w:tcPr>
            <w:tcW w:w="2043" w:type="pct"/>
            <w:tcBorders>
              <w:top w:val="single" w:color="auto" w:sz="12"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设备类型</w:t>
            </w:r>
          </w:p>
        </w:tc>
        <w:tc>
          <w:tcPr>
            <w:tcW w:w="2030" w:type="pct"/>
            <w:tcBorders>
              <w:top w:val="single" w:color="auto" w:sz="12" w:space="0"/>
              <w:left w:val="nil"/>
              <w:bottom w:val="single" w:color="auto" w:sz="4" w:space="0"/>
              <w:right w:val="nil"/>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排放速率e</w:t>
            </w:r>
            <w:r>
              <w:rPr>
                <w:rFonts w:hint="default" w:ascii="Times New Roman" w:hAnsi="Times New Roman" w:cs="Times New Roman"/>
                <w:color w:val="000000" w:themeColor="text1"/>
                <w:sz w:val="21"/>
                <w:vertAlign w:val="subscript"/>
                <w14:textFill>
                  <w14:solidFill>
                    <w14:schemeClr w14:val="tx1"/>
                  </w14:solidFill>
                </w14:textFill>
              </w:rPr>
              <w:t>TOC,i</w:t>
            </w:r>
            <w:r>
              <w:rPr>
                <w:rFonts w:hint="default" w:ascii="Times New Roman" w:hAnsi="Times New Roman" w:cs="Times New Roman"/>
                <w:color w:val="000000" w:themeColor="text1"/>
                <w:sz w:val="21"/>
                <w14:textFill>
                  <w14:solidFill>
                    <w14:schemeClr w14:val="tx1"/>
                  </w14:solidFill>
                </w14:textFill>
              </w:rPr>
              <w:t>/(kg/h排放源)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26" w:type="pct"/>
            <w:vMerge w:val="restart"/>
            <w:tcBorders>
              <w:top w:val="nil"/>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石油化学工业</w:t>
            </w:r>
          </w:p>
        </w:tc>
        <w:tc>
          <w:tcPr>
            <w:tcW w:w="2043" w:type="pct"/>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气体阀门</w:t>
            </w:r>
          </w:p>
        </w:tc>
        <w:tc>
          <w:tcPr>
            <w:tcW w:w="2030" w:type="pct"/>
            <w:tcBorders>
              <w:top w:val="single" w:color="auto" w:sz="4" w:space="0"/>
              <w:left w:val="nil"/>
              <w:bottom w:val="single" w:color="auto" w:sz="4" w:space="0"/>
              <w:right w:val="nil"/>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26" w:type="pct"/>
            <w:vMerge w:val="continue"/>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2043" w:type="pct"/>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开口阀或开口管线</w:t>
            </w:r>
          </w:p>
        </w:tc>
        <w:tc>
          <w:tcPr>
            <w:tcW w:w="2030" w:type="pct"/>
            <w:tcBorders>
              <w:top w:val="single" w:color="auto" w:sz="4" w:space="0"/>
              <w:left w:val="nil"/>
              <w:bottom w:val="single" w:color="auto" w:sz="4" w:space="0"/>
              <w:right w:val="nil"/>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26" w:type="pct"/>
            <w:vMerge w:val="continue"/>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2043" w:type="pct"/>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有机液体阀门</w:t>
            </w:r>
          </w:p>
        </w:tc>
        <w:tc>
          <w:tcPr>
            <w:tcW w:w="2030" w:type="pct"/>
            <w:tcBorders>
              <w:top w:val="single" w:color="auto" w:sz="4" w:space="0"/>
              <w:left w:val="nil"/>
              <w:bottom w:val="single" w:color="auto" w:sz="4" w:space="0"/>
              <w:right w:val="nil"/>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26" w:type="pct"/>
            <w:vMerge w:val="continue"/>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2043" w:type="pct"/>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法兰或连接件</w:t>
            </w:r>
          </w:p>
        </w:tc>
        <w:tc>
          <w:tcPr>
            <w:tcW w:w="2030" w:type="pct"/>
            <w:tcBorders>
              <w:top w:val="single" w:color="auto" w:sz="4" w:space="0"/>
              <w:left w:val="nil"/>
              <w:bottom w:val="single" w:color="auto" w:sz="4" w:space="0"/>
              <w:right w:val="nil"/>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26" w:type="pct"/>
            <w:vMerge w:val="continue"/>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2043" w:type="pct"/>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泵、压缩机、搅拌器、泄压设备</w:t>
            </w:r>
          </w:p>
        </w:tc>
        <w:tc>
          <w:tcPr>
            <w:tcW w:w="2030" w:type="pct"/>
            <w:tcBorders>
              <w:top w:val="single" w:color="auto" w:sz="4" w:space="0"/>
              <w:left w:val="nil"/>
              <w:bottom w:val="single" w:color="auto" w:sz="4" w:space="0"/>
              <w:right w:val="nil"/>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26" w:type="pct"/>
            <w:vMerge w:val="continue"/>
            <w:tcBorders>
              <w:top w:val="nil"/>
              <w:left w:val="nil"/>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2043" w:type="pct"/>
            <w:tcBorders>
              <w:top w:val="single" w:color="auto" w:sz="4" w:space="0"/>
              <w:left w:val="nil"/>
              <w:bottom w:val="single" w:color="auto" w:sz="12" w:space="0"/>
              <w:right w:val="single" w:color="auto" w:sz="4" w:space="0"/>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其他</w:t>
            </w:r>
          </w:p>
        </w:tc>
        <w:tc>
          <w:tcPr>
            <w:tcW w:w="2030" w:type="pct"/>
            <w:tcBorders>
              <w:top w:val="single" w:color="auto" w:sz="4" w:space="0"/>
              <w:left w:val="nil"/>
              <w:bottom w:val="single" w:color="auto" w:sz="12" w:space="0"/>
              <w:right w:val="nil"/>
            </w:tcBorders>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0.073</w:t>
            </w:r>
          </w:p>
        </w:tc>
      </w:tr>
    </w:tbl>
    <w:p>
      <w:pPr>
        <w:ind w:firstLine="480"/>
        <w:jc w:val="center"/>
        <w:rPr>
          <w:b/>
          <w:color w:val="000000" w:themeColor="text1"/>
          <w:u w:val="single"/>
          <w14:textFill>
            <w14:solidFill>
              <w14:schemeClr w14:val="tx1"/>
            </w14:solidFill>
          </w14:textFill>
        </w:rPr>
      </w:pPr>
      <w:r>
        <w:rPr>
          <w:b/>
          <w:color w:val="000000" w:themeColor="text1"/>
          <w:u w:val="single"/>
          <w14:textFill>
            <w14:solidFill>
              <w14:schemeClr w14:val="tx1"/>
            </w14:solidFill>
          </w14:textFill>
        </w:rPr>
        <w:t>表</w:t>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STYLEREF 2 \s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5</w:t>
      </w:r>
      <w:r>
        <w:rPr>
          <w:rFonts w:hint="eastAsia"/>
          <w:b/>
          <w:color w:val="000000" w:themeColor="text1"/>
          <w:u w:val="single"/>
          <w:lang w:val="en-US" w:eastAsia="zh-CN"/>
          <w14:textFill>
            <w14:solidFill>
              <w14:schemeClr w14:val="tx1"/>
            </w14:solidFill>
          </w14:textFill>
        </w:rPr>
        <w:t>.</w:t>
      </w:r>
      <w:r>
        <w:rPr>
          <w:b/>
          <w:color w:val="000000" w:themeColor="text1"/>
          <w:u w:val="single"/>
          <w14:textFill>
            <w14:solidFill>
              <w14:schemeClr w14:val="tx1"/>
            </w14:solidFill>
          </w14:textFill>
        </w:rPr>
        <w:t>3</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noBreakHyphen/>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SEQ 表 \* ARABIC \s 2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4</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t xml:space="preserve"> 装置区及中间罐区各类密封点废气（VOCs）产排情况一览表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822"/>
        <w:gridCol w:w="1320"/>
        <w:gridCol w:w="1320"/>
        <w:gridCol w:w="1320"/>
        <w:gridCol w:w="1322"/>
        <w:gridCol w:w="1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序号</w:t>
            </w:r>
          </w:p>
        </w:tc>
        <w:tc>
          <w:tcPr>
            <w:tcW w:w="98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类型</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排放速率kg/h</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密封点数量</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工作时间h/a</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排放量kg/h</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w:t>
            </w:r>
          </w:p>
        </w:tc>
        <w:tc>
          <w:tcPr>
            <w:tcW w:w="98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连接件</w:t>
            </w:r>
          </w:p>
        </w:tc>
        <w:tc>
          <w:tcPr>
            <w:tcW w:w="714" w:type="pct"/>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0.044</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80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7920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0.01</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2</w:t>
            </w:r>
          </w:p>
        </w:tc>
        <w:tc>
          <w:tcPr>
            <w:tcW w:w="98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开口阀或开口管线</w:t>
            </w:r>
          </w:p>
        </w:tc>
        <w:tc>
          <w:tcPr>
            <w:tcW w:w="714" w:type="pct"/>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0.03</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5</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7920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0.00045</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3</w:t>
            </w:r>
          </w:p>
        </w:tc>
        <w:tc>
          <w:tcPr>
            <w:tcW w:w="98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阀门</w:t>
            </w:r>
          </w:p>
        </w:tc>
        <w:tc>
          <w:tcPr>
            <w:tcW w:w="714" w:type="pct"/>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0.024</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92</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7920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0.007</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w:t>
            </w:r>
          </w:p>
        </w:tc>
        <w:tc>
          <w:tcPr>
            <w:tcW w:w="98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压缩机</w:t>
            </w:r>
          </w:p>
        </w:tc>
        <w:tc>
          <w:tcPr>
            <w:tcW w:w="714" w:type="pct"/>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0.14</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7920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0.0004</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5</w:t>
            </w:r>
          </w:p>
        </w:tc>
        <w:tc>
          <w:tcPr>
            <w:tcW w:w="98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泵</w:t>
            </w:r>
          </w:p>
        </w:tc>
        <w:tc>
          <w:tcPr>
            <w:tcW w:w="714" w:type="pct"/>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0.14</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8</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7920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0.0034</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6</w:t>
            </w:r>
          </w:p>
        </w:tc>
        <w:tc>
          <w:tcPr>
            <w:tcW w:w="98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法兰</w:t>
            </w:r>
          </w:p>
        </w:tc>
        <w:tc>
          <w:tcPr>
            <w:tcW w:w="714" w:type="pct"/>
            <w:noWrap w:val="0"/>
            <w:vAlign w:val="center"/>
          </w:tcPr>
          <w:p>
            <w:pPr>
              <w:pStyle w:val="2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0.044</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90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7920</w:t>
            </w:r>
          </w:p>
        </w:tc>
        <w:tc>
          <w:tcPr>
            <w:tcW w:w="71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0.012</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85" w:type="pct"/>
            <w:gridSpan w:val="6"/>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合计</w:t>
            </w:r>
          </w:p>
        </w:tc>
        <w:tc>
          <w:tcPr>
            <w:tcW w:w="71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0.271</w:t>
            </w:r>
          </w:p>
        </w:tc>
      </w:tr>
    </w:tbl>
    <w:p>
      <w:pPr>
        <w:widowControl/>
        <w:spacing w:line="360" w:lineRule="auto"/>
        <w:ind w:firstLine="480" w:firstLineChars="200"/>
        <w:jc w:val="left"/>
        <w:rPr>
          <w:rFonts w:hint="eastAsia" w:ascii="Times New Roman" w:hAnsi="Times New Roman" w:eastAsia="宋体" w:cs="Times New Roman"/>
          <w:color w:val="000000" w:themeColor="text1"/>
          <w:szCs w:val="24"/>
          <w:u w:val="single"/>
          <w:lang w:eastAsia="zh-CN"/>
          <w14:textFill>
            <w14:solidFill>
              <w14:schemeClr w14:val="tx1"/>
            </w14:solidFill>
          </w14:textFill>
        </w:rPr>
      </w:pPr>
      <w:r>
        <w:rPr>
          <w:rFonts w:hint="default" w:ascii="Times New Roman" w:hAnsi="Times New Roman" w:cs="Times New Roman"/>
          <w:color w:val="000000" w:themeColor="text1"/>
          <w:szCs w:val="24"/>
          <w:u w:val="single"/>
          <w14:textFill>
            <w14:solidFill>
              <w14:schemeClr w14:val="tx1"/>
            </w14:solidFill>
          </w14:textFill>
        </w:rPr>
        <w:t>根据上表计算可知，本项目无组织排放废气VOC</w:t>
      </w:r>
      <w:r>
        <w:rPr>
          <w:rFonts w:hint="default" w:ascii="Times New Roman" w:hAnsi="Times New Roman" w:cs="Times New Roman"/>
          <w:color w:val="000000" w:themeColor="text1"/>
          <w:szCs w:val="24"/>
          <w:u w:val="single"/>
          <w:vertAlign w:val="subscript"/>
          <w14:textFill>
            <w14:solidFill>
              <w14:schemeClr w14:val="tx1"/>
            </w14:solidFill>
          </w14:textFill>
        </w:rPr>
        <w:t>s</w:t>
      </w:r>
      <w:r>
        <w:rPr>
          <w:rFonts w:hint="default" w:ascii="Times New Roman" w:hAnsi="Times New Roman" w:cs="Times New Roman"/>
          <w:color w:val="000000" w:themeColor="text1"/>
          <w:szCs w:val="24"/>
          <w:u w:val="single"/>
          <w14:textFill>
            <w14:solidFill>
              <w14:schemeClr w14:val="tx1"/>
            </w14:solidFill>
          </w14:textFill>
        </w:rPr>
        <w:t>：0.271t/a，通过严格执行泄露检测与修复制度，可有效减少因装置和管线密封点泄露产生的无组织排放。根据物料平衡分析，项目经过反应会生成</w:t>
      </w:r>
      <w:r>
        <w:rPr>
          <w:rFonts w:hint="eastAsia" w:cs="Times New Roman"/>
          <w:color w:val="000000" w:themeColor="text1"/>
          <w:szCs w:val="24"/>
          <w:u w:val="single"/>
          <w:lang w:val="en-US" w:eastAsia="zh-CN"/>
          <w14:textFill>
            <w14:solidFill>
              <w14:schemeClr w14:val="tx1"/>
            </w14:solidFill>
          </w14:textFill>
        </w:rPr>
        <w:t>4.14</w:t>
      </w:r>
      <w:r>
        <w:rPr>
          <w:rFonts w:hint="default" w:ascii="Times New Roman" w:hAnsi="Times New Roman" w:cs="Times New Roman"/>
          <w:color w:val="000000" w:themeColor="text1"/>
          <w:szCs w:val="24"/>
          <w:u w:val="single"/>
          <w14:textFill>
            <w14:solidFill>
              <w14:schemeClr w14:val="tx1"/>
            </w14:solidFill>
          </w14:textFill>
        </w:rPr>
        <w:t>t/a的H</w:t>
      </w:r>
      <w:r>
        <w:rPr>
          <w:rFonts w:hint="default" w:ascii="Times New Roman" w:hAnsi="Times New Roman" w:cs="Times New Roman"/>
          <w:color w:val="000000" w:themeColor="text1"/>
          <w:szCs w:val="24"/>
          <w:u w:val="single"/>
          <w:vertAlign w:val="subscript"/>
          <w14:textFill>
            <w14:solidFill>
              <w14:schemeClr w14:val="tx1"/>
            </w14:solidFill>
          </w14:textFill>
        </w:rPr>
        <w:t>2</w:t>
      </w:r>
      <w:r>
        <w:rPr>
          <w:rFonts w:hint="default" w:ascii="Times New Roman" w:hAnsi="Times New Roman" w:cs="Times New Roman"/>
          <w:color w:val="000000" w:themeColor="text1"/>
          <w:szCs w:val="24"/>
          <w:u w:val="single"/>
          <w14:textFill>
            <w14:solidFill>
              <w14:schemeClr w14:val="tx1"/>
            </w14:solidFill>
          </w14:textFill>
        </w:rPr>
        <w:t>S和</w:t>
      </w:r>
      <w:r>
        <w:rPr>
          <w:rFonts w:hint="eastAsia" w:cs="Times New Roman"/>
          <w:color w:val="000000" w:themeColor="text1"/>
          <w:szCs w:val="24"/>
          <w:u w:val="single"/>
          <w:lang w:val="en-US" w:eastAsia="zh-CN"/>
          <w14:textFill>
            <w14:solidFill>
              <w14:schemeClr w14:val="tx1"/>
            </w14:solidFill>
          </w14:textFill>
        </w:rPr>
        <w:t>3.86</w:t>
      </w:r>
      <w:r>
        <w:rPr>
          <w:rFonts w:hint="default" w:ascii="Times New Roman" w:hAnsi="Times New Roman" w:cs="Times New Roman"/>
          <w:color w:val="000000" w:themeColor="text1"/>
          <w:szCs w:val="24"/>
          <w:u w:val="single"/>
          <w14:textFill>
            <w14:solidFill>
              <w14:schemeClr w14:val="tx1"/>
            </w14:solidFill>
          </w14:textFill>
        </w:rPr>
        <w:t>t/a的NH</w:t>
      </w:r>
      <w:r>
        <w:rPr>
          <w:rFonts w:hint="default" w:ascii="Times New Roman" w:hAnsi="Times New Roman" w:cs="Times New Roman"/>
          <w:color w:val="000000" w:themeColor="text1"/>
          <w:szCs w:val="24"/>
          <w:u w:val="single"/>
          <w:vertAlign w:val="subscript"/>
          <w14:textFill>
            <w14:solidFill>
              <w14:schemeClr w14:val="tx1"/>
            </w14:solidFill>
          </w14:textFill>
        </w:rPr>
        <w:t>3</w:t>
      </w:r>
      <w:r>
        <w:rPr>
          <w:rFonts w:hint="default" w:ascii="Times New Roman" w:hAnsi="Times New Roman" w:cs="Times New Roman"/>
          <w:color w:val="000000" w:themeColor="text1"/>
          <w:szCs w:val="24"/>
          <w:u w:val="single"/>
          <w14:textFill>
            <w14:solidFill>
              <w14:schemeClr w14:val="tx1"/>
            </w14:solidFill>
          </w14:textFill>
        </w:rPr>
        <w:t>，项目反应过程会生成硫化氢及氨，泄露产生VOC</w:t>
      </w:r>
      <w:r>
        <w:rPr>
          <w:rFonts w:hint="default" w:ascii="Times New Roman" w:hAnsi="Times New Roman" w:cs="Times New Roman"/>
          <w:color w:val="000000" w:themeColor="text1"/>
          <w:szCs w:val="24"/>
          <w:u w:val="single"/>
          <w:vertAlign w:val="subscript"/>
          <w14:textFill>
            <w14:solidFill>
              <w14:schemeClr w14:val="tx1"/>
            </w14:solidFill>
          </w14:textFill>
        </w:rPr>
        <w:t>s</w:t>
      </w:r>
      <w:r>
        <w:rPr>
          <w:rFonts w:hint="default" w:ascii="Times New Roman" w:hAnsi="Times New Roman" w:cs="Times New Roman"/>
          <w:color w:val="000000" w:themeColor="text1"/>
          <w:szCs w:val="24"/>
          <w:u w:val="single"/>
          <w14:textFill>
            <w14:solidFill>
              <w14:schemeClr w14:val="tx1"/>
            </w14:solidFill>
          </w14:textFill>
        </w:rPr>
        <w:t>的同时也会有少量的硫化氢和氨气排放到外环境，项目装置泄露氨和硫化氢0.2</w:t>
      </w:r>
      <w:r>
        <w:rPr>
          <w:rFonts w:hint="default" w:ascii="Times New Roman" w:hAnsi="Times New Roman" w:cs="Times New Roman"/>
          <w:color w:val="000000" w:themeColor="text1"/>
          <w:kern w:val="0"/>
          <w:szCs w:val="24"/>
          <w:u w:val="single"/>
          <w:lang w:bidi="ar"/>
          <w14:textFill>
            <w14:solidFill>
              <w14:schemeClr w14:val="tx1"/>
            </w14:solidFill>
          </w14:textFill>
        </w:rPr>
        <w:t>‰，项目无组织硫化氢和氨气产生量按</w:t>
      </w:r>
      <w:r>
        <w:rPr>
          <w:rFonts w:hint="default" w:ascii="Times New Roman" w:hAnsi="Times New Roman" w:cs="Times New Roman"/>
          <w:color w:val="000000" w:themeColor="text1"/>
          <w:szCs w:val="24"/>
          <w:u w:val="single"/>
          <w14:textFill>
            <w14:solidFill>
              <w14:schemeClr w14:val="tx1"/>
            </w14:solidFill>
          </w14:textFill>
        </w:rPr>
        <w:t>0.2</w:t>
      </w:r>
      <w:r>
        <w:rPr>
          <w:rFonts w:hint="default" w:ascii="Times New Roman" w:hAnsi="Times New Roman" w:cs="Times New Roman"/>
          <w:color w:val="000000" w:themeColor="text1"/>
          <w:kern w:val="0"/>
          <w:szCs w:val="24"/>
          <w:u w:val="single"/>
          <w:lang w:bidi="ar"/>
          <w14:textFill>
            <w14:solidFill>
              <w14:schemeClr w14:val="tx1"/>
            </w14:solidFill>
          </w14:textFill>
        </w:rPr>
        <w:t>‰计，则</w:t>
      </w:r>
      <w:r>
        <w:rPr>
          <w:rFonts w:hint="default" w:ascii="Times New Roman" w:hAnsi="Times New Roman" w:cs="Times New Roman"/>
          <w:color w:val="000000" w:themeColor="text1"/>
          <w:szCs w:val="24"/>
          <w:u w:val="single"/>
          <w14:textFill>
            <w14:solidFill>
              <w14:schemeClr w14:val="tx1"/>
            </w14:solidFill>
          </w14:textFill>
        </w:rPr>
        <w:t>本项目则无组织的硫化氢产生量为</w:t>
      </w:r>
      <w:r>
        <w:rPr>
          <w:rFonts w:hint="eastAsia" w:cs="Times New Roman"/>
          <w:color w:val="000000" w:themeColor="text1"/>
          <w:szCs w:val="24"/>
          <w:u w:val="single"/>
          <w:lang w:val="en-US" w:eastAsia="zh-CN"/>
          <w14:textFill>
            <w14:solidFill>
              <w14:schemeClr w14:val="tx1"/>
            </w14:solidFill>
          </w14:textFill>
        </w:rPr>
        <w:t>0.0008</w:t>
      </w:r>
      <w:r>
        <w:rPr>
          <w:rFonts w:hint="default" w:ascii="Times New Roman" w:hAnsi="Times New Roman" w:cs="Times New Roman"/>
          <w:color w:val="000000" w:themeColor="text1"/>
          <w:szCs w:val="24"/>
          <w:u w:val="single"/>
          <w14:textFill>
            <w14:solidFill>
              <w14:schemeClr w14:val="tx1"/>
            </w14:solidFill>
          </w14:textFill>
        </w:rPr>
        <w:t>t/a，氨气的产生量为</w:t>
      </w:r>
      <w:r>
        <w:rPr>
          <w:rFonts w:hint="eastAsia" w:cs="Times New Roman"/>
          <w:color w:val="000000" w:themeColor="text1"/>
          <w:szCs w:val="24"/>
          <w:u w:val="single"/>
          <w:lang w:val="en-US" w:eastAsia="zh-CN"/>
          <w14:textFill>
            <w14:solidFill>
              <w14:schemeClr w14:val="tx1"/>
            </w14:solidFill>
          </w14:textFill>
        </w:rPr>
        <w:t>0.00077</w:t>
      </w:r>
      <w:r>
        <w:rPr>
          <w:rFonts w:hint="default" w:ascii="Times New Roman" w:hAnsi="Times New Roman" w:cs="Times New Roman"/>
          <w:color w:val="000000" w:themeColor="text1"/>
          <w:szCs w:val="24"/>
          <w:u w:val="single"/>
          <w14:textFill>
            <w14:solidFill>
              <w14:schemeClr w14:val="tx1"/>
            </w14:solidFill>
          </w14:textFill>
        </w:rPr>
        <w:t>t/a。</w:t>
      </w:r>
    </w:p>
    <w:p>
      <w:pPr>
        <w:pStyle w:val="6"/>
        <w:rPr>
          <w:color w:val="000000" w:themeColor="text1"/>
          <w14:textFill>
            <w14:solidFill>
              <w14:schemeClr w14:val="tx1"/>
            </w14:solidFill>
          </w14:textFill>
        </w:rPr>
      </w:pPr>
      <w:r>
        <w:rPr>
          <w:color w:val="000000" w:themeColor="text1"/>
          <w14:textFill>
            <w14:solidFill>
              <w14:schemeClr w14:val="tx1"/>
            </w14:solidFill>
          </w14:textFill>
        </w:rPr>
        <w:t>非正常排放源强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装置在压力容器设有安全阀，在装置内设置放空线，一旦发生超压时，安全阀会自动开启，油气放入放空管线。当开停工、检修或出现事故时，需放空或吹扫，亦通过放空管线将排放的油气通过火炬系统。经冷凝分液回收冷凝返回装置，未能冷凝可燃气体经压缩机送入燃气系统回收利用，少量未能回收部分排放火炬系统烧，导致挥发性有机物非正常排放，假定非正常放空排放时间为1小时，具体非正常排放情况见下表所示。</w:t>
      </w:r>
    </w:p>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项目废气非正常排放参数一览表</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740"/>
        <w:gridCol w:w="809"/>
        <w:gridCol w:w="1664"/>
        <w:gridCol w:w="2777"/>
        <w:gridCol w:w="1163"/>
        <w:gridCol w:w="761"/>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排放源</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污染物</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产生量</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拟采取的措施</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非正常排放原因</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非正常排放速率/(kg/h）</w:t>
            </w:r>
          </w:p>
        </w:tc>
        <w:tc>
          <w:tcPr>
            <w:tcW w:w="76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单次持续时间/h</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年发生频次</w:t>
            </w:r>
            <w:r>
              <w:rPr>
                <w:rFonts w:hint="default" w:ascii="Times New Roman" w:hAnsi="Times New Roman" w:eastAsia="宋体" w:cs="Times New Roman"/>
                <w:color w:val="000000" w:themeColor="text1"/>
                <w:sz w:val="21"/>
                <w14:textFill>
                  <w14:solidFill>
                    <w14:schemeClr w14:val="tx1"/>
                  </w14:solidFill>
                </w14:textFill>
              </w:rPr>
              <w:br w:type="textWrapping"/>
            </w:r>
            <w:r>
              <w:rPr>
                <w:rFonts w:hint="default" w:ascii="Times New Roman" w:hAnsi="Times New Roman" w:eastAsia="宋体" w:cs="Times New Roman"/>
                <w:color w:val="000000" w:themeColor="text1"/>
                <w:sz w:val="21"/>
                <w14:textFill>
                  <w14:solidFill>
                    <w14:schemeClr w14:val="tx1"/>
                  </w14:solidFill>
                </w14:textFill>
              </w:rPr>
              <w:t>/次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分馏塔不凝气</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VOC</w:t>
            </w:r>
            <w:r>
              <w:rPr>
                <w:rFonts w:hint="default" w:ascii="Times New Roman" w:hAnsi="Times New Roman" w:eastAsia="宋体" w:cs="Times New Roman"/>
                <w:color w:val="000000" w:themeColor="text1"/>
                <w:sz w:val="21"/>
                <w:vertAlign w:val="subscript"/>
                <w14:textFill>
                  <w14:solidFill>
                    <w14:schemeClr w14:val="tx1"/>
                  </w14:solidFill>
                </w14:textFill>
              </w:rPr>
              <w:t>s</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35kg/h</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停产，尽快检修、待废气处理设施正常运行后方可继续生产</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经冷凝分液回收冷凝返回装置，未能冷凝可燃气体经压缩机送入燃气系统回收利用，少量未能回收部分排放火炬系统烧</w:t>
            </w:r>
          </w:p>
        </w:tc>
        <w:tc>
          <w:tcPr>
            <w:tcW w:w="116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35</w:t>
            </w:r>
            <w:r>
              <w:rPr>
                <w:rFonts w:hint="default" w:ascii="Times New Roman" w:hAnsi="Times New Roman" w:eastAsia="宋体" w:cs="Times New Roman"/>
                <w:color w:val="000000" w:themeColor="text1"/>
                <w:sz w:val="21"/>
                <w14:textFill>
                  <w14:solidFill>
                    <w14:schemeClr w14:val="tx1"/>
                  </w14:solidFill>
                </w14:textFill>
              </w:rPr>
              <w:t>kg/h</w:t>
            </w:r>
          </w:p>
        </w:tc>
        <w:tc>
          <w:tcPr>
            <w:tcW w:w="76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0~1</w:t>
            </w: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营运期废水</w:t>
      </w:r>
    </w:p>
    <w:p>
      <w:pPr>
        <w:spacing w:line="360" w:lineRule="auto"/>
        <w:ind w:firstLine="480" w:firstLineChars="200"/>
        <w:rPr>
          <w:rFonts w:hint="default" w:ascii="Times New Roman" w:hAnsi="Times New Roman" w:cs="Times New Roman"/>
          <w:color w:val="000000" w:themeColor="text1"/>
          <w:szCs w:val="24"/>
          <w:u w:val="single"/>
          <w14:textFill>
            <w14:solidFill>
              <w14:schemeClr w14:val="tx1"/>
            </w14:solidFill>
          </w14:textFill>
        </w:rPr>
      </w:pPr>
      <w:r>
        <w:rPr>
          <w:rFonts w:hint="default" w:ascii="Times New Roman" w:hAnsi="Times New Roman" w:cs="Times New Roman"/>
          <w:color w:val="000000" w:themeColor="text1"/>
          <w:szCs w:val="24"/>
          <w:u w:val="single"/>
          <w14:textFill>
            <w14:solidFill>
              <w14:schemeClr w14:val="tx1"/>
            </w14:solidFill>
          </w14:textFill>
        </w:rPr>
        <w:t>本项目营运期废水主要包括生产废水、含硫污水和初期雨水，其具体产生情况如下图所示。</w:t>
      </w:r>
    </w:p>
    <w:p>
      <w:pPr>
        <w:adjustRightInd w:val="0"/>
        <w:snapToGrid w:val="0"/>
        <w:spacing w:line="360" w:lineRule="auto"/>
        <w:ind w:firstLine="480" w:firstLineChars="200"/>
        <w:rPr>
          <w:rFonts w:hint="default" w:ascii="Times New Roman" w:hAnsi="Times New Roman" w:cs="Times New Roman"/>
          <w:color w:val="000000" w:themeColor="text1"/>
          <w:szCs w:val="24"/>
          <w:u w:val="single"/>
          <w14:textFill>
            <w14:solidFill>
              <w14:schemeClr w14:val="tx1"/>
            </w14:solidFill>
          </w14:textFill>
        </w:rPr>
      </w:pPr>
      <w:r>
        <w:rPr>
          <w:rFonts w:hint="default" w:ascii="Times New Roman" w:hAnsi="Times New Roman" w:cs="Times New Roman"/>
          <w:color w:val="000000" w:themeColor="text1"/>
          <w:szCs w:val="24"/>
          <w:u w:val="single"/>
          <w14:textFill>
            <w14:solidFill>
              <w14:schemeClr w14:val="tx1"/>
            </w14:solidFill>
          </w14:textFill>
        </w:rPr>
        <w:t>（1）地面冲洗废水：本项目营运期生产过程将定期对设备进行检修，检修后将进行地面冲洗。根据企业提供资料，项目全年检修12次，水洗用量为</w:t>
      </w:r>
      <w:r>
        <w:rPr>
          <w:rFonts w:hint="default" w:ascii="Times New Roman" w:hAnsi="Times New Roman" w:cs="Times New Roman"/>
          <w:color w:val="000000" w:themeColor="text1"/>
          <w:szCs w:val="24"/>
          <w:u w:val="single"/>
          <w:lang w:val="en-US" w:eastAsia="zh-CN"/>
          <w14:textFill>
            <w14:solidFill>
              <w14:schemeClr w14:val="tx1"/>
            </w14:solidFill>
          </w14:textFill>
        </w:rPr>
        <w:t>1</w:t>
      </w:r>
      <w:r>
        <w:rPr>
          <w:rFonts w:hint="default" w:ascii="Times New Roman" w:hAnsi="Times New Roman" w:cs="Times New Roman"/>
          <w:color w:val="000000" w:themeColor="text1"/>
          <w:szCs w:val="24"/>
          <w:u w:val="single"/>
          <w14:textFill>
            <w14:solidFill>
              <w14:schemeClr w14:val="tx1"/>
            </w14:solidFill>
          </w14:textFill>
        </w:rPr>
        <w:t>t/</w:t>
      </w:r>
      <w:r>
        <w:rPr>
          <w:rFonts w:hint="default" w:ascii="Times New Roman" w:hAnsi="Times New Roman" w:cs="Times New Roman"/>
          <w:color w:val="000000" w:themeColor="text1"/>
          <w:szCs w:val="24"/>
          <w:u w:val="single"/>
          <w:lang w:val="en-US" w:eastAsia="zh-CN"/>
          <w14:textFill>
            <w14:solidFill>
              <w14:schemeClr w14:val="tx1"/>
            </w14:solidFill>
          </w14:textFill>
        </w:rPr>
        <w:t>次</w:t>
      </w:r>
      <w:r>
        <w:rPr>
          <w:rFonts w:hint="default" w:ascii="Times New Roman" w:hAnsi="Times New Roman" w:cs="Times New Roman"/>
          <w:color w:val="000000" w:themeColor="text1"/>
          <w:szCs w:val="24"/>
          <w:u w:val="single"/>
          <w14:textFill>
            <w14:solidFill>
              <w14:schemeClr w14:val="tx1"/>
            </w14:solidFill>
          </w14:textFill>
        </w:rPr>
        <w:t>，则地面冲洗水用量为12t/a。</w:t>
      </w:r>
    </w:p>
    <w:p>
      <w:pPr>
        <w:pStyle w:val="132"/>
        <w:ind w:firstLine="480"/>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（2）初期雨水：</w:t>
      </w:r>
    </w:p>
    <w:p>
      <w:pPr>
        <w:spacing w:line="360" w:lineRule="auto"/>
        <w:ind w:firstLine="480" w:firstLineChars="200"/>
        <w:rPr>
          <w:rFonts w:hint="default" w:ascii="Times New Roman" w:hAnsi="Times New Roman" w:cs="Times New Roman"/>
          <w:color w:val="000000" w:themeColor="text1"/>
          <w:szCs w:val="24"/>
          <w:u w:val="single"/>
          <w14:textFill>
            <w14:solidFill>
              <w14:schemeClr w14:val="tx1"/>
            </w14:solidFill>
          </w14:textFill>
        </w:rPr>
      </w:pPr>
      <w:r>
        <w:rPr>
          <w:rFonts w:hint="default" w:ascii="Times New Roman" w:hAnsi="Times New Roman" w:cs="Times New Roman"/>
          <w:color w:val="000000" w:themeColor="text1"/>
          <w:szCs w:val="24"/>
          <w:u w:val="single"/>
          <w14:textFill>
            <w14:solidFill>
              <w14:schemeClr w14:val="tx1"/>
            </w14:solidFill>
          </w14:textFill>
        </w:rPr>
        <w:t>初期雨水是在降雨形成地面径流后的前10min的污染较大的雨水量。初期雨水与气象条件密切相关，具有间歇性、时间间隔变化大等特点。考虑暴雨强度与降雨历时的关系，项目采用岳阳市提供的1984-2013年共计30年的自记录雨量资料编制的岳阳市中心城区暴雨强度公式，其公式如下：</w:t>
      </w:r>
    </w:p>
    <w:p>
      <w:pPr>
        <w:adjustRightInd w:val="0"/>
        <w:snapToGrid w:val="0"/>
        <w:spacing w:line="360" w:lineRule="auto"/>
        <w:ind w:firstLine="480" w:firstLineChars="200"/>
        <w:jc w:val="center"/>
        <w:rPr>
          <w:color w:val="000000" w:themeColor="text1"/>
          <w:u w:val="single"/>
          <w14:textFill>
            <w14:solidFill>
              <w14:schemeClr w14:val="tx1"/>
            </w14:solidFill>
          </w14:textFill>
        </w:rPr>
      </w:pPr>
      <w:r>
        <w:rPr>
          <w:color w:val="000000" w:themeColor="text1"/>
          <w:u w:val="single"/>
          <w14:textFill>
            <w14:solidFill>
              <w14:schemeClr w14:val="tx1"/>
            </w14:solidFill>
          </w14:textFill>
        </w:rPr>
        <w:drawing>
          <wp:inline distT="0" distB="0" distL="114300" distR="114300">
            <wp:extent cx="2150110" cy="537845"/>
            <wp:effectExtent l="0" t="0" r="2540" b="15240"/>
            <wp:docPr id="9" name="图片 16" descr="wps4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wps46EE"/>
                    <pic:cNvPicPr>
                      <a:picLocks noChangeAspect="1"/>
                    </pic:cNvPicPr>
                  </pic:nvPicPr>
                  <pic:blipFill>
                    <a:blip r:embed="rId36"/>
                    <a:stretch>
                      <a:fillRect/>
                    </a:stretch>
                  </pic:blipFill>
                  <pic:spPr>
                    <a:xfrm>
                      <a:off x="0" y="0"/>
                      <a:ext cx="2150110" cy="537845"/>
                    </a:xfrm>
                    <a:prstGeom prst="rect">
                      <a:avLst/>
                    </a:prstGeom>
                    <a:noFill/>
                    <a:ln>
                      <a:noFill/>
                    </a:ln>
                  </pic:spPr>
                </pic:pic>
              </a:graphicData>
            </a:graphic>
          </wp:inline>
        </w:drawing>
      </w:r>
      <w:r>
        <w:rPr>
          <w:color w:val="000000" w:themeColor="text1"/>
          <w:u w:val="single"/>
          <w14:textFill>
            <w14:solidFill>
              <w14:schemeClr w14:val="tx1"/>
            </w14:solidFill>
          </w14:textFill>
        </w:rPr>
        <w:t>（L/s•hm</w:t>
      </w:r>
      <w:r>
        <w:rPr>
          <w:color w:val="000000" w:themeColor="text1"/>
          <w:u w:val="single"/>
          <w:vertAlign w:val="superscript"/>
          <w14:textFill>
            <w14:solidFill>
              <w14:schemeClr w14:val="tx1"/>
            </w14:solidFill>
          </w14:textFill>
        </w:rPr>
        <w:t>2</w:t>
      </w:r>
      <w:r>
        <w:rPr>
          <w:color w:val="000000" w:themeColor="text1"/>
          <w:u w:val="single"/>
          <w14:textFill>
            <w14:solidFill>
              <w14:schemeClr w14:val="tx1"/>
            </w14:solidFill>
          </w14:textFill>
        </w:rPr>
        <w:t>）（P≥2）</w:t>
      </w:r>
    </w:p>
    <w:p>
      <w:pPr>
        <w:spacing w:line="360" w:lineRule="auto"/>
        <w:ind w:firstLine="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其中：</w:t>
      </w:r>
    </w:p>
    <w:p>
      <w:pPr>
        <w:adjustRightInd w:val="0"/>
        <w:snapToGrid w:val="0"/>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P-设计重现期（年），2；</w:t>
      </w:r>
    </w:p>
    <w:p>
      <w:pPr>
        <w:adjustRightInd w:val="0"/>
        <w:snapToGrid w:val="0"/>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q-暴雨强度（L/s•hm</w:t>
      </w:r>
      <w:r>
        <w:rPr>
          <w:color w:val="000000" w:themeColor="text1"/>
          <w:u w:val="single"/>
          <w:vertAlign w:val="superscript"/>
          <w14:textFill>
            <w14:solidFill>
              <w14:schemeClr w14:val="tx1"/>
            </w14:solidFill>
          </w14:textFill>
        </w:rPr>
        <w:t>2</w:t>
      </w:r>
      <w:r>
        <w:rPr>
          <w:color w:val="000000" w:themeColor="text1"/>
          <w:u w:val="single"/>
          <w14:textFill>
            <w14:solidFill>
              <w14:schemeClr w14:val="tx1"/>
            </w14:solidFill>
          </w14:textFill>
        </w:rPr>
        <w:t>）；</w:t>
      </w:r>
    </w:p>
    <w:p>
      <w:pPr>
        <w:adjustRightInd w:val="0"/>
        <w:snapToGrid w:val="0"/>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t-降雨历时（min），15。</w:t>
      </w:r>
    </w:p>
    <w:p>
      <w:pPr>
        <w:adjustRightInd w:val="0"/>
        <w:snapToGrid w:val="0"/>
        <w:spacing w:line="360" w:lineRule="auto"/>
        <w:ind w:firstLine="480" w:firstLineChars="200"/>
        <w:rPr>
          <w:color w:val="000000" w:themeColor="text1"/>
          <w:u w:val="single"/>
          <w:vertAlign w:val="superscript"/>
          <w14:textFill>
            <w14:solidFill>
              <w14:schemeClr w14:val="tx1"/>
            </w14:solidFill>
          </w14:textFill>
        </w:rPr>
      </w:pPr>
      <w:r>
        <w:rPr>
          <w:color w:val="000000" w:themeColor="text1"/>
          <w:u w:val="single"/>
          <w14:textFill>
            <w14:solidFill>
              <w14:schemeClr w14:val="tx1"/>
            </w14:solidFill>
          </w14:textFill>
        </w:rPr>
        <w:t>经计算q=240.56L/s•hm</w:t>
      </w:r>
      <w:r>
        <w:rPr>
          <w:color w:val="000000" w:themeColor="text1"/>
          <w:u w:val="single"/>
          <w:vertAlign w:val="superscript"/>
          <w14:textFill>
            <w14:solidFill>
              <w14:schemeClr w14:val="tx1"/>
            </w14:solidFill>
          </w14:textFill>
        </w:rPr>
        <w:t>2</w:t>
      </w:r>
    </w:p>
    <w:p>
      <w:pPr>
        <w:pStyle w:val="20"/>
        <w:rPr>
          <w:color w:val="000000" w:themeColor="text1"/>
          <w:u w:val="single"/>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szCs w:val="24"/>
          <w:u w:val="single"/>
          <w14:textFill>
            <w14:solidFill>
              <w14:schemeClr w14:val="tx1"/>
            </w14:solidFill>
          </w14:textFill>
        </w:rPr>
      </w:pPr>
      <w:r>
        <w:rPr>
          <w:color w:val="000000" w:themeColor="text1"/>
          <w:position w:val="-10"/>
          <w:szCs w:val="24"/>
          <w:u w:val="single"/>
          <w14:textFill>
            <w14:solidFill>
              <w14:schemeClr w14:val="tx1"/>
            </w14:solidFill>
          </w14:textFill>
        </w:rPr>
        <w:object>
          <v:shape id="_x0000_i1034" o:spt="75" type="#_x0000_t75" style="height:22.45pt;width:76.7pt;" o:ole="t" filled="f" o:preferrelative="t" stroked="f" coordsize="21600,21600">
            <v:path/>
            <v:fill on="f" focussize="0,0"/>
            <v:stroke on="f"/>
            <v:imagedata r:id="rId38" o:title=""/>
            <o:lock v:ext="edit" aspectratio="t"/>
            <w10:wrap type="none"/>
            <w10:anchorlock/>
          </v:shape>
          <o:OLEObject Type="Embed" ProgID="Equation.KSEE3" ShapeID="_x0000_i1034" DrawAspect="Content" ObjectID="_1468075734" r:id="rId37">
            <o:LockedField>false</o:LockedField>
          </o:OLEObject>
        </w:objec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Q—初期雨水排放量；</w: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F—汇水面积（公顷）</w: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Ψ—为径流系数（0.4~0.9，</w:t>
      </w:r>
      <w:r>
        <w:rPr>
          <w:color w:val="000000" w:themeColor="text1"/>
          <w:u w:val="single"/>
          <w14:textFill>
            <w14:solidFill>
              <w14:schemeClr w14:val="tx1"/>
            </w14:solidFill>
          </w14:textFill>
        </w:rPr>
        <w:t>混凝土路面</w:t>
      </w:r>
      <w:r>
        <w:rPr>
          <w:color w:val="000000" w:themeColor="text1"/>
          <w:szCs w:val="24"/>
          <w:u w:val="single"/>
          <w14:textFill>
            <w14:solidFill>
              <w14:schemeClr w14:val="tx1"/>
            </w14:solidFill>
          </w14:textFill>
        </w:rPr>
        <w:t>取0.9）</w: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T—为收水时间，一般取10分钟。</w: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根据计算可知，项目总汇水面积为340m</w:t>
      </w:r>
      <w:r>
        <w:rPr>
          <w:color w:val="000000" w:themeColor="text1"/>
          <w:szCs w:val="24"/>
          <w:u w:val="single"/>
          <w:vertAlign w:val="superscript"/>
          <w14:textFill>
            <w14:solidFill>
              <w14:schemeClr w14:val="tx1"/>
            </w14:solidFill>
          </w14:textFill>
        </w:rPr>
        <w:t>2</w:t>
      </w:r>
      <w:r>
        <w:rPr>
          <w:color w:val="000000" w:themeColor="text1"/>
          <w:szCs w:val="24"/>
          <w:u w:val="single"/>
          <w14:textFill>
            <w14:solidFill>
              <w14:schemeClr w14:val="tx1"/>
            </w14:solidFill>
          </w14:textFill>
        </w:rPr>
        <w:t>，前10分钟初期雨水量约73.61m</w:t>
      </w:r>
      <w:r>
        <w:rPr>
          <w:color w:val="000000" w:themeColor="text1"/>
          <w:szCs w:val="24"/>
          <w:u w:val="single"/>
          <w:vertAlign w:val="superscript"/>
          <w14:textFill>
            <w14:solidFill>
              <w14:schemeClr w14:val="tx1"/>
            </w14:solidFill>
          </w14:textFill>
        </w:rPr>
        <w:t>3</w:t>
      </w:r>
      <w:r>
        <w:rPr>
          <w:color w:val="000000" w:themeColor="text1"/>
          <w:szCs w:val="24"/>
          <w:u w:val="single"/>
          <w14:textFill>
            <w14:solidFill>
              <w14:schemeClr w14:val="tx1"/>
            </w14:solidFill>
          </w14:textFill>
        </w:rPr>
        <w:t>，暴雨次数按18次/a计，则初期雨水的年产生量为1324.98m</w:t>
      </w:r>
      <w:r>
        <w:rPr>
          <w:color w:val="000000" w:themeColor="text1"/>
          <w:szCs w:val="24"/>
          <w:u w:val="single"/>
          <w:vertAlign w:val="superscript"/>
          <w14:textFill>
            <w14:solidFill>
              <w14:schemeClr w14:val="tx1"/>
            </w14:solidFill>
          </w14:textFill>
        </w:rPr>
        <w:t>3</w:t>
      </w:r>
      <w:r>
        <w:rPr>
          <w:color w:val="000000" w:themeColor="text1"/>
          <w:szCs w:val="24"/>
          <w:u w:val="single"/>
          <w14:textFill>
            <w14:solidFill>
              <w14:schemeClr w14:val="tx1"/>
            </w14:solidFill>
          </w14:textFill>
        </w:rPr>
        <w:t>/a。</w: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u w:val="single"/>
          <w14:textFill>
            <w14:solidFill>
              <w14:schemeClr w14:val="tx1"/>
            </w14:solidFill>
          </w14:textFill>
        </w:rPr>
        <w:t>厂区初期污染雨水主要为装置露天区域的地面雨水，根据现场踏勘可知，目前装置周边设有雨污分流管网，前期雨水能够通过收集和生产污水进入</w:t>
      </w:r>
      <w:r>
        <w:rPr>
          <w:rFonts w:hint="eastAsia"/>
          <w:color w:val="000000" w:themeColor="text1"/>
          <w:u w:val="single"/>
          <w14:textFill>
            <w14:solidFill>
              <w14:schemeClr w14:val="tx1"/>
            </w14:solidFill>
          </w14:textFill>
        </w:rPr>
        <w:t>巴陵石化水务部云溪生化装置</w:t>
      </w:r>
      <w:r>
        <w:rPr>
          <w:color w:val="000000" w:themeColor="text1"/>
          <w:u w:val="single"/>
          <w14:textFill>
            <w14:solidFill>
              <w14:schemeClr w14:val="tx1"/>
            </w14:solidFill>
          </w14:textFill>
        </w:rPr>
        <w:t>集中统一处理。后期雨水通过切换阀外排雨水管网，再排入松阳湖</w:t>
      </w:r>
      <w:r>
        <w:rPr>
          <w:color w:val="000000" w:themeColor="text1"/>
          <w:szCs w:val="24"/>
          <w:u w:val="single"/>
          <w14:textFill>
            <w14:solidFill>
              <w14:schemeClr w14:val="tx1"/>
            </w14:solidFill>
          </w14:textFill>
        </w:rPr>
        <w:t>。</w: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（3）含油污水</w:t>
      </w:r>
    </w:p>
    <w:p>
      <w:pPr>
        <w:spacing w:line="360" w:lineRule="auto"/>
        <w:ind w:firstLine="480" w:firstLineChars="200"/>
        <w:rPr>
          <w:color w:val="000000" w:themeColor="text1"/>
          <w:u w:val="single"/>
          <w14:textFill>
            <w14:solidFill>
              <w14:schemeClr w14:val="tx1"/>
            </w14:solidFill>
          </w14:textFill>
        </w:rPr>
      </w:pPr>
      <w:r>
        <w:rPr>
          <w:color w:val="000000" w:themeColor="text1"/>
          <w:szCs w:val="24"/>
          <w:u w:val="single"/>
          <w14:textFill>
            <w14:solidFill>
              <w14:schemeClr w14:val="tx1"/>
            </w14:solidFill>
          </w14:textFill>
        </w:rPr>
        <w:t>根据</w:t>
      </w:r>
      <w:r>
        <w:rPr>
          <w:rFonts w:hint="eastAsia"/>
          <w:color w:val="000000" w:themeColor="text1"/>
          <w:szCs w:val="24"/>
          <w:u w:val="single"/>
          <w:lang w:eastAsia="zh-CN"/>
          <w14:textFill>
            <w14:solidFill>
              <w14:schemeClr w14:val="tx1"/>
            </w14:solidFill>
          </w14:textFill>
        </w:rPr>
        <w:t>业主提供的资料可知</w:t>
      </w:r>
      <w:r>
        <w:rPr>
          <w:color w:val="000000" w:themeColor="text1"/>
          <w:szCs w:val="24"/>
          <w:u w:val="single"/>
          <w14:textFill>
            <w14:solidFill>
              <w14:schemeClr w14:val="tx1"/>
            </w14:solidFill>
          </w14:textFill>
        </w:rPr>
        <w:t>，</w:t>
      </w:r>
      <w:r>
        <w:rPr>
          <w:color w:val="000000" w:themeColor="text1"/>
          <w:u w:val="single"/>
          <w14:textFill>
            <w14:solidFill>
              <w14:schemeClr w14:val="tx1"/>
            </w14:solidFill>
          </w14:textFill>
        </w:rPr>
        <w:t>炼油部8万吨/年粗白油精装置</w:t>
      </w:r>
      <w:r>
        <w:rPr>
          <w:rFonts w:hint="eastAsia"/>
          <w:color w:val="000000" w:themeColor="text1"/>
          <w:u w:val="single"/>
          <w14:textFill>
            <w14:solidFill>
              <w14:schemeClr w14:val="tx1"/>
            </w14:solidFill>
          </w14:textFill>
        </w:rPr>
        <w:t>机泵冷却产生的含油污水产生量为</w:t>
      </w:r>
      <w:r>
        <w:rPr>
          <w:rFonts w:hint="eastAsia"/>
          <w:color w:val="000000" w:themeColor="text1"/>
          <w:szCs w:val="24"/>
          <w:u w:val="single"/>
          <w14:textFill>
            <w14:solidFill>
              <w14:schemeClr w14:val="tx1"/>
            </w14:solidFill>
          </w14:textFill>
        </w:rPr>
        <w:t>5t/</w:t>
      </w:r>
      <w:r>
        <w:rPr>
          <w:rFonts w:hint="eastAsia"/>
          <w:color w:val="000000" w:themeColor="text1"/>
          <w:szCs w:val="24"/>
          <w:u w:val="single"/>
          <w:lang w:val="en-US" w:eastAsia="zh-CN"/>
          <w14:textFill>
            <w14:solidFill>
              <w14:schemeClr w14:val="tx1"/>
            </w14:solidFill>
          </w14:textFill>
        </w:rPr>
        <w:t>d</w:t>
      </w:r>
      <w:r>
        <w:rPr>
          <w:rFonts w:hint="eastAsia"/>
          <w:color w:val="000000" w:themeColor="text1"/>
          <w:szCs w:val="24"/>
          <w:u w:val="single"/>
          <w14:textFill>
            <w14:solidFill>
              <w14:schemeClr w14:val="tx1"/>
            </w14:solidFill>
          </w14:textFill>
        </w:rPr>
        <w:t>（1650t/a），</w:t>
      </w:r>
      <w:r>
        <w:rPr>
          <w:color w:val="000000" w:themeColor="text1"/>
          <w:szCs w:val="24"/>
          <w:u w:val="single"/>
          <w14:textFill>
            <w14:solidFill>
              <w14:schemeClr w14:val="tx1"/>
            </w14:solidFill>
          </w14:textFill>
        </w:rPr>
        <w:t>废水经炼油部污水预处理装置处理后，再送</w:t>
      </w:r>
      <w:r>
        <w:rPr>
          <w:rFonts w:hint="eastAsia"/>
          <w:color w:val="000000" w:themeColor="text1"/>
          <w:szCs w:val="24"/>
          <w:u w:val="single"/>
          <w14:textFill>
            <w14:solidFill>
              <w14:schemeClr w14:val="tx1"/>
            </w14:solidFill>
          </w14:textFill>
        </w:rPr>
        <w:t>巴陵石化水务部云溪生化装置</w:t>
      </w:r>
      <w:r>
        <w:rPr>
          <w:color w:val="000000" w:themeColor="text1"/>
          <w:szCs w:val="24"/>
          <w:u w:val="single"/>
          <w14:textFill>
            <w14:solidFill>
              <w14:schemeClr w14:val="tx1"/>
            </w14:solidFill>
          </w14:textFill>
        </w:rPr>
        <w:t>处理。</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（4）含硫污水</w:t>
      </w:r>
    </w:p>
    <w:p>
      <w:pPr>
        <w:spacing w:line="360" w:lineRule="auto"/>
        <w:ind w:firstLine="480" w:firstLineChars="200"/>
        <w:rPr>
          <w:color w:val="000000" w:themeColor="text1"/>
          <w:szCs w:val="24"/>
          <w:u w:val="single"/>
          <w14:textFill>
            <w14:solidFill>
              <w14:schemeClr w14:val="tx1"/>
            </w14:solidFill>
          </w14:textFill>
        </w:rPr>
      </w:pPr>
      <w:r>
        <w:rPr>
          <w:rFonts w:hint="eastAsia"/>
          <w:color w:val="000000" w:themeColor="text1"/>
          <w:szCs w:val="24"/>
          <w:u w:val="single"/>
          <w:lang w:eastAsia="zh-CN"/>
          <w14:textFill>
            <w14:solidFill>
              <w14:schemeClr w14:val="tx1"/>
            </w14:solidFill>
          </w14:textFill>
        </w:rPr>
        <w:t>根据业主提供的资料可知</w:t>
      </w:r>
      <w:r>
        <w:rPr>
          <w:color w:val="000000" w:themeColor="text1"/>
          <w:szCs w:val="24"/>
          <w:u w:val="single"/>
          <w14:textFill>
            <w14:solidFill>
              <w14:schemeClr w14:val="tx1"/>
            </w14:solidFill>
          </w14:textFill>
        </w:rPr>
        <w:t>，</w:t>
      </w:r>
      <w:r>
        <w:rPr>
          <w:color w:val="000000" w:themeColor="text1"/>
          <w:u w:val="single"/>
          <w14:textFill>
            <w14:solidFill>
              <w14:schemeClr w14:val="tx1"/>
            </w14:solidFill>
          </w14:textFill>
        </w:rPr>
        <w:t>炼油部8万吨/年粗白油精装置</w:t>
      </w:r>
      <w:r>
        <w:rPr>
          <w:rFonts w:hint="eastAsia"/>
          <w:color w:val="000000" w:themeColor="text1"/>
          <w:u w:val="single"/>
          <w14:textFill>
            <w14:solidFill>
              <w14:schemeClr w14:val="tx1"/>
            </w14:solidFill>
          </w14:textFill>
        </w:rPr>
        <w:t>分馏塔油水分离产生的含硫污水量为</w:t>
      </w:r>
      <w:r>
        <w:rPr>
          <w:rFonts w:hint="eastAsia"/>
          <w:color w:val="000000" w:themeColor="text1"/>
          <w:szCs w:val="24"/>
          <w:u w:val="single"/>
          <w14:textFill>
            <w14:solidFill>
              <w14:schemeClr w14:val="tx1"/>
            </w14:solidFill>
          </w14:textFill>
        </w:rPr>
        <w:t>1t/</w:t>
      </w:r>
      <w:r>
        <w:rPr>
          <w:rFonts w:hint="eastAsia"/>
          <w:color w:val="000000" w:themeColor="text1"/>
          <w:szCs w:val="24"/>
          <w:u w:val="single"/>
          <w:lang w:val="en-US" w:eastAsia="zh-CN"/>
          <w14:textFill>
            <w14:solidFill>
              <w14:schemeClr w14:val="tx1"/>
            </w14:solidFill>
          </w14:textFill>
        </w:rPr>
        <w:t>d</w:t>
      </w:r>
      <w:r>
        <w:rPr>
          <w:rFonts w:hint="eastAsia"/>
          <w:color w:val="000000" w:themeColor="text1"/>
          <w:szCs w:val="24"/>
          <w:u w:val="single"/>
          <w14:textFill>
            <w14:solidFill>
              <w14:schemeClr w14:val="tx1"/>
            </w14:solidFill>
          </w14:textFill>
        </w:rPr>
        <w:t>（330t/a），</w:t>
      </w:r>
      <w:r>
        <w:rPr>
          <w:color w:val="000000" w:themeColor="text1"/>
          <w:szCs w:val="24"/>
          <w:u w:val="single"/>
          <w14:textFill>
            <w14:solidFill>
              <w14:schemeClr w14:val="tx1"/>
            </w14:solidFill>
          </w14:textFill>
        </w:rPr>
        <w:t>含硫废水送酸性水气提装置处理后部分回用常压装置，其余排入炼油部污水预处理装置处理后，再送</w:t>
      </w:r>
      <w:r>
        <w:rPr>
          <w:rFonts w:hint="eastAsia"/>
          <w:color w:val="000000" w:themeColor="text1"/>
          <w:szCs w:val="24"/>
          <w:u w:val="single"/>
          <w14:textFill>
            <w14:solidFill>
              <w14:schemeClr w14:val="tx1"/>
            </w14:solidFill>
          </w14:textFill>
        </w:rPr>
        <w:t>巴陵石化水务部云溪生化装置</w:t>
      </w:r>
      <w:r>
        <w:rPr>
          <w:color w:val="000000" w:themeColor="text1"/>
          <w:szCs w:val="24"/>
          <w:u w:val="single"/>
          <w14:textFill>
            <w14:solidFill>
              <w14:schemeClr w14:val="tx1"/>
            </w14:solidFill>
          </w14:textFill>
        </w:rPr>
        <w:t>处理。</w:t>
      </w:r>
    </w:p>
    <w:p>
      <w:pPr>
        <w:spacing w:line="360" w:lineRule="auto"/>
        <w:ind w:firstLine="480" w:firstLineChars="200"/>
        <w:rPr>
          <w:color w:val="000000" w:themeColor="text1"/>
          <w:szCs w:val="24"/>
          <w:u w:val="single"/>
          <w14:textFill>
            <w14:solidFill>
              <w14:schemeClr w14:val="tx1"/>
            </w14:solidFill>
          </w14:textFill>
        </w:rPr>
      </w:pPr>
      <w:r>
        <w:rPr>
          <w:color w:val="000000" w:themeColor="text1"/>
          <w:szCs w:val="24"/>
          <w:u w:val="single"/>
          <w14:textFill>
            <w14:solidFill>
              <w14:schemeClr w14:val="tx1"/>
            </w14:solidFill>
          </w14:textFill>
        </w:rPr>
        <w:t>项目营运期废水产排具体情况见下表所示。</w:t>
      </w:r>
    </w:p>
    <w:p>
      <w:pPr>
        <w:ind w:firstLine="482" w:firstLineChars="200"/>
        <w:jc w:val="center"/>
        <w:rPr>
          <w:b/>
          <w:color w:val="000000" w:themeColor="text1"/>
          <w:szCs w:val="24"/>
          <w:u w:val="single"/>
          <w14:textFill>
            <w14:solidFill>
              <w14:schemeClr w14:val="tx1"/>
            </w14:solidFill>
          </w14:textFill>
        </w:rPr>
      </w:pPr>
      <w:r>
        <w:rPr>
          <w:b/>
          <w:color w:val="000000" w:themeColor="text1"/>
          <w:szCs w:val="24"/>
          <w:u w:val="single"/>
          <w14:textFill>
            <w14:solidFill>
              <w14:schemeClr w14:val="tx1"/>
            </w14:solidFill>
          </w14:textFill>
        </w:rPr>
        <w:t>表</w:t>
      </w:r>
      <w:r>
        <w:rPr>
          <w:b/>
          <w:color w:val="000000" w:themeColor="text1"/>
          <w:szCs w:val="24"/>
          <w:u w:val="single"/>
          <w14:textFill>
            <w14:solidFill>
              <w14:schemeClr w14:val="tx1"/>
            </w14:solidFill>
          </w14:textFill>
        </w:rPr>
        <w:fldChar w:fldCharType="begin"/>
      </w:r>
      <w:r>
        <w:rPr>
          <w:b/>
          <w:color w:val="000000" w:themeColor="text1"/>
          <w:szCs w:val="24"/>
          <w:u w:val="single"/>
          <w14:textFill>
            <w14:solidFill>
              <w14:schemeClr w14:val="tx1"/>
            </w14:solidFill>
          </w14:textFill>
        </w:rPr>
        <w:instrText xml:space="preserve"> STYLEREF 2 \s </w:instrText>
      </w:r>
      <w:r>
        <w:rPr>
          <w:b/>
          <w:color w:val="000000" w:themeColor="text1"/>
          <w:szCs w:val="24"/>
          <w:u w:val="single"/>
          <w14:textFill>
            <w14:solidFill>
              <w14:schemeClr w14:val="tx1"/>
            </w14:solidFill>
          </w14:textFill>
        </w:rPr>
        <w:fldChar w:fldCharType="separate"/>
      </w:r>
      <w:r>
        <w:rPr>
          <w:b/>
          <w:color w:val="000000" w:themeColor="text1"/>
          <w:szCs w:val="24"/>
          <w:u w:val="single"/>
          <w14:textFill>
            <w14:solidFill>
              <w14:schemeClr w14:val="tx1"/>
            </w14:solidFill>
          </w14:textFill>
        </w:rPr>
        <w:t>5</w:t>
      </w:r>
      <w:r>
        <w:rPr>
          <w:rFonts w:hint="eastAsia"/>
          <w:b/>
          <w:color w:val="000000" w:themeColor="text1"/>
          <w:szCs w:val="24"/>
          <w:u w:val="single"/>
          <w:lang w:val="en-US" w:eastAsia="zh-CN"/>
          <w14:textFill>
            <w14:solidFill>
              <w14:schemeClr w14:val="tx1"/>
            </w14:solidFill>
          </w14:textFill>
        </w:rPr>
        <w:t>.</w:t>
      </w:r>
      <w:r>
        <w:rPr>
          <w:b/>
          <w:color w:val="000000" w:themeColor="text1"/>
          <w:szCs w:val="24"/>
          <w:u w:val="single"/>
          <w14:textFill>
            <w14:solidFill>
              <w14:schemeClr w14:val="tx1"/>
            </w14:solidFill>
          </w14:textFill>
        </w:rPr>
        <w:t>3</w:t>
      </w:r>
      <w:r>
        <w:rPr>
          <w:b/>
          <w:color w:val="000000" w:themeColor="text1"/>
          <w:szCs w:val="24"/>
          <w:u w:val="single"/>
          <w14:textFill>
            <w14:solidFill>
              <w14:schemeClr w14:val="tx1"/>
            </w14:solidFill>
          </w14:textFill>
        </w:rPr>
        <w:fldChar w:fldCharType="end"/>
      </w:r>
      <w:r>
        <w:rPr>
          <w:b/>
          <w:color w:val="000000" w:themeColor="text1"/>
          <w:szCs w:val="24"/>
          <w:u w:val="single"/>
          <w14:textFill>
            <w14:solidFill>
              <w14:schemeClr w14:val="tx1"/>
            </w14:solidFill>
          </w14:textFill>
        </w:rPr>
        <w:noBreakHyphen/>
      </w:r>
      <w:r>
        <w:rPr>
          <w:b/>
          <w:color w:val="000000" w:themeColor="text1"/>
          <w:szCs w:val="24"/>
          <w:u w:val="single"/>
          <w14:textFill>
            <w14:solidFill>
              <w14:schemeClr w14:val="tx1"/>
            </w14:solidFill>
          </w14:textFill>
        </w:rPr>
        <w:fldChar w:fldCharType="begin"/>
      </w:r>
      <w:r>
        <w:rPr>
          <w:b/>
          <w:color w:val="000000" w:themeColor="text1"/>
          <w:szCs w:val="24"/>
          <w:u w:val="single"/>
          <w14:textFill>
            <w14:solidFill>
              <w14:schemeClr w14:val="tx1"/>
            </w14:solidFill>
          </w14:textFill>
        </w:rPr>
        <w:instrText xml:space="preserve"> SEQ 表 \* ARABIC \s 2 </w:instrText>
      </w:r>
      <w:r>
        <w:rPr>
          <w:b/>
          <w:color w:val="000000" w:themeColor="text1"/>
          <w:szCs w:val="24"/>
          <w:u w:val="single"/>
          <w14:textFill>
            <w14:solidFill>
              <w14:schemeClr w14:val="tx1"/>
            </w14:solidFill>
          </w14:textFill>
        </w:rPr>
        <w:fldChar w:fldCharType="separate"/>
      </w:r>
      <w:r>
        <w:rPr>
          <w:b/>
          <w:color w:val="000000" w:themeColor="text1"/>
          <w:szCs w:val="24"/>
          <w:u w:val="single"/>
          <w14:textFill>
            <w14:solidFill>
              <w14:schemeClr w14:val="tx1"/>
            </w14:solidFill>
          </w14:textFill>
        </w:rPr>
        <w:t>6</w:t>
      </w:r>
      <w:r>
        <w:rPr>
          <w:b/>
          <w:color w:val="000000" w:themeColor="text1"/>
          <w:szCs w:val="24"/>
          <w:u w:val="single"/>
          <w14:textFill>
            <w14:solidFill>
              <w14:schemeClr w14:val="tx1"/>
            </w14:solidFill>
          </w14:textFill>
        </w:rPr>
        <w:fldChar w:fldCharType="end"/>
      </w:r>
      <w:r>
        <w:rPr>
          <w:b/>
          <w:color w:val="000000" w:themeColor="text1"/>
          <w:szCs w:val="24"/>
          <w:u w:val="single"/>
          <w14:textFill>
            <w14:solidFill>
              <w14:schemeClr w14:val="tx1"/>
            </w14:solidFill>
          </w14:textFill>
        </w:rPr>
        <w:t xml:space="preserve">  营运期废水产排污情况一览表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787"/>
        <w:gridCol w:w="1266"/>
        <w:gridCol w:w="490"/>
        <w:gridCol w:w="818"/>
        <w:gridCol w:w="1091"/>
        <w:gridCol w:w="846"/>
        <w:gridCol w:w="1215"/>
        <w:gridCol w:w="1097"/>
        <w:gridCol w:w="11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8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序号</w:t>
            </w:r>
          </w:p>
        </w:tc>
        <w:tc>
          <w:tcPr>
            <w:tcW w:w="82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污染源名称</w:t>
            </w:r>
          </w:p>
        </w:tc>
        <w:tc>
          <w:tcPr>
            <w:tcW w:w="126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产生量</w:t>
            </w:r>
          </w:p>
        </w:tc>
        <w:tc>
          <w:tcPr>
            <w:tcW w:w="49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排放规律</w:t>
            </w:r>
          </w:p>
        </w:tc>
        <w:tc>
          <w:tcPr>
            <w:tcW w:w="4966" w:type="dxa"/>
            <w:gridSpan w:val="5"/>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主要的污染物</w:t>
            </w:r>
          </w:p>
        </w:tc>
        <w:tc>
          <w:tcPr>
            <w:tcW w:w="121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污染物类型</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产生浓度（mg/L）</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产生量（t/a）</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排放浓度（mg/L）</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排放量（t/a）</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48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w:t>
            </w:r>
          </w:p>
        </w:tc>
        <w:tc>
          <w:tcPr>
            <w:tcW w:w="82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地面冲洗废水</w:t>
            </w:r>
          </w:p>
        </w:tc>
        <w:tc>
          <w:tcPr>
            <w:tcW w:w="126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12</w:t>
            </w:r>
            <w:r>
              <w:rPr>
                <w:rFonts w:hint="default" w:ascii="Times New Roman" w:hAnsi="Times New Roman" w:eastAsia="宋体" w:cs="Times New Roman"/>
                <w:color w:val="000000" w:themeColor="text1"/>
                <w:sz w:val="21"/>
                <w:u w:val="single"/>
                <w14:textFill>
                  <w14:solidFill>
                    <w14:schemeClr w14:val="tx1"/>
                  </w14:solidFill>
                </w14:textFill>
              </w:rPr>
              <w:t>t/a</w:t>
            </w:r>
          </w:p>
        </w:tc>
        <w:tc>
          <w:tcPr>
            <w:tcW w:w="49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间接排放</w:t>
            </w: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COD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cr</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500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0.006</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50</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0.0006</w:t>
            </w:r>
          </w:p>
        </w:tc>
        <w:tc>
          <w:tcPr>
            <w:tcW w:w="121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炼油部污水预处理装置隔油处理后，再送</w:t>
            </w:r>
            <w:r>
              <w:rPr>
                <w:rFonts w:hint="eastAsia" w:eastAsia="宋体" w:cs="Times New Roman"/>
                <w:color w:val="000000" w:themeColor="text1"/>
                <w:sz w:val="21"/>
                <w:u w:val="single"/>
                <w14:textFill>
                  <w14:solidFill>
                    <w14:schemeClr w14:val="tx1"/>
                  </w14:solidFill>
                </w14:textFill>
              </w:rPr>
              <w:t>巴陵石化水务部云溪生化装置</w:t>
            </w:r>
            <w:r>
              <w:rPr>
                <w:rFonts w:eastAsia="宋体" w:cs="Times New Roman"/>
                <w:color w:val="000000" w:themeColor="text1"/>
                <w:sz w:val="21"/>
                <w:u w:val="single"/>
                <w14:textFill>
                  <w14:solidFill>
                    <w14:schemeClr w14:val="tx1"/>
                  </w14:solidFill>
                </w14:textFill>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BOD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5</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300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0.0036</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20</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0.0002</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石油类</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60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0.0007</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5</w:t>
            </w:r>
          </w:p>
        </w:tc>
        <w:tc>
          <w:tcPr>
            <w:tcW w:w="110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0.00006</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8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2</w:t>
            </w:r>
          </w:p>
        </w:tc>
        <w:tc>
          <w:tcPr>
            <w:tcW w:w="82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初期雨水</w:t>
            </w:r>
          </w:p>
        </w:tc>
        <w:tc>
          <w:tcPr>
            <w:tcW w:w="126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1220.4t/a</w:t>
            </w:r>
          </w:p>
        </w:tc>
        <w:tc>
          <w:tcPr>
            <w:tcW w:w="49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间接排放</w:t>
            </w: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COD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cr</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500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0.6</w:t>
            </w:r>
          </w:p>
        </w:tc>
        <w:tc>
          <w:tcPr>
            <w:tcW w:w="1103" w:type="dxa"/>
            <w:noWrap w:val="0"/>
            <w:vAlign w:val="center"/>
          </w:tcPr>
          <w:p>
            <w:pPr>
              <w:pStyle w:val="112"/>
              <w:keepNext w:val="0"/>
              <w:keepLines w:val="0"/>
              <w:suppressLineNumbers w:val="0"/>
              <w:spacing w:before="26" w:beforeAutospacing="0" w:after="0" w:afterAutospacing="0"/>
              <w:ind w:left="413" w:right="376"/>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50</w:t>
            </w:r>
          </w:p>
        </w:tc>
        <w:tc>
          <w:tcPr>
            <w:tcW w:w="1103" w:type="dxa"/>
            <w:noWrap w:val="0"/>
            <w:vAlign w:val="center"/>
          </w:tcPr>
          <w:p>
            <w:pPr>
              <w:pStyle w:val="112"/>
              <w:keepNext w:val="0"/>
              <w:keepLines w:val="0"/>
              <w:suppressLineNumbers w:val="0"/>
              <w:spacing w:before="26" w:beforeAutospacing="0" w:after="0" w:afterAutospacing="0"/>
              <w:ind w:left="141" w:right="10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0.06</w:t>
            </w:r>
          </w:p>
        </w:tc>
        <w:tc>
          <w:tcPr>
            <w:tcW w:w="121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炼油部污水预处理装置隔油处理后，再送</w:t>
            </w:r>
            <w:r>
              <w:rPr>
                <w:rFonts w:hint="eastAsia" w:eastAsia="宋体" w:cs="Times New Roman"/>
                <w:color w:val="000000" w:themeColor="text1"/>
                <w:sz w:val="21"/>
                <w:u w:val="single"/>
                <w14:textFill>
                  <w14:solidFill>
                    <w14:schemeClr w14:val="tx1"/>
                  </w14:solidFill>
                </w14:textFill>
              </w:rPr>
              <w:t>巴陵石化水务部云溪生化装置</w:t>
            </w:r>
            <w:r>
              <w:rPr>
                <w:rFonts w:eastAsia="宋体" w:cs="Times New Roman"/>
                <w:color w:val="000000" w:themeColor="text1"/>
                <w:sz w:val="21"/>
                <w:u w:val="single"/>
                <w14:textFill>
                  <w14:solidFill>
                    <w14:schemeClr w14:val="tx1"/>
                  </w14:solidFill>
                </w14:textFill>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BOD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5</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300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0.37</w:t>
            </w:r>
          </w:p>
        </w:tc>
        <w:tc>
          <w:tcPr>
            <w:tcW w:w="1103" w:type="dxa"/>
            <w:noWrap w:val="0"/>
            <w:vAlign w:val="center"/>
          </w:tcPr>
          <w:p>
            <w:pPr>
              <w:pStyle w:val="112"/>
              <w:keepNext w:val="0"/>
              <w:keepLines w:val="0"/>
              <w:suppressLineNumbers w:val="0"/>
              <w:spacing w:before="30" w:beforeAutospacing="0" w:after="0" w:afterAutospacing="0"/>
              <w:ind w:left="413" w:right="376"/>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20</w:t>
            </w:r>
          </w:p>
        </w:tc>
        <w:tc>
          <w:tcPr>
            <w:tcW w:w="1103" w:type="dxa"/>
            <w:noWrap w:val="0"/>
            <w:vAlign w:val="center"/>
          </w:tcPr>
          <w:p>
            <w:pPr>
              <w:pStyle w:val="112"/>
              <w:keepNext w:val="0"/>
              <w:keepLines w:val="0"/>
              <w:suppressLineNumbers w:val="0"/>
              <w:spacing w:before="30" w:beforeAutospacing="0" w:after="0" w:afterAutospacing="0"/>
              <w:ind w:left="141" w:right="108"/>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0.024</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SS</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300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0.37</w:t>
            </w:r>
          </w:p>
        </w:tc>
        <w:tc>
          <w:tcPr>
            <w:tcW w:w="1103" w:type="dxa"/>
            <w:noWrap w:val="0"/>
            <w:vAlign w:val="center"/>
          </w:tcPr>
          <w:p>
            <w:pPr>
              <w:pStyle w:val="112"/>
              <w:keepNext w:val="0"/>
              <w:keepLines w:val="0"/>
              <w:suppressLineNumbers w:val="0"/>
              <w:spacing w:before="30" w:beforeAutospacing="0" w:after="0" w:afterAutospacing="0"/>
              <w:ind w:left="413" w:right="376"/>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70</w:t>
            </w:r>
          </w:p>
        </w:tc>
        <w:tc>
          <w:tcPr>
            <w:tcW w:w="1103" w:type="dxa"/>
            <w:noWrap w:val="0"/>
            <w:vAlign w:val="center"/>
          </w:tcPr>
          <w:p>
            <w:pPr>
              <w:pStyle w:val="112"/>
              <w:keepNext w:val="0"/>
              <w:keepLines w:val="0"/>
              <w:suppressLineNumbers w:val="0"/>
              <w:spacing w:before="30" w:beforeAutospacing="0" w:after="0" w:afterAutospacing="0"/>
              <w:ind w:left="141" w:right="108"/>
              <w:rPr>
                <w:rFonts w:hint="eastAsia" w:ascii="Times New Roman" w:hAnsi="Times New Roman"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0.085</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石油类</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60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0.073</w:t>
            </w:r>
          </w:p>
        </w:tc>
        <w:tc>
          <w:tcPr>
            <w:tcW w:w="1103" w:type="dxa"/>
            <w:noWrap w:val="0"/>
            <w:vAlign w:val="center"/>
          </w:tcPr>
          <w:p>
            <w:pPr>
              <w:pStyle w:val="112"/>
              <w:keepNext w:val="0"/>
              <w:keepLines w:val="0"/>
              <w:suppressLineNumbers w:val="0"/>
              <w:spacing w:before="30" w:beforeAutospacing="0" w:after="0" w:afterAutospacing="0"/>
              <w:ind w:left="31"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5</w:t>
            </w:r>
          </w:p>
        </w:tc>
        <w:tc>
          <w:tcPr>
            <w:tcW w:w="1103" w:type="dxa"/>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0.006</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8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3</w:t>
            </w:r>
          </w:p>
        </w:tc>
        <w:tc>
          <w:tcPr>
            <w:tcW w:w="82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机泵冷却产生的含油污水</w:t>
            </w:r>
          </w:p>
        </w:tc>
        <w:tc>
          <w:tcPr>
            <w:tcW w:w="126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5t/d（1</w:t>
            </w:r>
            <w:r>
              <w:rPr>
                <w:rFonts w:hint="eastAsia" w:eastAsia="宋体" w:cs="Times New Roman"/>
                <w:color w:val="000000" w:themeColor="text1"/>
                <w:sz w:val="21"/>
                <w:u w:val="single"/>
                <w:lang w:val="en-US" w:eastAsia="zh-CN"/>
                <w14:textFill>
                  <w14:solidFill>
                    <w14:schemeClr w14:val="tx1"/>
                  </w14:solidFill>
                </w14:textFill>
              </w:rPr>
              <w:t>650</w:t>
            </w:r>
            <w:r>
              <w:rPr>
                <w:rFonts w:hint="default" w:ascii="Times New Roman" w:hAnsi="Times New Roman" w:eastAsia="宋体" w:cs="Times New Roman"/>
                <w:color w:val="000000" w:themeColor="text1"/>
                <w:sz w:val="21"/>
                <w:u w:val="single"/>
                <w14:textFill>
                  <w14:solidFill>
                    <w14:schemeClr w14:val="tx1"/>
                  </w14:solidFill>
                </w14:textFill>
              </w:rPr>
              <w:t>t/a）</w:t>
            </w:r>
          </w:p>
        </w:tc>
        <w:tc>
          <w:tcPr>
            <w:tcW w:w="49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间接排放</w:t>
            </w: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COD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cr</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500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0.8</w:t>
            </w:r>
          </w:p>
        </w:tc>
        <w:tc>
          <w:tcPr>
            <w:tcW w:w="1103" w:type="dxa"/>
            <w:noWrap w:val="0"/>
            <w:vAlign w:val="center"/>
          </w:tcPr>
          <w:p>
            <w:pPr>
              <w:pStyle w:val="112"/>
              <w:keepNext w:val="0"/>
              <w:keepLines w:val="0"/>
              <w:suppressLineNumbers w:val="0"/>
              <w:spacing w:before="30" w:beforeAutospacing="0" w:after="0" w:afterAutospacing="0"/>
              <w:ind w:left="31"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50</w:t>
            </w:r>
          </w:p>
        </w:tc>
        <w:tc>
          <w:tcPr>
            <w:tcW w:w="1103" w:type="dxa"/>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0.08</w:t>
            </w:r>
          </w:p>
        </w:tc>
        <w:tc>
          <w:tcPr>
            <w:tcW w:w="121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炼油部污水预处理装置处理后，再送</w:t>
            </w:r>
            <w:r>
              <w:rPr>
                <w:rFonts w:hint="eastAsia" w:eastAsia="宋体" w:cs="Times New Roman"/>
                <w:color w:val="000000" w:themeColor="text1"/>
                <w:sz w:val="21"/>
                <w:u w:val="single"/>
                <w14:textFill>
                  <w14:solidFill>
                    <w14:schemeClr w14:val="tx1"/>
                  </w14:solidFill>
                </w14:textFill>
              </w:rPr>
              <w:t>巴陵石化水务部云溪生化装置</w:t>
            </w:r>
            <w:r>
              <w:rPr>
                <w:rFonts w:eastAsia="宋体" w:cs="Times New Roman"/>
                <w:color w:val="000000" w:themeColor="text1"/>
                <w:sz w:val="21"/>
                <w:u w:val="single"/>
                <w14:textFill>
                  <w14:solidFill>
                    <w14:schemeClr w14:val="tx1"/>
                  </w14:solidFill>
                </w14:textFill>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BOD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5</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300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0.5</w:t>
            </w:r>
          </w:p>
        </w:tc>
        <w:tc>
          <w:tcPr>
            <w:tcW w:w="1103" w:type="dxa"/>
            <w:noWrap w:val="0"/>
            <w:vAlign w:val="center"/>
          </w:tcPr>
          <w:p>
            <w:pPr>
              <w:pStyle w:val="112"/>
              <w:keepNext w:val="0"/>
              <w:keepLines w:val="0"/>
              <w:suppressLineNumbers w:val="0"/>
              <w:spacing w:before="30" w:beforeAutospacing="0" w:after="0" w:afterAutospacing="0"/>
              <w:ind w:left="31"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20</w:t>
            </w:r>
          </w:p>
        </w:tc>
        <w:tc>
          <w:tcPr>
            <w:tcW w:w="1103" w:type="dxa"/>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0.03</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石油类</w:t>
            </w:r>
          </w:p>
        </w:tc>
        <w:tc>
          <w:tcPr>
            <w:tcW w:w="10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60</w:t>
            </w:r>
          </w:p>
        </w:tc>
        <w:tc>
          <w:tcPr>
            <w:tcW w:w="84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0.1</w:t>
            </w:r>
          </w:p>
        </w:tc>
        <w:tc>
          <w:tcPr>
            <w:tcW w:w="1103" w:type="dxa"/>
            <w:noWrap w:val="0"/>
            <w:vAlign w:val="center"/>
          </w:tcPr>
          <w:p>
            <w:pPr>
              <w:pStyle w:val="112"/>
              <w:keepNext w:val="0"/>
              <w:keepLines w:val="0"/>
              <w:suppressLineNumbers w:val="0"/>
              <w:spacing w:before="30" w:beforeAutospacing="0" w:after="0" w:afterAutospacing="0"/>
              <w:ind w:left="31"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5</w:t>
            </w:r>
          </w:p>
        </w:tc>
        <w:tc>
          <w:tcPr>
            <w:tcW w:w="1103" w:type="dxa"/>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0.008</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8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w:t>
            </w:r>
          </w:p>
        </w:tc>
        <w:tc>
          <w:tcPr>
            <w:tcW w:w="82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粗白油分馏塔顶回流罐产生的含硫污水</w:t>
            </w:r>
          </w:p>
        </w:tc>
        <w:tc>
          <w:tcPr>
            <w:tcW w:w="126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1t/d（</w:t>
            </w:r>
            <w:r>
              <w:rPr>
                <w:rFonts w:hint="eastAsia" w:eastAsia="宋体" w:cs="Times New Roman"/>
                <w:color w:val="000000" w:themeColor="text1"/>
                <w:sz w:val="21"/>
                <w:u w:val="single"/>
                <w:lang w:val="en-US" w:eastAsia="zh-CN"/>
                <w14:textFill>
                  <w14:solidFill>
                    <w14:schemeClr w14:val="tx1"/>
                  </w14:solidFill>
                </w14:textFill>
              </w:rPr>
              <w:t>330</w:t>
            </w:r>
            <w:r>
              <w:rPr>
                <w:rFonts w:hint="default" w:ascii="Times New Roman" w:hAnsi="Times New Roman" w:eastAsia="宋体" w:cs="Times New Roman"/>
                <w:color w:val="000000" w:themeColor="text1"/>
                <w:sz w:val="21"/>
                <w:u w:val="single"/>
                <w14:textFill>
                  <w14:solidFill>
                    <w14:schemeClr w14:val="tx1"/>
                  </w14:solidFill>
                </w14:textFill>
              </w:rPr>
              <w:t>t/a）</w:t>
            </w:r>
          </w:p>
        </w:tc>
        <w:tc>
          <w:tcPr>
            <w:tcW w:w="496"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间接排放</w:t>
            </w:r>
          </w:p>
        </w:tc>
        <w:tc>
          <w:tcPr>
            <w:tcW w:w="82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COD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cr</w:t>
            </w:r>
          </w:p>
        </w:tc>
        <w:tc>
          <w:tcPr>
            <w:tcW w:w="10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500</w:t>
            </w:r>
          </w:p>
        </w:tc>
        <w:tc>
          <w:tcPr>
            <w:tcW w:w="84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0.17</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31" w:right="0"/>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50</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141" w:right="107"/>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0.02</w:t>
            </w:r>
          </w:p>
        </w:tc>
        <w:tc>
          <w:tcPr>
            <w:tcW w:w="121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color w:val="000000" w:themeColor="text1"/>
                <w:sz w:val="21"/>
                <w:u w:val="single"/>
                <w:lang w:eastAsia="zh-CN"/>
                <w14:textFill>
                  <w14:solidFill>
                    <w14:schemeClr w14:val="tx1"/>
                  </w14:solidFill>
                </w14:textFill>
              </w:rPr>
            </w:pPr>
            <w:r>
              <w:rPr>
                <w:rFonts w:eastAsia="宋体" w:cs="Times New Roman"/>
                <w:color w:val="000000" w:themeColor="text1"/>
                <w:sz w:val="21"/>
                <w:u w:val="single"/>
                <w14:textFill>
                  <w14:solidFill>
                    <w14:schemeClr w14:val="tx1"/>
                  </w14:solidFill>
                </w14:textFill>
              </w:rPr>
              <w:t>送酸性水气提装置处理后部分回用常压装置，其余排入炼油部污水预处理装置处理后，再送</w:t>
            </w:r>
            <w:r>
              <w:rPr>
                <w:rFonts w:hint="eastAsia" w:eastAsia="宋体" w:cs="Times New Roman"/>
                <w:color w:val="000000" w:themeColor="text1"/>
                <w:sz w:val="21"/>
                <w:u w:val="single"/>
                <w14:textFill>
                  <w14:solidFill>
                    <w14:schemeClr w14:val="tx1"/>
                  </w14:solidFill>
                </w14:textFill>
              </w:rPr>
              <w:t>巴陵石化水务部云溪生化装置</w:t>
            </w:r>
            <w:r>
              <w:rPr>
                <w:rFonts w:hint="eastAsia" w:cs="Times New Roman"/>
                <w:color w:val="000000" w:themeColor="text1"/>
                <w:sz w:val="21"/>
                <w:u w:val="single"/>
                <w:lang w:eastAsia="zh-CN"/>
                <w14:textFill>
                  <w14:solidFill>
                    <w14:schemeClr w14:val="tx1"/>
                  </w14:solidFill>
                </w14:textFill>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BOD</w:t>
            </w:r>
            <w:r>
              <w:rPr>
                <w:rFonts w:hint="default" w:ascii="Times New Roman" w:hAnsi="Times New Roman" w:eastAsia="宋体" w:cs="Times New Roman"/>
                <w:color w:val="000000" w:themeColor="text1"/>
                <w:sz w:val="21"/>
                <w:u w:val="single"/>
                <w:vertAlign w:val="subscript"/>
                <w14:textFill>
                  <w14:solidFill>
                    <w14:schemeClr w14:val="tx1"/>
                  </w14:solidFill>
                </w14:textFill>
              </w:rPr>
              <w:t>5</w:t>
            </w:r>
          </w:p>
        </w:tc>
        <w:tc>
          <w:tcPr>
            <w:tcW w:w="10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300</w:t>
            </w:r>
          </w:p>
        </w:tc>
        <w:tc>
          <w:tcPr>
            <w:tcW w:w="84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0.1</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31" w:right="0"/>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20</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141" w:right="107"/>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0.007</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石油类</w:t>
            </w:r>
          </w:p>
        </w:tc>
        <w:tc>
          <w:tcPr>
            <w:tcW w:w="10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60</w:t>
            </w:r>
          </w:p>
        </w:tc>
        <w:tc>
          <w:tcPr>
            <w:tcW w:w="84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0.02</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31" w:right="0"/>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5</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141" w:right="107"/>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0.002</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氨氮</w:t>
            </w:r>
          </w:p>
        </w:tc>
        <w:tc>
          <w:tcPr>
            <w:tcW w:w="10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30</w:t>
            </w:r>
          </w:p>
        </w:tc>
        <w:tc>
          <w:tcPr>
            <w:tcW w:w="84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0.01</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31" w:right="0"/>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5</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141" w:right="107"/>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0.002</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126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496"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u w:val="single"/>
                <w14:textFill>
                  <w14:solidFill>
                    <w14:schemeClr w14:val="tx1"/>
                  </w14:solidFill>
                </w14:textFill>
              </w:rPr>
            </w:pPr>
          </w:p>
        </w:tc>
        <w:tc>
          <w:tcPr>
            <w:tcW w:w="82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硫化物</w:t>
            </w:r>
          </w:p>
        </w:tc>
        <w:tc>
          <w:tcPr>
            <w:tcW w:w="10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5</w:t>
            </w:r>
          </w:p>
        </w:tc>
        <w:tc>
          <w:tcPr>
            <w:tcW w:w="84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eastAsia="宋体" w:cs="Times New Roman"/>
                <w:color w:val="000000" w:themeColor="text1"/>
                <w:sz w:val="21"/>
                <w:u w:val="single"/>
                <w:lang w:val="en-US" w:eastAsia="zh-CN"/>
                <w14:textFill>
                  <w14:solidFill>
                    <w14:schemeClr w14:val="tx1"/>
                  </w14:solidFill>
                </w14:textFill>
              </w:rPr>
              <w:t>0.002</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31" w:right="0"/>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1</w:t>
            </w:r>
          </w:p>
        </w:tc>
        <w:tc>
          <w:tcPr>
            <w:tcW w:w="1103" w:type="dxa"/>
            <w:noWrap w:val="0"/>
            <w:vAlign w:val="center"/>
          </w:tcPr>
          <w:p>
            <w:pPr>
              <w:pStyle w:val="112"/>
              <w:keepNext w:val="0"/>
              <w:keepLines w:val="0"/>
              <w:pageBreakBefore w:val="0"/>
              <w:widowControl w:val="0"/>
              <w:suppressLineNumbers w:val="0"/>
              <w:kinsoku/>
              <w:wordWrap/>
              <w:overflowPunct/>
              <w:topLinePunct w:val="0"/>
              <w:bidi w:val="0"/>
              <w:spacing w:before="30" w:beforeAutospacing="0" w:after="0" w:afterAutospacing="0"/>
              <w:ind w:left="141" w:right="107"/>
              <w:textAlignment w:val="auto"/>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0.0003</w:t>
            </w:r>
          </w:p>
        </w:tc>
        <w:tc>
          <w:tcPr>
            <w:tcW w:w="121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营运期噪声</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本项目营运期噪声主要为各类换热器、冷却器及各类机泵等，单机设备噪声源强约为75~90dB（A），采取的防噪措施约为：加减震基础，选择低噪声设备，加装消声器等，项目主要噪声源和处理方式见下表所示。</w:t>
      </w:r>
    </w:p>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噪声排放一览表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559"/>
        <w:gridCol w:w="1559"/>
        <w:gridCol w:w="2555"/>
        <w:gridCol w:w="2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9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15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噪声源</w:t>
            </w:r>
          </w:p>
        </w:tc>
        <w:tc>
          <w:tcPr>
            <w:tcW w:w="15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噪声源强</w:t>
            </w:r>
          </w:p>
        </w:tc>
        <w:tc>
          <w:tcPr>
            <w:tcW w:w="2555"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治理措施</w:t>
            </w:r>
          </w:p>
        </w:tc>
        <w:tc>
          <w:tcPr>
            <w:tcW w:w="2610"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降噪后源强</w:t>
            </w:r>
            <w:r>
              <w:rPr>
                <w:rFonts w:hint="default" w:ascii="Times New Roman" w:hAnsi="Times New Roman" w:eastAsia="TimesNewRomanPSMT" w:cs="Times New Roman"/>
                <w:color w:val="000000" w:themeColor="text1"/>
                <w:kern w:val="0"/>
                <w:sz w:val="21"/>
                <w14:textFill>
                  <w14:solidFill>
                    <w14:schemeClr w14:val="tx1"/>
                  </w14:solidFill>
                </w14:textFill>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15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分馏塔</w:t>
            </w:r>
          </w:p>
        </w:tc>
        <w:tc>
          <w:tcPr>
            <w:tcW w:w="1559" w:type="dxa"/>
            <w:tcBorders>
              <w:bottom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TimesNewRomanPSMT" w:cs="Times New Roman"/>
                <w:color w:val="000000" w:themeColor="text1"/>
                <w:kern w:val="0"/>
                <w:sz w:val="21"/>
                <w14:textFill>
                  <w14:solidFill>
                    <w14:schemeClr w14:val="tx1"/>
                  </w14:solidFill>
                </w14:textFill>
              </w:rPr>
              <w:t>85~90</w:t>
            </w:r>
          </w:p>
        </w:tc>
        <w:tc>
          <w:tcPr>
            <w:tcW w:w="2555" w:type="dxa"/>
            <w:tcBorders>
              <w:bottom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减振+建筑物隔声</w:t>
            </w:r>
          </w:p>
        </w:tc>
        <w:tc>
          <w:tcPr>
            <w:tcW w:w="2610"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15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换热器</w:t>
            </w:r>
          </w:p>
        </w:tc>
        <w:tc>
          <w:tcPr>
            <w:tcW w:w="1559" w:type="dxa"/>
            <w:tcBorders>
              <w:top w:val="single" w:color="000000" w:sz="4" w:space="0"/>
              <w:bottom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TimesNewRomanPSMT" w:cs="Times New Roman"/>
                <w:color w:val="000000" w:themeColor="text1"/>
                <w:kern w:val="0"/>
                <w:sz w:val="21"/>
                <w14:textFill>
                  <w14:solidFill>
                    <w14:schemeClr w14:val="tx1"/>
                  </w14:solidFill>
                </w14:textFill>
              </w:rPr>
              <w:t>80~85</w:t>
            </w:r>
          </w:p>
        </w:tc>
        <w:tc>
          <w:tcPr>
            <w:tcW w:w="2555" w:type="dxa"/>
            <w:tcBorders>
              <w:top w:val="single" w:color="000000" w:sz="4" w:space="0"/>
              <w:bottom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减振+建筑物隔声</w:t>
            </w:r>
          </w:p>
        </w:tc>
        <w:tc>
          <w:tcPr>
            <w:tcW w:w="2610" w:type="dxa"/>
            <w:tcBorders>
              <w:bottom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15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冷却器</w:t>
            </w:r>
          </w:p>
        </w:tc>
        <w:tc>
          <w:tcPr>
            <w:tcW w:w="1559" w:type="dxa"/>
            <w:tcBorders>
              <w:top w:val="single" w:color="000000" w:sz="4" w:space="0"/>
              <w:bottom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TimesNewRomanPSMT" w:cs="Times New Roman"/>
                <w:color w:val="000000" w:themeColor="text1"/>
                <w:kern w:val="0"/>
                <w:sz w:val="21"/>
                <w14:textFill>
                  <w14:solidFill>
                    <w14:schemeClr w14:val="tx1"/>
                  </w14:solidFill>
                </w14:textFill>
              </w:rPr>
              <w:t>75~80</w:t>
            </w:r>
          </w:p>
        </w:tc>
        <w:tc>
          <w:tcPr>
            <w:tcW w:w="2555" w:type="dxa"/>
            <w:tcBorders>
              <w:top w:val="single" w:color="000000" w:sz="4" w:space="0"/>
              <w:bottom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减振+建筑物隔声</w:t>
            </w:r>
          </w:p>
        </w:tc>
        <w:tc>
          <w:tcPr>
            <w:tcW w:w="2610" w:type="dxa"/>
            <w:tcBorders>
              <w:top w:val="single" w:color="000000" w:sz="4" w:space="0"/>
              <w:bottom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1559" w:type="dxa"/>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各类机泵</w:t>
            </w:r>
          </w:p>
        </w:tc>
        <w:tc>
          <w:tcPr>
            <w:tcW w:w="1559" w:type="dxa"/>
            <w:tcBorders>
              <w:top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TimesNewRomanPSMT" w:cs="Times New Roman"/>
                <w:color w:val="000000" w:themeColor="text1"/>
                <w:kern w:val="0"/>
                <w:sz w:val="21"/>
                <w14:textFill>
                  <w14:solidFill>
                    <w14:schemeClr w14:val="tx1"/>
                  </w14:solidFill>
                </w14:textFill>
              </w:rPr>
              <w:t>80~85</w:t>
            </w:r>
          </w:p>
        </w:tc>
        <w:tc>
          <w:tcPr>
            <w:tcW w:w="2555" w:type="dxa"/>
            <w:tcBorders>
              <w:top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减振+建筑物隔声</w:t>
            </w:r>
          </w:p>
        </w:tc>
        <w:tc>
          <w:tcPr>
            <w:tcW w:w="2610" w:type="dxa"/>
            <w:tcBorders>
              <w:top w:val="single" w:color="000000" w:sz="4" w:space="0"/>
            </w:tcBorders>
            <w:noWrap w:val="0"/>
            <w:vAlign w:val="center"/>
          </w:tcPr>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75</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营运期固体废物</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按《固体废物鉴别导则（实行）》（国家环保总局公告2006年11号）和《国家危险废物名录（20</w:t>
      </w:r>
      <w:r>
        <w:rPr>
          <w:rFonts w:hint="eastAsia"/>
          <w:color w:val="000000" w:themeColor="text1"/>
          <w:lang w:val="en-US" w:eastAsia="zh-CN"/>
          <w14:textFill>
            <w14:solidFill>
              <w14:schemeClr w14:val="tx1"/>
            </w14:solidFill>
          </w14:textFill>
        </w:rPr>
        <w:t>21年版</w:t>
      </w:r>
      <w:r>
        <w:rPr>
          <w:color w:val="000000" w:themeColor="text1"/>
          <w14:textFill>
            <w14:solidFill>
              <w14:schemeClr w14:val="tx1"/>
            </w14:solidFill>
          </w14:textFill>
        </w:rPr>
        <w:t>）》的有关要求，对项目固废进行分类，本项目固废主要是危险废物。</w:t>
      </w:r>
    </w:p>
    <w:p>
      <w:pPr>
        <w:keepNext/>
        <w:jc w:val="center"/>
        <w:rPr>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STYLEREF 2 \s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5</w:t>
      </w:r>
      <w:r>
        <w:rPr>
          <w:rFonts w:hint="default" w:ascii="Times New Roman" w:hAnsi="Times New Roman" w:cs="Times New Roman"/>
          <w:b/>
          <w:color w:val="000000" w:themeColor="text1"/>
          <w:lang w:val="en-US" w:eastAsia="zh-CN"/>
          <w14:textFill>
            <w14:solidFill>
              <w14:schemeClr w14:val="tx1"/>
            </w14:solidFill>
          </w14:textFill>
        </w:rPr>
        <w:t>.</w:t>
      </w:r>
      <w:r>
        <w:rPr>
          <w:rFonts w:hint="default" w:ascii="Times New Roman" w:hAnsi="Times New Roman" w:cs="Times New Roman"/>
          <w:b/>
          <w:color w:val="000000" w:themeColor="text1"/>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noBreakHyphen/>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SEQ 表 \* ARABIC \s 2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8</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t xml:space="preserve">  本项目固体废物产生情况一览表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770"/>
        <w:gridCol w:w="770"/>
        <w:gridCol w:w="511"/>
        <w:gridCol w:w="1672"/>
        <w:gridCol w:w="1176"/>
        <w:gridCol w:w="1176"/>
        <w:gridCol w:w="684"/>
        <w:gridCol w:w="597"/>
        <w:gridCol w:w="13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6"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416"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副产物名称</w:t>
            </w:r>
          </w:p>
        </w:tc>
        <w:tc>
          <w:tcPr>
            <w:tcW w:w="416"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产生工序</w:t>
            </w:r>
          </w:p>
        </w:tc>
        <w:tc>
          <w:tcPr>
            <w:tcW w:w="276"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形态</w:t>
            </w:r>
          </w:p>
        </w:tc>
        <w:tc>
          <w:tcPr>
            <w:tcW w:w="904"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主要成分</w:t>
            </w:r>
          </w:p>
        </w:tc>
        <w:tc>
          <w:tcPr>
            <w:tcW w:w="636"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年产生量（吨/年）</w:t>
            </w:r>
          </w:p>
        </w:tc>
        <w:tc>
          <w:tcPr>
            <w:tcW w:w="636"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排放规律（年/次）</w:t>
            </w:r>
          </w:p>
        </w:tc>
        <w:tc>
          <w:tcPr>
            <w:tcW w:w="1436"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27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41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41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27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904"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63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636"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固体废物</w:t>
            </w:r>
          </w:p>
        </w:tc>
        <w:tc>
          <w:tcPr>
            <w:tcW w:w="32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副产品</w:t>
            </w:r>
          </w:p>
        </w:tc>
        <w:tc>
          <w:tcPr>
            <w:tcW w:w="74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废催化剂</w:t>
            </w:r>
          </w:p>
        </w:tc>
        <w:tc>
          <w:tcPr>
            <w:tcW w:w="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加氢反应器</w:t>
            </w:r>
          </w:p>
        </w:tc>
        <w:tc>
          <w:tcPr>
            <w:tcW w:w="27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固态</w:t>
            </w:r>
          </w:p>
        </w:tc>
        <w:tc>
          <w:tcPr>
            <w:tcW w:w="90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w:t>
            </w:r>
            <w:r>
              <w:rPr>
                <w:rFonts w:hint="default" w:ascii="Times New Roman" w:hAnsi="Times New Roman" w:eastAsia="宋体" w:cs="Times New Roman"/>
                <w:color w:val="000000" w:themeColor="text1"/>
                <w:sz w:val="21"/>
                <w:vertAlign w:val="subscript"/>
                <w14:textFill>
                  <w14:solidFill>
                    <w14:schemeClr w14:val="tx1"/>
                  </w14:solidFill>
                </w14:textFill>
              </w:rPr>
              <w:t>O</w:t>
            </w:r>
            <w:r>
              <w:rPr>
                <w:rFonts w:hint="default" w:ascii="Times New Roman" w:hAnsi="Times New Roman" w:eastAsia="宋体" w:cs="Times New Roman"/>
                <w:color w:val="000000" w:themeColor="text1"/>
                <w:sz w:val="21"/>
                <w14:textFill>
                  <w14:solidFill>
                    <w14:schemeClr w14:val="tx1"/>
                  </w14:solidFill>
                </w14:textFill>
              </w:rPr>
              <w:t>O</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、CoO、NiO、石油类</w:t>
            </w:r>
          </w:p>
        </w:tc>
        <w:tc>
          <w:tcPr>
            <w:tcW w:w="63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9.18</w:t>
            </w:r>
          </w:p>
        </w:tc>
        <w:tc>
          <w:tcPr>
            <w:tcW w:w="63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6年/次</w:t>
            </w:r>
          </w:p>
        </w:tc>
        <w:tc>
          <w:tcPr>
            <w:tcW w:w="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32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74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生产过程中产生的废弃物质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废保护剂</w:t>
            </w:r>
          </w:p>
        </w:tc>
        <w:tc>
          <w:tcPr>
            <w:tcW w:w="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加氢反应器</w:t>
            </w:r>
          </w:p>
        </w:tc>
        <w:tc>
          <w:tcPr>
            <w:tcW w:w="27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固态</w:t>
            </w:r>
          </w:p>
        </w:tc>
        <w:tc>
          <w:tcPr>
            <w:tcW w:w="90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w:t>
            </w:r>
            <w:r>
              <w:rPr>
                <w:rFonts w:hint="default" w:ascii="Times New Roman" w:hAnsi="Times New Roman" w:eastAsia="宋体" w:cs="Times New Roman"/>
                <w:color w:val="000000" w:themeColor="text1"/>
                <w:sz w:val="21"/>
                <w:vertAlign w:val="subscript"/>
                <w14:textFill>
                  <w14:solidFill>
                    <w14:schemeClr w14:val="tx1"/>
                  </w14:solidFill>
                </w14:textFill>
              </w:rPr>
              <w:t>O</w:t>
            </w:r>
            <w:r>
              <w:rPr>
                <w:rFonts w:hint="default" w:ascii="Times New Roman" w:hAnsi="Times New Roman" w:eastAsia="宋体" w:cs="Times New Roman"/>
                <w:color w:val="000000" w:themeColor="text1"/>
                <w:sz w:val="21"/>
                <w14:textFill>
                  <w14:solidFill>
                    <w14:schemeClr w14:val="tx1"/>
                  </w14:solidFill>
                </w14:textFill>
              </w:rPr>
              <w:t>O</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、CoO、NiO、石油类</w:t>
            </w:r>
          </w:p>
        </w:tc>
        <w:tc>
          <w:tcPr>
            <w:tcW w:w="63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63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3年/次</w:t>
            </w:r>
          </w:p>
        </w:tc>
        <w:tc>
          <w:tcPr>
            <w:tcW w:w="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32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74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生产过程中产生的废弃物质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废瓷球</w:t>
            </w:r>
          </w:p>
        </w:tc>
        <w:tc>
          <w:tcPr>
            <w:tcW w:w="41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加氢反应器</w:t>
            </w:r>
          </w:p>
        </w:tc>
        <w:tc>
          <w:tcPr>
            <w:tcW w:w="27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固态</w:t>
            </w:r>
          </w:p>
        </w:tc>
        <w:tc>
          <w:tcPr>
            <w:tcW w:w="90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Al</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O</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、SiO</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、石油类</w:t>
            </w:r>
          </w:p>
        </w:tc>
        <w:tc>
          <w:tcPr>
            <w:tcW w:w="63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0.6</w:t>
            </w:r>
          </w:p>
        </w:tc>
        <w:tc>
          <w:tcPr>
            <w:tcW w:w="63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3年/次</w:t>
            </w:r>
          </w:p>
        </w:tc>
        <w:tc>
          <w:tcPr>
            <w:tcW w:w="37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32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74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生产过程中产生的废弃物质</w:t>
            </w:r>
          </w:p>
        </w:tc>
      </w:tr>
    </w:tbl>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根据《国家危险废物名录》（</w:t>
      </w:r>
      <w:r>
        <w:rPr>
          <w:rFonts w:hint="eastAsia" w:cs="Times New Roman"/>
          <w:color w:val="000000" w:themeColor="text1"/>
          <w:lang w:val="en-US" w:eastAsia="zh-CN"/>
          <w14:textFill>
            <w14:solidFill>
              <w14:schemeClr w14:val="tx1"/>
            </w14:solidFill>
          </w14:textFill>
        </w:rPr>
        <w:t>2021</w:t>
      </w:r>
      <w:r>
        <w:rPr>
          <w:rFonts w:hint="default" w:ascii="Times New Roman" w:hAnsi="Times New Roman"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版</w:t>
      </w:r>
      <w:r>
        <w:rPr>
          <w:rFonts w:hint="default" w:ascii="Times New Roman" w:hAnsi="Times New Roman" w:cs="Times New Roman"/>
          <w:color w:val="000000" w:themeColor="text1"/>
          <w14:textFill>
            <w14:solidFill>
              <w14:schemeClr w14:val="tx1"/>
            </w14:solidFill>
          </w14:textFill>
        </w:rPr>
        <w:t>）以及危险废物鉴别标准，判定该项目产生的三种工业固体废物中，废催化剂、废保护剂和废瓷球含有Ni，属于危险废物，需要交由有资质单位处置。</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废催化剂、废保护剂和废瓷球卸出的处理与要求如下：</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（1）切断物料后，将系统内存油通过退油线减至分馏系统，之后退至不合格产品罐；</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（2）减油一段时间后，观察高分液位，直至不再上涨，反应器升温至400℃气提不少于24小时，系统内存油通过退油线减至分馏系统。</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待系统降温至50℃，此时可翻通氮气盲板，对反应系统充压吹扫，联系化验室对排放气样分析，氢+烃含量合格，即含量小于0.5%（V），后联系工程公司打开反应系统相关人孔，通过底部人孔或上部人孔将瓷球、催化剂卸出。</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（4）提前与安环、物装等部门联系，将废催化剂及瓷球运出装置。</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本项目固体废物分析结果汇总见下表所示。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固体废物分析结果汇总表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713"/>
        <w:gridCol w:w="713"/>
        <w:gridCol w:w="809"/>
        <w:gridCol w:w="522"/>
        <w:gridCol w:w="1761"/>
        <w:gridCol w:w="713"/>
        <w:gridCol w:w="904"/>
        <w:gridCol w:w="1196"/>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固废名称</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属性</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产生工序</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形态</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主要成分</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危险特性</w:t>
            </w:r>
          </w:p>
        </w:tc>
        <w:tc>
          <w:tcPr>
            <w:tcW w:w="904"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废物类别</w:t>
            </w:r>
          </w:p>
        </w:tc>
        <w:tc>
          <w:tcPr>
            <w:tcW w:w="1196"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废物代码</w:t>
            </w:r>
          </w:p>
        </w:tc>
        <w:tc>
          <w:tcPr>
            <w:tcW w:w="1389"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废催化剂</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危险废物</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加氢反应器</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固态</w:t>
            </w:r>
          </w:p>
        </w:tc>
        <w:tc>
          <w:tcPr>
            <w:tcW w:w="1761"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MoO</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、CoO、NiO</w:t>
            </w:r>
            <w:r>
              <w:rPr>
                <w:rFonts w:hint="default" w:ascii="Times New Roman" w:hAnsi="Times New Roman" w:eastAsia="宋体" w:cs="Times New Roman"/>
                <w:color w:val="000000" w:themeColor="text1"/>
                <w:sz w:val="21"/>
                <w:lang w:eastAsia="zh-CN"/>
                <w14:textFill>
                  <w14:solidFill>
                    <w14:schemeClr w14:val="tx1"/>
                  </w14:solidFill>
                </w14:textFill>
              </w:rPr>
              <w:t>、石油类</w:t>
            </w:r>
          </w:p>
        </w:tc>
        <w:tc>
          <w:tcPr>
            <w:tcW w:w="713"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w:t>
            </w:r>
          </w:p>
        </w:tc>
        <w:tc>
          <w:tcPr>
            <w:tcW w:w="904"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HW</w:t>
            </w:r>
            <w:r>
              <w:rPr>
                <w:rFonts w:hint="default" w:ascii="Times New Roman" w:hAnsi="Times New Roman" w:eastAsia="宋体" w:cs="Times New Roman"/>
                <w:color w:val="000000" w:themeColor="text1"/>
                <w:sz w:val="21"/>
                <w:lang w:val="en-US" w:eastAsia="zh-CN"/>
                <w14:textFill>
                  <w14:solidFill>
                    <w14:schemeClr w14:val="tx1"/>
                  </w14:solidFill>
                </w14:textFill>
              </w:rPr>
              <w:t>50</w:t>
            </w:r>
          </w:p>
        </w:tc>
        <w:tc>
          <w:tcPr>
            <w:tcW w:w="1196"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251</w:t>
            </w:r>
            <w:r>
              <w:rPr>
                <w:rFonts w:hint="default" w:ascii="Times New Roman" w:hAnsi="Times New Roman" w:eastAsia="宋体" w:cs="Times New Roman"/>
                <w:color w:val="000000" w:themeColor="text1"/>
                <w:sz w:val="21"/>
                <w14:textFill>
                  <w14:solidFill>
                    <w14:schemeClr w14:val="tx1"/>
                  </w14:solidFill>
                </w14:textFill>
              </w:rPr>
              <w:t>-0</w:t>
            </w:r>
            <w:r>
              <w:rPr>
                <w:rFonts w:hint="default" w:ascii="Times New Roman" w:hAnsi="Times New Roman" w:eastAsia="宋体" w:cs="Times New Roman"/>
                <w:color w:val="000000" w:themeColor="text1"/>
                <w:sz w:val="21"/>
                <w:lang w:val="en-US" w:eastAsia="zh-CN"/>
                <w14:textFill>
                  <w14:solidFill>
                    <w14:schemeClr w14:val="tx1"/>
                  </w14:solidFill>
                </w14:textFill>
              </w:rPr>
              <w:t>16</w:t>
            </w:r>
            <w:r>
              <w:rPr>
                <w:rFonts w:hint="default" w:ascii="Times New Roman" w:hAnsi="Times New Roman" w:eastAsia="宋体" w:cs="Times New Roman"/>
                <w:color w:val="000000" w:themeColor="text1"/>
                <w:sz w:val="21"/>
                <w14:textFill>
                  <w14:solidFill>
                    <w14:schemeClr w14:val="tx1"/>
                  </w14:solidFill>
                </w14:textFill>
              </w:rPr>
              <w:t>-</w:t>
            </w:r>
            <w:r>
              <w:rPr>
                <w:rFonts w:hint="default" w:ascii="Times New Roman" w:hAnsi="Times New Roman" w:eastAsia="宋体" w:cs="Times New Roman"/>
                <w:color w:val="000000" w:themeColor="text1"/>
                <w:sz w:val="21"/>
                <w:lang w:val="en-US" w:eastAsia="zh-CN"/>
                <w14:textFill>
                  <w14:solidFill>
                    <w14:schemeClr w14:val="tx1"/>
                  </w14:solidFill>
                </w14:textFill>
              </w:rPr>
              <w:t>50</w:t>
            </w:r>
          </w:p>
        </w:tc>
        <w:tc>
          <w:tcPr>
            <w:tcW w:w="1389"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9.18t/a（6年/次）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废保护剂</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危险废物</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加氢反应器</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固态</w:t>
            </w:r>
          </w:p>
        </w:tc>
        <w:tc>
          <w:tcPr>
            <w:tcW w:w="1761"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MoO</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、CoO、NiO</w:t>
            </w:r>
            <w:r>
              <w:rPr>
                <w:rFonts w:hint="default" w:ascii="Times New Roman" w:hAnsi="Times New Roman" w:eastAsia="宋体" w:cs="Times New Roman"/>
                <w:color w:val="000000" w:themeColor="text1"/>
                <w:sz w:val="21"/>
                <w:lang w:eastAsia="zh-CN"/>
                <w14:textFill>
                  <w14:solidFill>
                    <w14:schemeClr w14:val="tx1"/>
                  </w14:solidFill>
                </w14:textFill>
              </w:rPr>
              <w:t>、石油类</w:t>
            </w:r>
          </w:p>
        </w:tc>
        <w:tc>
          <w:tcPr>
            <w:tcW w:w="713"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w:t>
            </w:r>
            <w:r>
              <w:rPr>
                <w:rFonts w:hint="default" w:ascii="Times New Roman" w:hAnsi="Times New Roman" w:eastAsia="宋体" w:cs="Times New Roman"/>
                <w:color w:val="000000" w:themeColor="text1"/>
                <w:sz w:val="21"/>
                <w:lang w:val="en-US" w:eastAsia="zh-CN"/>
                <w14:textFill>
                  <w14:solidFill>
                    <w14:schemeClr w14:val="tx1"/>
                  </w14:solidFill>
                </w14:textFill>
              </w:rPr>
              <w:t>/In</w:t>
            </w:r>
          </w:p>
        </w:tc>
        <w:tc>
          <w:tcPr>
            <w:tcW w:w="904"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HW</w:t>
            </w:r>
            <w:r>
              <w:rPr>
                <w:rFonts w:hint="default" w:ascii="Times New Roman" w:hAnsi="Times New Roman" w:eastAsia="宋体" w:cs="Times New Roman"/>
                <w:color w:val="000000" w:themeColor="text1"/>
                <w:sz w:val="21"/>
                <w:lang w:val="en-US" w:eastAsia="zh-CN"/>
                <w14:textFill>
                  <w14:solidFill>
                    <w14:schemeClr w14:val="tx1"/>
                  </w14:solidFill>
                </w14:textFill>
              </w:rPr>
              <w:t>49</w:t>
            </w:r>
          </w:p>
        </w:tc>
        <w:tc>
          <w:tcPr>
            <w:tcW w:w="1196"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900</w:t>
            </w:r>
            <w:r>
              <w:rPr>
                <w:rFonts w:hint="default" w:ascii="Times New Roman" w:hAnsi="Times New Roman" w:eastAsia="宋体" w:cs="Times New Roman"/>
                <w:color w:val="000000" w:themeColor="text1"/>
                <w:sz w:val="21"/>
                <w14:textFill>
                  <w14:solidFill>
                    <w14:schemeClr w14:val="tx1"/>
                  </w14:solidFill>
                </w14:textFill>
              </w:rPr>
              <w:t>-0</w:t>
            </w:r>
            <w:r>
              <w:rPr>
                <w:rFonts w:hint="default" w:ascii="Times New Roman" w:hAnsi="Times New Roman" w:eastAsia="宋体" w:cs="Times New Roman"/>
                <w:color w:val="000000" w:themeColor="text1"/>
                <w:sz w:val="21"/>
                <w:lang w:val="en-US" w:eastAsia="zh-CN"/>
                <w14:textFill>
                  <w14:solidFill>
                    <w14:schemeClr w14:val="tx1"/>
                  </w14:solidFill>
                </w14:textFill>
              </w:rPr>
              <w:t>41</w:t>
            </w:r>
            <w:r>
              <w:rPr>
                <w:rFonts w:hint="default" w:ascii="Times New Roman" w:hAnsi="Times New Roman" w:eastAsia="宋体" w:cs="Times New Roman"/>
                <w:color w:val="000000" w:themeColor="text1"/>
                <w:sz w:val="21"/>
                <w14:textFill>
                  <w14:solidFill>
                    <w14:schemeClr w14:val="tx1"/>
                  </w14:solidFill>
                </w14:textFill>
              </w:rPr>
              <w:t>-</w:t>
            </w:r>
            <w:r>
              <w:rPr>
                <w:rFonts w:hint="default" w:ascii="Times New Roman" w:hAnsi="Times New Roman" w:eastAsia="宋体" w:cs="Times New Roman"/>
                <w:color w:val="000000" w:themeColor="text1"/>
                <w:sz w:val="21"/>
                <w:lang w:val="en-US" w:eastAsia="zh-CN"/>
                <w14:textFill>
                  <w14:solidFill>
                    <w14:schemeClr w14:val="tx1"/>
                  </w14:solidFill>
                </w14:textFill>
              </w:rPr>
              <w:t>49</w:t>
            </w:r>
          </w:p>
        </w:tc>
        <w:tc>
          <w:tcPr>
            <w:tcW w:w="1389"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 t/a（3年/次）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废瓷球</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危险废物</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加氢反应器</w:t>
            </w:r>
          </w:p>
        </w:tc>
        <w:tc>
          <w:tcPr>
            <w:tcW w:w="0" w:type="auto"/>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固态</w:t>
            </w:r>
          </w:p>
        </w:tc>
        <w:tc>
          <w:tcPr>
            <w:tcW w:w="1761"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Al</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O</w:t>
            </w:r>
            <w:r>
              <w:rPr>
                <w:rFonts w:hint="default" w:ascii="Times New Roman" w:hAnsi="Times New Roman" w:eastAsia="宋体" w:cs="Times New Roman"/>
                <w:color w:val="000000" w:themeColor="text1"/>
                <w:sz w:val="21"/>
                <w:vertAlign w:val="sub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、SiO</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vertAlign w:val="baseline"/>
                <w:lang w:eastAsia="zh-CN"/>
                <w14:textFill>
                  <w14:solidFill>
                    <w14:schemeClr w14:val="tx1"/>
                  </w14:solidFill>
                </w14:textFill>
              </w:rPr>
              <w:t>、石油类</w:t>
            </w:r>
          </w:p>
        </w:tc>
        <w:tc>
          <w:tcPr>
            <w:tcW w:w="713"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w:t>
            </w:r>
          </w:p>
        </w:tc>
        <w:tc>
          <w:tcPr>
            <w:tcW w:w="904" w:type="dxa"/>
            <w:noWrap w:val="0"/>
            <w:vAlign w:val="center"/>
          </w:tcPr>
          <w:p>
            <w:pPr>
              <w:keepNext/>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HW</w:t>
            </w:r>
            <w:r>
              <w:rPr>
                <w:rFonts w:hint="default" w:ascii="Times New Roman" w:hAnsi="Times New Roman" w:eastAsia="宋体" w:cs="Times New Roman"/>
                <w:color w:val="000000" w:themeColor="text1"/>
                <w:sz w:val="21"/>
                <w:lang w:val="en-US" w:eastAsia="zh-CN"/>
                <w14:textFill>
                  <w14:solidFill>
                    <w14:schemeClr w14:val="tx1"/>
                  </w14:solidFill>
                </w14:textFill>
              </w:rPr>
              <w:t>50</w:t>
            </w:r>
          </w:p>
        </w:tc>
        <w:tc>
          <w:tcPr>
            <w:tcW w:w="1196"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251</w:t>
            </w:r>
            <w:r>
              <w:rPr>
                <w:rFonts w:hint="default" w:ascii="Times New Roman" w:hAnsi="Times New Roman" w:eastAsia="宋体" w:cs="Times New Roman"/>
                <w:color w:val="000000" w:themeColor="text1"/>
                <w:sz w:val="21"/>
                <w14:textFill>
                  <w14:solidFill>
                    <w14:schemeClr w14:val="tx1"/>
                  </w14:solidFill>
                </w14:textFill>
              </w:rPr>
              <w:t>-0</w:t>
            </w:r>
            <w:r>
              <w:rPr>
                <w:rFonts w:hint="default" w:ascii="Times New Roman" w:hAnsi="Times New Roman" w:eastAsia="宋体" w:cs="Times New Roman"/>
                <w:color w:val="000000" w:themeColor="text1"/>
                <w:sz w:val="21"/>
                <w:lang w:val="en-US" w:eastAsia="zh-CN"/>
                <w14:textFill>
                  <w14:solidFill>
                    <w14:schemeClr w14:val="tx1"/>
                  </w14:solidFill>
                </w14:textFill>
              </w:rPr>
              <w:t>16</w:t>
            </w:r>
            <w:r>
              <w:rPr>
                <w:rFonts w:hint="default" w:ascii="Times New Roman" w:hAnsi="Times New Roman" w:eastAsia="宋体" w:cs="Times New Roman"/>
                <w:color w:val="000000" w:themeColor="text1"/>
                <w:sz w:val="21"/>
                <w14:textFill>
                  <w14:solidFill>
                    <w14:schemeClr w14:val="tx1"/>
                  </w14:solidFill>
                </w14:textFill>
              </w:rPr>
              <w:t>-</w:t>
            </w:r>
            <w:r>
              <w:rPr>
                <w:rFonts w:hint="default" w:ascii="Times New Roman" w:hAnsi="Times New Roman" w:eastAsia="宋体" w:cs="Times New Roman"/>
                <w:color w:val="000000" w:themeColor="text1"/>
                <w:sz w:val="21"/>
                <w:lang w:val="en-US" w:eastAsia="zh-CN"/>
                <w14:textFill>
                  <w14:solidFill>
                    <w14:schemeClr w14:val="tx1"/>
                  </w14:solidFill>
                </w14:textFill>
              </w:rPr>
              <w:t>50</w:t>
            </w:r>
          </w:p>
        </w:tc>
        <w:tc>
          <w:tcPr>
            <w:tcW w:w="1389" w:type="dxa"/>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3t/a（3年/次）</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“三本账”计算</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项目废气、废水、固体废物排放“三本帐”汇总详见下表。</w:t>
      </w:r>
    </w:p>
    <w:p>
      <w:pPr>
        <w:tabs>
          <w:tab w:val="left" w:pos="3568"/>
          <w:tab w:val="left" w:pos="5357"/>
        </w:tabs>
        <w:jc w:val="center"/>
        <w:rPr>
          <w:rFonts w:eastAsia="Times New Roman"/>
          <w:b/>
          <w:color w:val="000000" w:themeColor="text1"/>
          <w:szCs w:val="24"/>
          <w:u w:val="single"/>
          <w14:textFill>
            <w14:solidFill>
              <w14:schemeClr w14:val="tx1"/>
            </w14:solidFill>
          </w14:textFill>
        </w:rPr>
      </w:pPr>
      <w:r>
        <w:rPr>
          <w:b/>
          <w:color w:val="000000" w:themeColor="text1"/>
          <w:szCs w:val="24"/>
          <w:u w:val="single"/>
          <w14:textFill>
            <w14:solidFill>
              <w14:schemeClr w14:val="tx1"/>
            </w14:solidFill>
          </w14:textFill>
        </w:rPr>
        <w:t>表</w:t>
      </w:r>
      <w:r>
        <w:rPr>
          <w:b/>
          <w:color w:val="000000" w:themeColor="text1"/>
          <w:szCs w:val="24"/>
          <w:u w:val="single"/>
          <w14:textFill>
            <w14:solidFill>
              <w14:schemeClr w14:val="tx1"/>
            </w14:solidFill>
          </w14:textFill>
        </w:rPr>
        <w:fldChar w:fldCharType="begin"/>
      </w:r>
      <w:r>
        <w:rPr>
          <w:b/>
          <w:color w:val="000000" w:themeColor="text1"/>
          <w:szCs w:val="24"/>
          <w:u w:val="single"/>
          <w14:textFill>
            <w14:solidFill>
              <w14:schemeClr w14:val="tx1"/>
            </w14:solidFill>
          </w14:textFill>
        </w:rPr>
        <w:instrText xml:space="preserve"> STYLEREF 2 \s </w:instrText>
      </w:r>
      <w:r>
        <w:rPr>
          <w:b/>
          <w:color w:val="000000" w:themeColor="text1"/>
          <w:szCs w:val="24"/>
          <w:u w:val="single"/>
          <w14:textFill>
            <w14:solidFill>
              <w14:schemeClr w14:val="tx1"/>
            </w14:solidFill>
          </w14:textFill>
        </w:rPr>
        <w:fldChar w:fldCharType="separate"/>
      </w:r>
      <w:r>
        <w:rPr>
          <w:b/>
          <w:color w:val="000000" w:themeColor="text1"/>
          <w:szCs w:val="24"/>
          <w:u w:val="single"/>
          <w14:textFill>
            <w14:solidFill>
              <w14:schemeClr w14:val="tx1"/>
            </w14:solidFill>
          </w14:textFill>
        </w:rPr>
        <w:t>5</w:t>
      </w:r>
      <w:r>
        <w:rPr>
          <w:rFonts w:hint="eastAsia"/>
          <w:b/>
          <w:color w:val="000000" w:themeColor="text1"/>
          <w:szCs w:val="24"/>
          <w:u w:val="single"/>
          <w:lang w:val="en-US" w:eastAsia="zh-CN"/>
          <w14:textFill>
            <w14:solidFill>
              <w14:schemeClr w14:val="tx1"/>
            </w14:solidFill>
          </w14:textFill>
        </w:rPr>
        <w:t>.</w:t>
      </w:r>
      <w:r>
        <w:rPr>
          <w:b/>
          <w:color w:val="000000" w:themeColor="text1"/>
          <w:szCs w:val="24"/>
          <w:u w:val="single"/>
          <w14:textFill>
            <w14:solidFill>
              <w14:schemeClr w14:val="tx1"/>
            </w14:solidFill>
          </w14:textFill>
        </w:rPr>
        <w:t>3</w:t>
      </w:r>
      <w:r>
        <w:rPr>
          <w:b/>
          <w:color w:val="000000" w:themeColor="text1"/>
          <w:szCs w:val="24"/>
          <w:u w:val="single"/>
          <w14:textFill>
            <w14:solidFill>
              <w14:schemeClr w14:val="tx1"/>
            </w14:solidFill>
          </w14:textFill>
        </w:rPr>
        <w:fldChar w:fldCharType="end"/>
      </w:r>
      <w:r>
        <w:rPr>
          <w:b/>
          <w:color w:val="000000" w:themeColor="text1"/>
          <w:szCs w:val="24"/>
          <w:u w:val="single"/>
          <w14:textFill>
            <w14:solidFill>
              <w14:schemeClr w14:val="tx1"/>
            </w14:solidFill>
          </w14:textFill>
        </w:rPr>
        <w:noBreakHyphen/>
      </w:r>
      <w:r>
        <w:rPr>
          <w:b/>
          <w:color w:val="000000" w:themeColor="text1"/>
          <w:szCs w:val="24"/>
          <w:u w:val="single"/>
          <w14:textFill>
            <w14:solidFill>
              <w14:schemeClr w14:val="tx1"/>
            </w14:solidFill>
          </w14:textFill>
        </w:rPr>
        <w:fldChar w:fldCharType="begin"/>
      </w:r>
      <w:r>
        <w:rPr>
          <w:b/>
          <w:color w:val="000000" w:themeColor="text1"/>
          <w:szCs w:val="24"/>
          <w:u w:val="single"/>
          <w14:textFill>
            <w14:solidFill>
              <w14:schemeClr w14:val="tx1"/>
            </w14:solidFill>
          </w14:textFill>
        </w:rPr>
        <w:instrText xml:space="preserve"> SEQ 表 \* ARABIC \s 2 </w:instrText>
      </w:r>
      <w:r>
        <w:rPr>
          <w:b/>
          <w:color w:val="000000" w:themeColor="text1"/>
          <w:szCs w:val="24"/>
          <w:u w:val="single"/>
          <w14:textFill>
            <w14:solidFill>
              <w14:schemeClr w14:val="tx1"/>
            </w14:solidFill>
          </w14:textFill>
        </w:rPr>
        <w:fldChar w:fldCharType="separate"/>
      </w:r>
      <w:r>
        <w:rPr>
          <w:b/>
          <w:color w:val="000000" w:themeColor="text1"/>
          <w:szCs w:val="24"/>
          <w:u w:val="single"/>
          <w14:textFill>
            <w14:solidFill>
              <w14:schemeClr w14:val="tx1"/>
            </w14:solidFill>
          </w14:textFill>
        </w:rPr>
        <w:t>10</w:t>
      </w:r>
      <w:r>
        <w:rPr>
          <w:b/>
          <w:color w:val="000000" w:themeColor="text1"/>
          <w:szCs w:val="24"/>
          <w:u w:val="single"/>
          <w14:textFill>
            <w14:solidFill>
              <w14:schemeClr w14:val="tx1"/>
            </w14:solidFill>
          </w14:textFill>
        </w:rPr>
        <w:fldChar w:fldCharType="end"/>
      </w:r>
      <w:r>
        <w:rPr>
          <w:rFonts w:hint="eastAsia"/>
          <w:b/>
          <w:color w:val="000000" w:themeColor="text1"/>
          <w:szCs w:val="24"/>
          <w:u w:val="single"/>
          <w:lang w:val="en-US" w:eastAsia="zh-CN"/>
          <w14:textFill>
            <w14:solidFill>
              <w14:schemeClr w14:val="tx1"/>
            </w14:solidFill>
          </w14:textFill>
        </w:rPr>
        <w:t xml:space="preserve"> </w:t>
      </w:r>
      <w:r>
        <w:rPr>
          <w:b/>
          <w:color w:val="000000" w:themeColor="text1"/>
          <w:szCs w:val="24"/>
          <w:u w:val="single"/>
          <w14:textFill>
            <w14:solidFill>
              <w14:schemeClr w14:val="tx1"/>
            </w14:solidFill>
          </w14:textFill>
        </w:rPr>
        <w:t xml:space="preserve"> “三本帐”</w:t>
      </w:r>
      <w:r>
        <w:rPr>
          <w:b/>
          <w:color w:val="000000" w:themeColor="text1"/>
          <w:spacing w:val="-5"/>
          <w:szCs w:val="24"/>
          <w:u w:val="single"/>
          <w14:textFill>
            <w14:solidFill>
              <w14:schemeClr w14:val="tx1"/>
            </w14:solidFill>
          </w14:textFill>
        </w:rPr>
        <w:t>计</w:t>
      </w:r>
      <w:r>
        <w:rPr>
          <w:b/>
          <w:color w:val="000000" w:themeColor="text1"/>
          <w:szCs w:val="24"/>
          <w:u w:val="single"/>
          <w14:textFill>
            <w14:solidFill>
              <w14:schemeClr w14:val="tx1"/>
            </w14:solidFill>
          </w14:textFill>
        </w:rPr>
        <w:t>算表一览表  单位：</w:t>
      </w:r>
      <w:r>
        <w:rPr>
          <w:rFonts w:eastAsia="Times New Roman"/>
          <w:b/>
          <w:color w:val="000000" w:themeColor="text1"/>
          <w:szCs w:val="24"/>
          <w:u w:val="single"/>
          <w14:textFill>
            <w14:solidFill>
              <w14:schemeClr w14:val="tx1"/>
            </w14:solidFill>
          </w14:textFill>
        </w:rPr>
        <w:t>t/a</w:t>
      </w:r>
    </w:p>
    <w:tbl>
      <w:tblPr>
        <w:tblStyle w:val="4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10"/>
        <w:gridCol w:w="1155"/>
        <w:gridCol w:w="1298"/>
        <w:gridCol w:w="2363"/>
        <w:gridCol w:w="1235"/>
        <w:gridCol w:w="23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noWrap w:val="0"/>
            <w:vAlign w:val="center"/>
          </w:tcPr>
          <w:p>
            <w:pPr>
              <w:pStyle w:val="112"/>
              <w:keepNext w:val="0"/>
              <w:keepLines w:val="0"/>
              <w:suppressLineNumbers w:val="0"/>
              <w:spacing w:before="21" w:beforeAutospacing="0" w:after="0" w:afterAutospacing="0"/>
              <w:ind w:left="0" w:right="0"/>
              <w:rPr>
                <w:rFonts w:hint="default" w:ascii="Times New Roman" w:hAnsi="Times New Roman"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lang w:eastAsia="zh-CN"/>
                <w14:textFill>
                  <w14:solidFill>
                    <w14:schemeClr w14:val="tx1"/>
                  </w14:solidFill>
                </w14:textFill>
              </w:rPr>
              <w:t>类别</w:t>
            </w:r>
          </w:p>
        </w:tc>
        <w:tc>
          <w:tcPr>
            <w:tcW w:w="640" w:type="pct"/>
            <w:noWrap w:val="0"/>
            <w:vAlign w:val="center"/>
          </w:tcPr>
          <w:p>
            <w:pPr>
              <w:pStyle w:val="112"/>
              <w:keepNext w:val="0"/>
              <w:keepLines w:val="0"/>
              <w:suppressLineNumbers w:val="0"/>
              <w:spacing w:before="21" w:beforeAutospacing="0" w:after="0" w:afterAutospacing="0"/>
              <w:ind w:left="0" w:right="0"/>
              <w:rPr>
                <w:rFonts w:hint="default" w:ascii="Times New Roman" w:hAnsi="Times New Roman"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lang w:eastAsia="zh-CN"/>
                <w14:textFill>
                  <w14:solidFill>
                    <w14:schemeClr w14:val="tx1"/>
                  </w14:solidFill>
                </w14:textFill>
              </w:rPr>
              <w:t>污染物名称</w:t>
            </w:r>
          </w:p>
        </w:tc>
        <w:tc>
          <w:tcPr>
            <w:tcW w:w="719" w:type="pct"/>
            <w:noWrap w:val="0"/>
            <w:vAlign w:val="center"/>
          </w:tcPr>
          <w:p>
            <w:pPr>
              <w:pStyle w:val="112"/>
              <w:keepNext w:val="0"/>
              <w:keepLines w:val="0"/>
              <w:suppressLineNumbers w:val="0"/>
              <w:spacing w:before="21" w:beforeAutospacing="0" w:after="0" w:afterAutospacing="0"/>
              <w:ind w:left="0" w:right="0"/>
              <w:rPr>
                <w:rFonts w:hint="default" w:ascii="Times New Roman" w:hAnsi="Times New Roman" w:eastAsia="Times New Roman" w:cs="Times New Roman"/>
                <w:b/>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现有工程</w:t>
            </w:r>
            <w:r>
              <w:rPr>
                <w:rFonts w:hint="default" w:ascii="Times New Roman" w:hAnsi="Times New Roman" w:cs="Times New Roman"/>
                <w:color w:val="000000" w:themeColor="text1"/>
                <w:spacing w:val="-1"/>
                <w:sz w:val="21"/>
                <w:u w:val="single"/>
                <w14:textFill>
                  <w14:solidFill>
                    <w14:schemeClr w14:val="tx1"/>
                  </w14:solidFill>
                </w14:textFill>
              </w:rPr>
              <w:t>排放量</w:t>
            </w:r>
            <w:r>
              <w:rPr>
                <w:rFonts w:hint="default" w:ascii="Times New Roman" w:hAnsi="Times New Roman" w:eastAsia="Times New Roman" w:cs="Times New Roman"/>
                <w:color w:val="000000" w:themeColor="text1"/>
                <w:spacing w:val="-1"/>
                <w:sz w:val="21"/>
                <w:u w:val="single"/>
                <w14:textFill>
                  <w14:solidFill>
                    <w14:schemeClr w14:val="tx1"/>
                  </w14:solidFill>
                </w14:textFill>
              </w:rPr>
              <w:t>(t/a)</w:t>
            </w:r>
          </w:p>
        </w:tc>
        <w:tc>
          <w:tcPr>
            <w:tcW w:w="1309" w:type="pct"/>
            <w:noWrap w:val="0"/>
            <w:vAlign w:val="center"/>
          </w:tcPr>
          <w:p>
            <w:pPr>
              <w:pStyle w:val="112"/>
              <w:keepNext w:val="0"/>
              <w:keepLines w:val="0"/>
              <w:suppressLineNumbers w:val="0"/>
              <w:spacing w:before="21" w:beforeAutospacing="0" w:after="0" w:afterAutospacing="0"/>
              <w:ind w:left="0" w:right="0"/>
              <w:rPr>
                <w:rFonts w:hint="default" w:ascii="Times New Roman" w:hAnsi="Times New Roman" w:eastAsia="Times New Roman" w:cs="Times New Roman"/>
                <w:b/>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lang w:eastAsia="zh-CN"/>
                <w14:textFill>
                  <w14:solidFill>
                    <w14:schemeClr w14:val="tx1"/>
                  </w14:solidFill>
                </w14:textFill>
              </w:rPr>
              <w:t>本</w:t>
            </w:r>
            <w:r>
              <w:rPr>
                <w:rFonts w:hint="default" w:ascii="Times New Roman" w:hAnsi="Times New Roman" w:cs="Times New Roman"/>
                <w:color w:val="000000" w:themeColor="text1"/>
                <w:sz w:val="21"/>
                <w:u w:val="single"/>
                <w14:textFill>
                  <w14:solidFill>
                    <w14:schemeClr w14:val="tx1"/>
                  </w14:solidFill>
                </w14:textFill>
              </w:rPr>
              <w:t>项目</w:t>
            </w:r>
            <w:r>
              <w:rPr>
                <w:rFonts w:hint="default" w:ascii="Times New Roman" w:hAnsi="Times New Roman" w:cs="Times New Roman"/>
                <w:color w:val="000000" w:themeColor="text1"/>
                <w:spacing w:val="-1"/>
                <w:sz w:val="21"/>
                <w:u w:val="single"/>
                <w14:textFill>
                  <w14:solidFill>
                    <w14:schemeClr w14:val="tx1"/>
                  </w14:solidFill>
                </w14:textFill>
              </w:rPr>
              <w:t>排放量</w:t>
            </w:r>
            <w:r>
              <w:rPr>
                <w:rFonts w:hint="default" w:ascii="Times New Roman" w:hAnsi="Times New Roman" w:eastAsia="Times New Roman" w:cs="Times New Roman"/>
                <w:color w:val="000000" w:themeColor="text1"/>
                <w:spacing w:val="-1"/>
                <w:sz w:val="21"/>
                <w:u w:val="single"/>
                <w14:textFill>
                  <w14:solidFill>
                    <w14:schemeClr w14:val="tx1"/>
                  </w14:solidFill>
                </w14:textFill>
              </w:rPr>
              <w:t>(t/a)</w:t>
            </w:r>
          </w:p>
        </w:tc>
        <w:tc>
          <w:tcPr>
            <w:tcW w:w="684" w:type="pct"/>
            <w:noWrap w:val="0"/>
            <w:vAlign w:val="center"/>
          </w:tcPr>
          <w:p>
            <w:pPr>
              <w:pStyle w:val="112"/>
              <w:keepNext w:val="0"/>
              <w:keepLines w:val="0"/>
              <w:suppressLineNumbers w:val="0"/>
              <w:spacing w:before="21" w:beforeAutospacing="0" w:after="0" w:afterAutospacing="0"/>
              <w:ind w:left="240"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以新带老消减量(t/a)</w:t>
            </w:r>
          </w:p>
        </w:tc>
        <w:tc>
          <w:tcPr>
            <w:tcW w:w="1307" w:type="pct"/>
            <w:noWrap w:val="0"/>
            <w:vAlign w:val="center"/>
          </w:tcPr>
          <w:p>
            <w:pPr>
              <w:pStyle w:val="112"/>
              <w:keepNext w:val="0"/>
              <w:keepLines w:val="0"/>
              <w:suppressLineNumbers w:val="0"/>
              <w:spacing w:before="57" w:beforeAutospacing="0" w:after="0" w:afterAutospacing="0"/>
              <w:ind w:left="239"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总体工程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restart"/>
            <w:noWrap w:val="0"/>
            <w:vAlign w:val="center"/>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废气</w:t>
            </w:r>
          </w:p>
        </w:tc>
        <w:tc>
          <w:tcPr>
            <w:tcW w:w="640" w:type="pct"/>
            <w:noWrap w:val="0"/>
            <w:vAlign w:val="center"/>
          </w:tcPr>
          <w:p>
            <w:pPr>
              <w:pStyle w:val="112"/>
              <w:keepNext w:val="0"/>
              <w:keepLines w:val="0"/>
              <w:suppressLineNumbers w:val="0"/>
              <w:spacing w:before="34" w:beforeAutospacing="0" w:after="0" w:afterAutospacing="0"/>
              <w:ind w:left="325"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SO</w:t>
            </w:r>
            <w:r>
              <w:rPr>
                <w:rFonts w:hint="default" w:ascii="Times New Roman" w:hAnsi="Times New Roman" w:cs="Times New Roman"/>
                <w:color w:val="000000" w:themeColor="text1"/>
                <w:sz w:val="21"/>
                <w:u w:val="single"/>
                <w:vertAlign w:val="subscript"/>
                <w14:textFill>
                  <w14:solidFill>
                    <w14:schemeClr w14:val="tx1"/>
                  </w14:solidFill>
                </w14:textFill>
              </w:rPr>
              <w:t>2</w:t>
            </w:r>
          </w:p>
        </w:tc>
        <w:tc>
          <w:tcPr>
            <w:tcW w:w="719" w:type="pct"/>
            <w:noWrap w:val="0"/>
            <w:vAlign w:val="center"/>
          </w:tcPr>
          <w:p>
            <w:pPr>
              <w:pStyle w:val="112"/>
              <w:keepNext w:val="0"/>
              <w:keepLines w:val="0"/>
              <w:suppressLineNumbers w:val="0"/>
              <w:spacing w:before="34" w:beforeAutospacing="0" w:after="0" w:afterAutospacing="0"/>
              <w:ind w:left="425" w:right="39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2.02</w:t>
            </w:r>
          </w:p>
        </w:tc>
        <w:tc>
          <w:tcPr>
            <w:tcW w:w="1309" w:type="pct"/>
            <w:noWrap w:val="0"/>
            <w:vAlign w:val="center"/>
          </w:tcPr>
          <w:p>
            <w:pPr>
              <w:pStyle w:val="112"/>
              <w:keepNext w:val="0"/>
              <w:keepLines w:val="0"/>
              <w:suppressLineNumbers w:val="0"/>
              <w:spacing w:before="34" w:beforeAutospacing="0" w:after="0" w:afterAutospacing="0"/>
              <w:ind w:left="853" w:right="81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684"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7"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2.02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34" w:beforeAutospacing="0" w:after="0" w:afterAutospacing="0"/>
              <w:ind w:left="327" w:right="293"/>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NO</w:t>
            </w:r>
            <w:r>
              <w:rPr>
                <w:rFonts w:hint="default" w:ascii="Times New Roman" w:hAnsi="Times New Roman" w:cs="Times New Roman"/>
                <w:color w:val="000000" w:themeColor="text1"/>
                <w:sz w:val="21"/>
                <w:u w:val="single"/>
                <w:vertAlign w:val="subscript"/>
                <w14:textFill>
                  <w14:solidFill>
                    <w14:schemeClr w14:val="tx1"/>
                  </w14:solidFill>
                </w14:textFill>
              </w:rPr>
              <w:t>X</w:t>
            </w:r>
          </w:p>
        </w:tc>
        <w:tc>
          <w:tcPr>
            <w:tcW w:w="719" w:type="pct"/>
            <w:noWrap w:val="0"/>
            <w:vAlign w:val="center"/>
          </w:tcPr>
          <w:p>
            <w:pPr>
              <w:pStyle w:val="112"/>
              <w:keepNext w:val="0"/>
              <w:keepLines w:val="0"/>
              <w:suppressLineNumbers w:val="0"/>
              <w:spacing w:before="34" w:beforeAutospacing="0" w:after="0" w:afterAutospacing="0"/>
              <w:ind w:left="425" w:right="39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6.65</w:t>
            </w:r>
          </w:p>
        </w:tc>
        <w:tc>
          <w:tcPr>
            <w:tcW w:w="1309" w:type="pct"/>
            <w:noWrap w:val="0"/>
            <w:vAlign w:val="center"/>
          </w:tcPr>
          <w:p>
            <w:pPr>
              <w:pStyle w:val="112"/>
              <w:keepNext w:val="0"/>
              <w:keepLines w:val="0"/>
              <w:suppressLineNumbers w:val="0"/>
              <w:spacing w:before="34" w:beforeAutospacing="0" w:after="0" w:afterAutospacing="0"/>
              <w:ind w:left="853" w:right="81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684"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7"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6.65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24" w:beforeAutospacing="0" w:after="0" w:afterAutospacing="0" w:line="268" w:lineRule="exact"/>
              <w:ind w:left="327"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颗粒物</w:t>
            </w:r>
          </w:p>
        </w:tc>
        <w:tc>
          <w:tcPr>
            <w:tcW w:w="719" w:type="pct"/>
            <w:noWrap w:val="0"/>
            <w:vAlign w:val="center"/>
          </w:tcPr>
          <w:p>
            <w:pPr>
              <w:pStyle w:val="112"/>
              <w:keepNext w:val="0"/>
              <w:keepLines w:val="0"/>
              <w:suppressLineNumbers w:val="0"/>
              <w:spacing w:before="34" w:beforeAutospacing="0" w:after="0" w:afterAutospacing="0"/>
              <w:ind w:left="425" w:right="39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0.84</w:t>
            </w:r>
          </w:p>
        </w:tc>
        <w:tc>
          <w:tcPr>
            <w:tcW w:w="1309" w:type="pct"/>
            <w:noWrap w:val="0"/>
            <w:vAlign w:val="center"/>
          </w:tcPr>
          <w:p>
            <w:pPr>
              <w:pStyle w:val="112"/>
              <w:keepNext w:val="0"/>
              <w:keepLines w:val="0"/>
              <w:suppressLineNumbers w:val="0"/>
              <w:spacing w:before="34" w:beforeAutospacing="0" w:after="0" w:afterAutospacing="0"/>
              <w:ind w:left="853" w:right="81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684"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7"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24" w:beforeAutospacing="0" w:after="0" w:afterAutospacing="0" w:line="268" w:lineRule="exact"/>
              <w:ind w:left="327"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H</w:t>
            </w:r>
            <w:r>
              <w:rPr>
                <w:rFonts w:hint="default" w:ascii="Times New Roman" w:hAnsi="Times New Roman" w:cs="Times New Roman"/>
                <w:color w:val="000000" w:themeColor="text1"/>
                <w:sz w:val="21"/>
                <w:u w:val="single"/>
                <w:vertAlign w:val="subscript"/>
                <w14:textFill>
                  <w14:solidFill>
                    <w14:schemeClr w14:val="tx1"/>
                  </w14:solidFill>
                </w14:textFill>
              </w:rPr>
              <w:t>2</w:t>
            </w:r>
            <w:r>
              <w:rPr>
                <w:rFonts w:hint="default" w:ascii="Times New Roman" w:hAnsi="Times New Roman" w:cs="Times New Roman"/>
                <w:color w:val="000000" w:themeColor="text1"/>
                <w:sz w:val="21"/>
                <w:u w:val="single"/>
                <w14:textFill>
                  <w14:solidFill>
                    <w14:schemeClr w14:val="tx1"/>
                  </w14:solidFill>
                </w14:textFill>
              </w:rPr>
              <w:t>S</w:t>
            </w:r>
          </w:p>
        </w:tc>
        <w:tc>
          <w:tcPr>
            <w:tcW w:w="719" w:type="pct"/>
            <w:noWrap w:val="0"/>
            <w:vAlign w:val="center"/>
          </w:tcPr>
          <w:p>
            <w:pPr>
              <w:pStyle w:val="112"/>
              <w:keepNext w:val="0"/>
              <w:keepLines w:val="0"/>
              <w:suppressLineNumbers w:val="0"/>
              <w:spacing w:before="34" w:beforeAutospacing="0" w:after="0" w:afterAutospacing="0"/>
              <w:ind w:left="425" w:right="39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9" w:type="pct"/>
            <w:noWrap w:val="0"/>
            <w:vAlign w:val="center"/>
          </w:tcPr>
          <w:p>
            <w:pPr>
              <w:pStyle w:val="112"/>
              <w:keepNext w:val="0"/>
              <w:keepLines w:val="0"/>
              <w:suppressLineNumbers w:val="0"/>
              <w:spacing w:before="34" w:beforeAutospacing="0" w:after="0" w:afterAutospacing="0"/>
              <w:ind w:left="853" w:right="817"/>
              <w:rPr>
                <w:rFonts w:hint="eastAsia" w:ascii="Times New Roman" w:hAnsi="Times New Roman" w:eastAsia="宋体"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0.000</w:t>
            </w:r>
            <w:r>
              <w:rPr>
                <w:rFonts w:hint="eastAsia" w:ascii="Times New Roman" w:hAnsi="Times New Roman" w:cs="Times New Roman"/>
                <w:color w:val="000000" w:themeColor="text1"/>
                <w:sz w:val="21"/>
                <w:u w:val="single"/>
                <w:lang w:val="en-US" w:eastAsia="zh-CN"/>
                <w14:textFill>
                  <w14:solidFill>
                    <w14:schemeClr w14:val="tx1"/>
                  </w14:solidFill>
                </w14:textFill>
              </w:rPr>
              <w:t>8</w:t>
            </w:r>
          </w:p>
        </w:tc>
        <w:tc>
          <w:tcPr>
            <w:tcW w:w="684"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eastAsia="宋体"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4" w:beforeAutospacing="0" w:after="0" w:afterAutospacing="0"/>
              <w:ind w:left="853" w:leftChars="0" w:right="817" w:rightChars="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0.000</w:t>
            </w:r>
            <w:r>
              <w:rPr>
                <w:rFonts w:hint="eastAsia" w:ascii="Times New Roman" w:hAnsi="Times New Roman" w:cs="Times New Roman"/>
                <w:color w:val="000000" w:themeColor="text1"/>
                <w:sz w:val="21"/>
                <w:u w:val="single"/>
                <w:lang w:val="en-US" w:eastAsia="zh-CN"/>
                <w14:textFill>
                  <w14:solidFill>
                    <w14:schemeClr w14:val="tx1"/>
                  </w14:solidFill>
                </w14:textFill>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24" w:beforeAutospacing="0" w:after="0" w:afterAutospacing="0" w:line="268" w:lineRule="exact"/>
              <w:ind w:left="327"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NH</w:t>
            </w:r>
            <w:r>
              <w:rPr>
                <w:rFonts w:hint="default" w:ascii="Times New Roman" w:hAnsi="Times New Roman" w:cs="Times New Roman"/>
                <w:color w:val="000000" w:themeColor="text1"/>
                <w:sz w:val="21"/>
                <w:u w:val="single"/>
                <w:vertAlign w:val="subscript"/>
                <w14:textFill>
                  <w14:solidFill>
                    <w14:schemeClr w14:val="tx1"/>
                  </w14:solidFill>
                </w14:textFill>
              </w:rPr>
              <w:t>3</w:t>
            </w:r>
          </w:p>
        </w:tc>
        <w:tc>
          <w:tcPr>
            <w:tcW w:w="719" w:type="pct"/>
            <w:noWrap w:val="0"/>
            <w:vAlign w:val="center"/>
          </w:tcPr>
          <w:p>
            <w:pPr>
              <w:pStyle w:val="112"/>
              <w:keepNext w:val="0"/>
              <w:keepLines w:val="0"/>
              <w:suppressLineNumbers w:val="0"/>
              <w:spacing w:before="34" w:beforeAutospacing="0" w:after="0" w:afterAutospacing="0"/>
              <w:ind w:left="425" w:right="39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9" w:type="pct"/>
            <w:noWrap w:val="0"/>
            <w:vAlign w:val="center"/>
          </w:tcPr>
          <w:p>
            <w:pPr>
              <w:pStyle w:val="112"/>
              <w:keepNext w:val="0"/>
              <w:keepLines w:val="0"/>
              <w:suppressLineNumbers w:val="0"/>
              <w:spacing w:before="34" w:beforeAutospacing="0" w:after="0" w:afterAutospacing="0"/>
              <w:ind w:left="853" w:right="81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0.00077</w:t>
            </w:r>
          </w:p>
        </w:tc>
        <w:tc>
          <w:tcPr>
            <w:tcW w:w="684" w:type="pct"/>
            <w:noWrap w:val="0"/>
            <w:vAlign w:val="center"/>
          </w:tcPr>
          <w:p>
            <w:pPr>
              <w:pStyle w:val="112"/>
              <w:keepNext w:val="0"/>
              <w:keepLines w:val="0"/>
              <w:suppressLineNumbers w:val="0"/>
              <w:spacing w:before="34" w:beforeAutospacing="0" w:after="0" w:afterAutospacing="0"/>
              <w:ind w:left="239" w:right="197"/>
              <w:rPr>
                <w:rFonts w:hint="default" w:ascii="Times New Roman" w:hAnsi="Times New Roman" w:eastAsia="宋体"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4" w:beforeAutospacing="0" w:after="0" w:afterAutospacing="0"/>
              <w:ind w:left="853" w:leftChars="0" w:right="817" w:rightChars="0"/>
              <w:rPr>
                <w:rFonts w:hint="default" w:ascii="Times New Roman" w:hAnsi="Times New Roman" w:cs="Times New Roman"/>
                <w:color w:val="000000" w:themeColor="text1"/>
                <w:sz w:val="21"/>
                <w:u w:val="single"/>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0.00077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30" w:beforeAutospacing="0" w:after="0" w:afterAutospacing="0"/>
              <w:ind w:left="325"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VOCs</w:t>
            </w:r>
          </w:p>
        </w:tc>
        <w:tc>
          <w:tcPr>
            <w:tcW w:w="719" w:type="pct"/>
            <w:noWrap w:val="0"/>
            <w:vAlign w:val="center"/>
          </w:tcPr>
          <w:p>
            <w:pPr>
              <w:pStyle w:val="112"/>
              <w:keepNext w:val="0"/>
              <w:keepLines w:val="0"/>
              <w:suppressLineNumbers w:val="0"/>
              <w:spacing w:before="30" w:beforeAutospacing="0" w:after="0" w:afterAutospacing="0"/>
              <w:ind w:left="37"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0.48</w:t>
            </w:r>
          </w:p>
        </w:tc>
        <w:tc>
          <w:tcPr>
            <w:tcW w:w="1309" w:type="pct"/>
            <w:noWrap w:val="0"/>
            <w:vAlign w:val="center"/>
          </w:tcPr>
          <w:p>
            <w:pPr>
              <w:pStyle w:val="112"/>
              <w:keepNext w:val="0"/>
              <w:keepLines w:val="0"/>
              <w:suppressLineNumbers w:val="0"/>
              <w:spacing w:before="30" w:beforeAutospacing="0" w:after="0" w:afterAutospacing="0"/>
              <w:ind w:left="853" w:right="817"/>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0.271</w:t>
            </w:r>
          </w:p>
        </w:tc>
        <w:tc>
          <w:tcPr>
            <w:tcW w:w="684" w:type="pct"/>
            <w:noWrap w:val="0"/>
            <w:vAlign w:val="center"/>
          </w:tcPr>
          <w:p>
            <w:pPr>
              <w:pStyle w:val="112"/>
              <w:keepNext w:val="0"/>
              <w:keepLines w:val="0"/>
              <w:suppressLineNumbers w:val="0"/>
              <w:spacing w:before="30" w:beforeAutospacing="0" w:after="0" w:afterAutospacing="0"/>
              <w:ind w:left="39" w:right="0"/>
              <w:rPr>
                <w:rFonts w:hint="default" w:ascii="Times New Roman" w:hAnsi="Times New Roman" w:eastAsia="宋体"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0" w:beforeAutospacing="0" w:after="0" w:afterAutospacing="0"/>
              <w:ind w:left="39"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0.751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restart"/>
            <w:noWrap w:val="0"/>
            <w:vAlign w:val="center"/>
          </w:tcPr>
          <w:p>
            <w:pPr>
              <w:pStyle w:val="112"/>
              <w:keepNext w:val="0"/>
              <w:keepLines w:val="0"/>
              <w:suppressLineNumbers w:val="0"/>
              <w:spacing w:before="122" w:beforeAutospacing="0" w:after="0" w:afterAutospacing="0"/>
              <w:ind w:left="0" w:right="0"/>
              <w:jc w:val="center"/>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废水</w:t>
            </w:r>
          </w:p>
        </w:tc>
        <w:tc>
          <w:tcPr>
            <w:tcW w:w="640" w:type="pct"/>
            <w:noWrap w:val="0"/>
            <w:vAlign w:val="center"/>
          </w:tcPr>
          <w:p>
            <w:pPr>
              <w:pStyle w:val="112"/>
              <w:keepNext w:val="0"/>
              <w:keepLines w:val="0"/>
              <w:suppressLineNumbers w:val="0"/>
              <w:spacing w:before="24" w:beforeAutospacing="0" w:after="0" w:afterAutospacing="0" w:line="269" w:lineRule="exact"/>
              <w:ind w:left="327"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废水量</w:t>
            </w:r>
          </w:p>
        </w:tc>
        <w:tc>
          <w:tcPr>
            <w:tcW w:w="719" w:type="pct"/>
            <w:noWrap w:val="0"/>
            <w:vAlign w:val="center"/>
          </w:tcPr>
          <w:p>
            <w:pPr>
              <w:pStyle w:val="112"/>
              <w:keepNext w:val="0"/>
              <w:keepLines w:val="0"/>
              <w:suppressLineNumbers w:val="0"/>
              <w:spacing w:before="34" w:beforeAutospacing="0" w:after="0" w:afterAutospacing="0"/>
              <w:ind w:left="425" w:right="385"/>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1104</w:t>
            </w:r>
          </w:p>
        </w:tc>
        <w:tc>
          <w:tcPr>
            <w:tcW w:w="1309" w:type="pct"/>
            <w:noWrap w:val="0"/>
            <w:vAlign w:val="center"/>
          </w:tcPr>
          <w:p>
            <w:pPr>
              <w:pStyle w:val="112"/>
              <w:keepNext w:val="0"/>
              <w:keepLines w:val="0"/>
              <w:suppressLineNumbers w:val="0"/>
              <w:spacing w:before="34" w:beforeAutospacing="0" w:after="0" w:afterAutospacing="0"/>
              <w:ind w:left="849" w:right="81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32</w:t>
            </w:r>
            <w:r>
              <w:rPr>
                <w:rFonts w:hint="eastAsia" w:ascii="Times New Roman" w:hAnsi="Times New Roman" w:cs="Times New Roman"/>
                <w:color w:val="000000" w:themeColor="text1"/>
                <w:sz w:val="21"/>
                <w:u w:val="single"/>
                <w:lang w:val="en-US" w:eastAsia="zh-CN"/>
                <w14:textFill>
                  <w14:solidFill>
                    <w14:schemeClr w14:val="tx1"/>
                  </w14:solidFill>
                </w14:textFill>
              </w:rPr>
              <w:t>12</w:t>
            </w:r>
          </w:p>
        </w:tc>
        <w:tc>
          <w:tcPr>
            <w:tcW w:w="684" w:type="pct"/>
            <w:noWrap w:val="0"/>
            <w:vAlign w:val="center"/>
          </w:tcPr>
          <w:p>
            <w:pPr>
              <w:pStyle w:val="112"/>
              <w:keepNext w:val="0"/>
              <w:keepLines w:val="0"/>
              <w:suppressLineNumbers w:val="0"/>
              <w:spacing w:before="34" w:beforeAutospacing="0" w:after="0" w:afterAutospacing="0"/>
              <w:ind w:left="38" w:right="0"/>
              <w:rPr>
                <w:rFonts w:hint="default" w:ascii="Times New Roman" w:hAnsi="Times New Roman" w:eastAsia="宋体"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4" w:beforeAutospacing="0" w:after="0" w:afterAutospacing="0"/>
              <w:ind w:left="38" w:right="0"/>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4316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34" w:beforeAutospacing="0" w:after="0" w:afterAutospacing="0"/>
              <w:ind w:left="327"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COD</w:t>
            </w:r>
          </w:p>
        </w:tc>
        <w:tc>
          <w:tcPr>
            <w:tcW w:w="719" w:type="pct"/>
            <w:noWrap w:val="0"/>
            <w:vAlign w:val="center"/>
          </w:tcPr>
          <w:p>
            <w:pPr>
              <w:pStyle w:val="112"/>
              <w:keepNext w:val="0"/>
              <w:keepLines w:val="0"/>
              <w:suppressLineNumbers w:val="0"/>
              <w:spacing w:before="34" w:beforeAutospacing="0" w:after="0" w:afterAutospacing="0"/>
              <w:ind w:left="425" w:right="39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0.066</w:t>
            </w:r>
          </w:p>
        </w:tc>
        <w:tc>
          <w:tcPr>
            <w:tcW w:w="1309" w:type="pct"/>
            <w:noWrap w:val="0"/>
            <w:vAlign w:val="center"/>
          </w:tcPr>
          <w:p>
            <w:pPr>
              <w:pStyle w:val="112"/>
              <w:keepNext w:val="0"/>
              <w:keepLines w:val="0"/>
              <w:suppressLineNumbers w:val="0"/>
              <w:spacing w:before="34" w:beforeAutospacing="0" w:after="0" w:afterAutospacing="0"/>
              <w:ind w:left="853" w:right="81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0.16</w:t>
            </w:r>
          </w:p>
        </w:tc>
        <w:tc>
          <w:tcPr>
            <w:tcW w:w="684" w:type="pct"/>
            <w:noWrap w:val="0"/>
            <w:vAlign w:val="center"/>
          </w:tcPr>
          <w:p>
            <w:pPr>
              <w:pStyle w:val="112"/>
              <w:keepNext w:val="0"/>
              <w:keepLines w:val="0"/>
              <w:suppressLineNumbers w:val="0"/>
              <w:spacing w:before="34" w:beforeAutospacing="0" w:after="0" w:afterAutospacing="0"/>
              <w:ind w:left="38" w:right="0"/>
              <w:rPr>
                <w:rFonts w:hint="default" w:ascii="Times New Roman" w:hAnsi="Times New Roman" w:eastAsia="宋体" w:cs="Times New Roman"/>
                <w:color w:val="000000" w:themeColor="text1"/>
                <w:sz w:val="21"/>
                <w:u w:val="single"/>
                <w:lang w:eastAsia="zh-CN"/>
                <w14:textFill>
                  <w14:solidFill>
                    <w14:schemeClr w14:val="tx1"/>
                  </w14:solidFill>
                </w14:textFill>
              </w:rPr>
            </w:pPr>
            <w:r>
              <w:rPr>
                <w:rFonts w:hint="default"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4" w:beforeAutospacing="0" w:after="0" w:afterAutospacing="0"/>
              <w:ind w:left="38" w:right="0"/>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0.226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25" w:beforeAutospacing="0" w:after="0" w:afterAutospacing="0" w:line="269" w:lineRule="exact"/>
              <w:ind w:left="327" w:right="29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氨氮</w:t>
            </w:r>
          </w:p>
        </w:tc>
        <w:tc>
          <w:tcPr>
            <w:tcW w:w="719" w:type="pct"/>
            <w:noWrap w:val="0"/>
            <w:vAlign w:val="center"/>
          </w:tcPr>
          <w:p>
            <w:pPr>
              <w:pStyle w:val="112"/>
              <w:keepNext w:val="0"/>
              <w:keepLines w:val="0"/>
              <w:suppressLineNumbers w:val="0"/>
              <w:spacing w:before="35" w:beforeAutospacing="0" w:after="0" w:afterAutospacing="0"/>
              <w:ind w:left="425" w:right="389"/>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0.009</w:t>
            </w:r>
          </w:p>
        </w:tc>
        <w:tc>
          <w:tcPr>
            <w:tcW w:w="1309" w:type="pct"/>
            <w:noWrap w:val="0"/>
            <w:vAlign w:val="center"/>
          </w:tcPr>
          <w:p>
            <w:pPr>
              <w:pStyle w:val="112"/>
              <w:keepNext w:val="0"/>
              <w:keepLines w:val="0"/>
              <w:suppressLineNumbers w:val="0"/>
              <w:spacing w:before="35" w:beforeAutospacing="0" w:after="0" w:afterAutospacing="0"/>
              <w:ind w:left="853" w:right="81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0.016</w:t>
            </w:r>
          </w:p>
        </w:tc>
        <w:tc>
          <w:tcPr>
            <w:tcW w:w="684"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25" w:beforeAutospacing="0" w:after="0" w:afterAutospacing="0" w:line="269" w:lineRule="exact"/>
              <w:ind w:left="327" w:right="290"/>
              <w:rPr>
                <w:rFonts w:hint="eastAsia"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石油类</w:t>
            </w:r>
          </w:p>
        </w:tc>
        <w:tc>
          <w:tcPr>
            <w:tcW w:w="719" w:type="pct"/>
            <w:noWrap w:val="0"/>
            <w:vAlign w:val="center"/>
          </w:tcPr>
          <w:p>
            <w:pPr>
              <w:pStyle w:val="112"/>
              <w:keepNext w:val="0"/>
              <w:keepLines w:val="0"/>
              <w:suppressLineNumbers w:val="0"/>
              <w:spacing w:before="35" w:beforeAutospacing="0" w:after="0" w:afterAutospacing="0"/>
              <w:ind w:left="425" w:right="389"/>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0.006</w:t>
            </w:r>
          </w:p>
        </w:tc>
        <w:tc>
          <w:tcPr>
            <w:tcW w:w="1309" w:type="pct"/>
            <w:noWrap w:val="0"/>
            <w:vAlign w:val="center"/>
          </w:tcPr>
          <w:p>
            <w:pPr>
              <w:pStyle w:val="112"/>
              <w:keepNext w:val="0"/>
              <w:keepLines w:val="0"/>
              <w:suppressLineNumbers w:val="0"/>
              <w:spacing w:before="35" w:beforeAutospacing="0" w:after="0" w:afterAutospacing="0"/>
              <w:ind w:left="853" w:right="81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0.016</w:t>
            </w:r>
          </w:p>
        </w:tc>
        <w:tc>
          <w:tcPr>
            <w:tcW w:w="684"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25" w:beforeAutospacing="0" w:after="0" w:afterAutospacing="0" w:line="269" w:lineRule="exact"/>
              <w:ind w:left="327" w:right="290"/>
              <w:rPr>
                <w:rFonts w:hint="eastAsia" w:ascii="Times New Roman" w:hAnsi="Times New Roman" w:cs="Times New Roman"/>
                <w:color w:val="000000" w:themeColor="text1"/>
                <w:sz w:val="21"/>
                <w:u w:val="single"/>
                <w:lang w:val="en-US" w:eastAsia="zh-CN"/>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BOD</w:t>
            </w:r>
            <w:r>
              <w:rPr>
                <w:rFonts w:hint="default" w:ascii="Times New Roman" w:hAnsi="Times New Roman" w:cs="Times New Roman"/>
                <w:color w:val="000000" w:themeColor="text1"/>
                <w:sz w:val="21"/>
                <w:u w:val="single"/>
                <w:vertAlign w:val="subscript"/>
                <w14:textFill>
                  <w14:solidFill>
                    <w14:schemeClr w14:val="tx1"/>
                  </w14:solidFill>
                </w14:textFill>
              </w:rPr>
              <w:t>5</w:t>
            </w:r>
          </w:p>
        </w:tc>
        <w:tc>
          <w:tcPr>
            <w:tcW w:w="719" w:type="pct"/>
            <w:noWrap w:val="0"/>
            <w:vAlign w:val="center"/>
          </w:tcPr>
          <w:p>
            <w:pPr>
              <w:pStyle w:val="112"/>
              <w:keepNext w:val="0"/>
              <w:keepLines w:val="0"/>
              <w:suppressLineNumbers w:val="0"/>
              <w:spacing w:before="35" w:beforeAutospacing="0" w:after="0" w:afterAutospacing="0"/>
              <w:ind w:left="425" w:right="389"/>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0.02</w:t>
            </w:r>
          </w:p>
        </w:tc>
        <w:tc>
          <w:tcPr>
            <w:tcW w:w="1309" w:type="pct"/>
            <w:noWrap w:val="0"/>
            <w:vAlign w:val="center"/>
          </w:tcPr>
          <w:p>
            <w:pPr>
              <w:pStyle w:val="112"/>
              <w:keepNext w:val="0"/>
              <w:keepLines w:val="0"/>
              <w:suppressLineNumbers w:val="0"/>
              <w:spacing w:before="35" w:beforeAutospacing="0" w:after="0" w:afterAutospacing="0"/>
              <w:ind w:left="853" w:right="81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0.032</w:t>
            </w:r>
          </w:p>
        </w:tc>
        <w:tc>
          <w:tcPr>
            <w:tcW w:w="684"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25" w:beforeAutospacing="0" w:after="0" w:afterAutospacing="0" w:line="269" w:lineRule="exact"/>
              <w:ind w:left="327" w:right="290"/>
              <w:rPr>
                <w:rFonts w:hint="eastAsia"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硫化物</w:t>
            </w:r>
          </w:p>
        </w:tc>
        <w:tc>
          <w:tcPr>
            <w:tcW w:w="719" w:type="pct"/>
            <w:noWrap w:val="0"/>
            <w:vAlign w:val="center"/>
          </w:tcPr>
          <w:p>
            <w:pPr>
              <w:pStyle w:val="112"/>
              <w:keepNext w:val="0"/>
              <w:keepLines w:val="0"/>
              <w:suppressLineNumbers w:val="0"/>
              <w:spacing w:before="35" w:beforeAutospacing="0" w:after="0" w:afterAutospacing="0"/>
              <w:ind w:left="425" w:right="389"/>
              <w:rPr>
                <w:rFonts w:hint="eastAsia"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w:t>
            </w:r>
          </w:p>
        </w:tc>
        <w:tc>
          <w:tcPr>
            <w:tcW w:w="1309" w:type="pct"/>
            <w:noWrap w:val="0"/>
            <w:vAlign w:val="center"/>
          </w:tcPr>
          <w:p>
            <w:pPr>
              <w:pStyle w:val="112"/>
              <w:keepNext w:val="0"/>
              <w:keepLines w:val="0"/>
              <w:suppressLineNumbers w:val="0"/>
              <w:spacing w:before="35" w:beforeAutospacing="0" w:after="0" w:afterAutospacing="0"/>
              <w:ind w:left="853" w:right="817"/>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0.0016</w:t>
            </w:r>
          </w:p>
        </w:tc>
        <w:tc>
          <w:tcPr>
            <w:tcW w:w="684"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w:t>
            </w:r>
          </w:p>
        </w:tc>
        <w:tc>
          <w:tcPr>
            <w:tcW w:w="1307" w:type="pct"/>
            <w:noWrap w:val="0"/>
            <w:vAlign w:val="center"/>
          </w:tcPr>
          <w:p>
            <w:pPr>
              <w:pStyle w:val="112"/>
              <w:keepNext w:val="0"/>
              <w:keepLines w:val="0"/>
              <w:suppressLineNumbers w:val="0"/>
              <w:spacing w:before="35" w:beforeAutospacing="0" w:after="0" w:afterAutospacing="0"/>
              <w:ind w:left="38" w:right="0"/>
              <w:rPr>
                <w:rFonts w:hint="default" w:ascii="Times New Roman" w:hAnsi="Times New Roman" w:eastAsia="宋体" w:cs="Times New Roman"/>
                <w:color w:val="000000" w:themeColor="text1"/>
                <w:sz w:val="21"/>
                <w:u w:val="single"/>
                <w:lang w:val="en-US" w:eastAsia="zh-CN"/>
                <w14:textFill>
                  <w14:solidFill>
                    <w14:schemeClr w14:val="tx1"/>
                  </w14:solidFill>
                </w14:textFill>
              </w:rPr>
            </w:pPr>
            <w:r>
              <w:rPr>
                <w:rFonts w:hint="eastAsia" w:ascii="Times New Roman" w:hAnsi="Times New Roman" w:cs="Times New Roman"/>
                <w:color w:val="000000" w:themeColor="text1"/>
                <w:sz w:val="21"/>
                <w:u w:val="single"/>
                <w:lang w:val="en-US" w:eastAsia="zh-CN"/>
                <w14:textFill>
                  <w14:solidFill>
                    <w14:schemeClr w14:val="tx1"/>
                  </w14:solidFill>
                </w14:textFill>
              </w:rPr>
              <w:t>0.0016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restart"/>
            <w:noWrap w:val="0"/>
            <w:vAlign w:val="center"/>
          </w:tcPr>
          <w:p>
            <w:pPr>
              <w:pStyle w:val="112"/>
              <w:keepNext w:val="0"/>
              <w:keepLines w:val="0"/>
              <w:suppressLineNumbers w:val="0"/>
              <w:spacing w:before="0" w:beforeAutospacing="0" w:after="0" w:afterAutospacing="0"/>
              <w:ind w:left="165"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固体废物</w:t>
            </w:r>
          </w:p>
        </w:tc>
        <w:tc>
          <w:tcPr>
            <w:tcW w:w="640" w:type="pct"/>
            <w:noWrap w:val="0"/>
            <w:vAlign w:val="center"/>
          </w:tcPr>
          <w:p>
            <w:pPr>
              <w:pStyle w:val="112"/>
              <w:keepNext w:val="0"/>
              <w:keepLines w:val="0"/>
              <w:suppressLineNumbers w:val="0"/>
              <w:spacing w:before="20" w:beforeAutospacing="0" w:after="0" w:afterAutospacing="0" w:line="261" w:lineRule="exact"/>
              <w:ind w:left="326"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生活垃圾</w:t>
            </w:r>
          </w:p>
        </w:tc>
        <w:tc>
          <w:tcPr>
            <w:tcW w:w="719" w:type="pct"/>
            <w:noWrap w:val="0"/>
            <w:vAlign w:val="center"/>
          </w:tcPr>
          <w:p>
            <w:pPr>
              <w:pStyle w:val="112"/>
              <w:keepNext w:val="0"/>
              <w:keepLines w:val="0"/>
              <w:suppressLineNumbers w:val="0"/>
              <w:spacing w:before="30" w:beforeAutospacing="0" w:after="0" w:afterAutospacing="0"/>
              <w:ind w:left="35"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9" w:type="pct"/>
            <w:noWrap w:val="0"/>
            <w:vAlign w:val="center"/>
          </w:tcPr>
          <w:p>
            <w:pPr>
              <w:pStyle w:val="112"/>
              <w:keepNext w:val="0"/>
              <w:keepLines w:val="0"/>
              <w:suppressLineNumbers w:val="0"/>
              <w:spacing w:before="30" w:beforeAutospacing="0" w:after="0" w:afterAutospacing="0"/>
              <w:ind w:left="37"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684" w:type="pct"/>
            <w:noWrap w:val="0"/>
            <w:vAlign w:val="center"/>
          </w:tcPr>
          <w:p>
            <w:pPr>
              <w:pStyle w:val="112"/>
              <w:keepNext w:val="0"/>
              <w:keepLines w:val="0"/>
              <w:suppressLineNumbers w:val="0"/>
              <w:spacing w:before="30"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7" w:type="pct"/>
            <w:noWrap w:val="0"/>
            <w:vAlign w:val="center"/>
          </w:tcPr>
          <w:p>
            <w:pPr>
              <w:pStyle w:val="112"/>
              <w:keepNext w:val="0"/>
              <w:keepLines w:val="0"/>
              <w:suppressLineNumbers w:val="0"/>
              <w:spacing w:before="30"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17" w:beforeAutospacing="0" w:after="0" w:afterAutospacing="0"/>
              <w:ind w:left="326"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废催化剂</w:t>
            </w:r>
          </w:p>
        </w:tc>
        <w:tc>
          <w:tcPr>
            <w:tcW w:w="719" w:type="pct"/>
            <w:noWrap w:val="0"/>
            <w:vAlign w:val="center"/>
          </w:tcPr>
          <w:p>
            <w:pPr>
              <w:pStyle w:val="112"/>
              <w:keepNext w:val="0"/>
              <w:keepLines w:val="0"/>
              <w:suppressLineNumbers w:val="0"/>
              <w:spacing w:before="27" w:beforeAutospacing="0" w:after="0" w:afterAutospacing="0"/>
              <w:ind w:left="35"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9" w:type="pct"/>
            <w:noWrap w:val="0"/>
            <w:vAlign w:val="center"/>
          </w:tcPr>
          <w:p>
            <w:pPr>
              <w:pStyle w:val="112"/>
              <w:keepNext w:val="0"/>
              <w:keepLines w:val="0"/>
              <w:suppressLineNumbers w:val="0"/>
              <w:spacing w:before="27" w:beforeAutospacing="0" w:after="0" w:afterAutospacing="0"/>
              <w:ind w:left="37"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684" w:type="pct"/>
            <w:noWrap w:val="0"/>
            <w:vAlign w:val="center"/>
          </w:tcPr>
          <w:p>
            <w:pPr>
              <w:pStyle w:val="112"/>
              <w:keepNext w:val="0"/>
              <w:keepLines w:val="0"/>
              <w:suppressLineNumbers w:val="0"/>
              <w:spacing w:before="27"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7" w:type="pct"/>
            <w:noWrap w:val="0"/>
            <w:vAlign w:val="center"/>
          </w:tcPr>
          <w:p>
            <w:pPr>
              <w:pStyle w:val="112"/>
              <w:keepNext w:val="0"/>
              <w:keepLines w:val="0"/>
              <w:suppressLineNumbers w:val="0"/>
              <w:spacing w:before="27"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17" w:beforeAutospacing="0" w:after="0" w:afterAutospacing="0"/>
              <w:ind w:left="326"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废保护剂</w:t>
            </w:r>
          </w:p>
        </w:tc>
        <w:tc>
          <w:tcPr>
            <w:tcW w:w="719" w:type="pct"/>
            <w:noWrap w:val="0"/>
            <w:vAlign w:val="center"/>
          </w:tcPr>
          <w:p>
            <w:pPr>
              <w:pStyle w:val="112"/>
              <w:keepNext w:val="0"/>
              <w:keepLines w:val="0"/>
              <w:suppressLineNumbers w:val="0"/>
              <w:spacing w:before="27" w:beforeAutospacing="0" w:after="0" w:afterAutospacing="0"/>
              <w:ind w:left="35"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9" w:type="pct"/>
            <w:noWrap w:val="0"/>
            <w:vAlign w:val="center"/>
          </w:tcPr>
          <w:p>
            <w:pPr>
              <w:pStyle w:val="112"/>
              <w:keepNext w:val="0"/>
              <w:keepLines w:val="0"/>
              <w:suppressLineNumbers w:val="0"/>
              <w:spacing w:before="27" w:beforeAutospacing="0" w:after="0" w:afterAutospacing="0"/>
              <w:ind w:left="37"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684" w:type="pct"/>
            <w:noWrap w:val="0"/>
            <w:vAlign w:val="center"/>
          </w:tcPr>
          <w:p>
            <w:pPr>
              <w:pStyle w:val="112"/>
              <w:keepNext w:val="0"/>
              <w:keepLines w:val="0"/>
              <w:suppressLineNumbers w:val="0"/>
              <w:spacing w:before="27"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7" w:type="pct"/>
            <w:noWrap w:val="0"/>
            <w:vAlign w:val="center"/>
          </w:tcPr>
          <w:p>
            <w:pPr>
              <w:pStyle w:val="112"/>
              <w:keepNext w:val="0"/>
              <w:keepLines w:val="0"/>
              <w:suppressLineNumbers w:val="0"/>
              <w:spacing w:before="27"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8"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
                <w:szCs w:val="2"/>
                <w:u w:val="single"/>
                <w14:textFill>
                  <w14:solidFill>
                    <w14:schemeClr w14:val="tx1"/>
                  </w14:solidFill>
                </w14:textFill>
              </w:rPr>
            </w:pPr>
          </w:p>
        </w:tc>
        <w:tc>
          <w:tcPr>
            <w:tcW w:w="640" w:type="pct"/>
            <w:noWrap w:val="0"/>
            <w:vAlign w:val="center"/>
          </w:tcPr>
          <w:p>
            <w:pPr>
              <w:pStyle w:val="112"/>
              <w:keepNext w:val="0"/>
              <w:keepLines w:val="0"/>
              <w:suppressLineNumbers w:val="0"/>
              <w:spacing w:before="17" w:beforeAutospacing="0" w:after="0" w:afterAutospacing="0"/>
              <w:ind w:left="326" w:right="294"/>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废瓷球</w:t>
            </w:r>
          </w:p>
        </w:tc>
        <w:tc>
          <w:tcPr>
            <w:tcW w:w="719" w:type="pct"/>
            <w:noWrap w:val="0"/>
            <w:vAlign w:val="center"/>
          </w:tcPr>
          <w:p>
            <w:pPr>
              <w:pStyle w:val="112"/>
              <w:keepNext w:val="0"/>
              <w:keepLines w:val="0"/>
              <w:suppressLineNumbers w:val="0"/>
              <w:spacing w:before="27" w:beforeAutospacing="0" w:after="0" w:afterAutospacing="0"/>
              <w:ind w:left="35"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9" w:type="pct"/>
            <w:noWrap w:val="0"/>
            <w:vAlign w:val="center"/>
          </w:tcPr>
          <w:p>
            <w:pPr>
              <w:pStyle w:val="112"/>
              <w:keepNext w:val="0"/>
              <w:keepLines w:val="0"/>
              <w:suppressLineNumbers w:val="0"/>
              <w:spacing w:before="27" w:beforeAutospacing="0" w:after="0" w:afterAutospacing="0"/>
              <w:ind w:left="37"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684" w:type="pct"/>
            <w:noWrap w:val="0"/>
            <w:vAlign w:val="center"/>
          </w:tcPr>
          <w:p>
            <w:pPr>
              <w:pStyle w:val="112"/>
              <w:keepNext w:val="0"/>
              <w:keepLines w:val="0"/>
              <w:suppressLineNumbers w:val="0"/>
              <w:spacing w:before="27"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c>
          <w:tcPr>
            <w:tcW w:w="1307" w:type="pct"/>
            <w:noWrap w:val="0"/>
            <w:vAlign w:val="center"/>
          </w:tcPr>
          <w:p>
            <w:pPr>
              <w:pStyle w:val="112"/>
              <w:keepNext w:val="0"/>
              <w:keepLines w:val="0"/>
              <w:suppressLineNumbers w:val="0"/>
              <w:spacing w:before="27" w:beforeAutospacing="0" w:after="0" w:afterAutospacing="0"/>
              <w:ind w:left="38" w:right="0"/>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0</w:t>
            </w:r>
          </w:p>
        </w:tc>
      </w:tr>
    </w:tbl>
    <w:p>
      <w:pPr>
        <w:tabs>
          <w:tab w:val="left" w:pos="3568"/>
          <w:tab w:val="left" w:pos="5357"/>
        </w:tabs>
        <w:jc w:val="center"/>
        <w:rPr>
          <w:rFonts w:eastAsia="Times New Roman"/>
          <w:b/>
          <w:color w:val="000000" w:themeColor="text1"/>
          <w:szCs w:val="24"/>
          <w14:textFill>
            <w14:solidFill>
              <w14:schemeClr w14:val="tx1"/>
            </w14:solidFill>
          </w14:textFill>
        </w:rPr>
      </w:pPr>
    </w:p>
    <w:p>
      <w:pPr>
        <w:pStyle w:val="20"/>
        <w:ind w:left="480" w:firstLine="480"/>
        <w:rPr>
          <w:color w:val="000000" w:themeColor="text1"/>
          <w14:textFill>
            <w14:solidFill>
              <w14:schemeClr w14:val="tx1"/>
            </w14:solidFill>
          </w14:textFill>
        </w:rPr>
      </w:pPr>
    </w:p>
    <w:p>
      <w:pPr>
        <w:pStyle w:val="40"/>
        <w:ind w:firstLine="240"/>
        <w:rPr>
          <w:color w:val="000000" w:themeColor="text1"/>
          <w14:textFill>
            <w14:solidFill>
              <w14:schemeClr w14:val="tx1"/>
            </w14:solidFill>
          </w14:textFill>
        </w:rPr>
        <w:sectPr>
          <w:pgSz w:w="11906" w:h="16838"/>
          <w:pgMar w:top="1440" w:right="1440" w:bottom="1440" w:left="1440" w:header="720" w:footer="720" w:gutter="0"/>
          <w:pgBorders>
            <w:top w:val="none" w:sz="0" w:space="0"/>
            <w:left w:val="none" w:sz="0" w:space="0"/>
            <w:bottom w:val="none" w:sz="0" w:space="0"/>
            <w:right w:val="none" w:sz="0" w:space="0"/>
          </w:pgBorders>
          <w:cols w:space="720" w:num="1"/>
        </w:sectPr>
      </w:pPr>
    </w:p>
    <w:p>
      <w:pPr>
        <w:pStyle w:val="5"/>
        <w:rPr>
          <w:color w:val="000000" w:themeColor="text1"/>
          <w14:textFill>
            <w14:solidFill>
              <w14:schemeClr w14:val="tx1"/>
            </w14:solidFill>
          </w14:textFill>
        </w:rPr>
      </w:pPr>
      <w:r>
        <w:rPr>
          <w:color w:val="000000" w:themeColor="text1"/>
          <w14:textFill>
            <w14:solidFill>
              <w14:schemeClr w14:val="tx1"/>
            </w14:solidFill>
          </w14:textFill>
        </w:rPr>
        <w:t>污染物排放汇总</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根据工程及污染源分析可知，本项目营运期污染物汇总情况见下表所示。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营运期污染物排放汇总一览表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08"/>
        <w:gridCol w:w="1511"/>
        <w:gridCol w:w="1369"/>
        <w:gridCol w:w="1324"/>
        <w:gridCol w:w="1369"/>
        <w:gridCol w:w="1464"/>
        <w:gridCol w:w="1558"/>
        <w:gridCol w:w="2124"/>
        <w:gridCol w:w="24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89" w:type="pct"/>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种类</w:t>
            </w:r>
          </w:p>
        </w:tc>
        <w:tc>
          <w:tcPr>
            <w:tcW w:w="1031" w:type="pct"/>
            <w:gridSpan w:val="2"/>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污染物</w:t>
            </w:r>
          </w:p>
        </w:tc>
        <w:tc>
          <w:tcPr>
            <w:tcW w:w="474"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产生量</w:t>
            </w:r>
          </w:p>
          <w:p>
            <w:pPr>
              <w:pStyle w:val="112"/>
              <w:keepNext w:val="0"/>
              <w:keepLines w:val="0"/>
              <w:suppressLineNumbers w:val="0"/>
              <w:spacing w:before="0" w:beforeAutospacing="0" w:after="0" w:afterAutospacing="0" w:line="249" w:lineRule="exact"/>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（t/a）</w:t>
            </w:r>
          </w:p>
        </w:tc>
        <w:tc>
          <w:tcPr>
            <w:tcW w:w="490"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产生浓度</w:t>
            </w:r>
          </w:p>
          <w:p>
            <w:pPr>
              <w:pStyle w:val="112"/>
              <w:keepNext w:val="0"/>
              <w:keepLines w:val="0"/>
              <w:suppressLineNumbers w:val="0"/>
              <w:spacing w:before="0" w:beforeAutospacing="0" w:after="0" w:afterAutospacing="0" w:line="249" w:lineRule="exact"/>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524"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排放量</w:t>
            </w:r>
          </w:p>
          <w:p>
            <w:pPr>
              <w:pStyle w:val="112"/>
              <w:keepNext w:val="0"/>
              <w:keepLines w:val="0"/>
              <w:suppressLineNumbers w:val="0"/>
              <w:spacing w:before="0" w:beforeAutospacing="0" w:after="0" w:afterAutospacing="0" w:line="249" w:lineRule="exact"/>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（t/a）</w:t>
            </w:r>
          </w:p>
        </w:tc>
        <w:tc>
          <w:tcPr>
            <w:tcW w:w="558"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排放浓度</w:t>
            </w:r>
          </w:p>
          <w:p>
            <w:pPr>
              <w:pStyle w:val="112"/>
              <w:keepNext w:val="0"/>
              <w:keepLines w:val="0"/>
              <w:suppressLineNumbers w:val="0"/>
              <w:spacing w:before="0" w:beforeAutospacing="0" w:after="0" w:afterAutospacing="0" w:line="249" w:lineRule="exact"/>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（mg/L）</w:t>
            </w:r>
          </w:p>
        </w:tc>
        <w:tc>
          <w:tcPr>
            <w:tcW w:w="760" w:type="pct"/>
            <w:noWrap w:val="0"/>
            <w:vAlign w:val="center"/>
          </w:tcPr>
          <w:p>
            <w:pPr>
              <w:pStyle w:val="112"/>
              <w:keepNext w:val="0"/>
              <w:keepLines w:val="0"/>
              <w:suppressLineNumbers w:val="0"/>
              <w:spacing w:before="141" w:beforeAutospacing="0" w:after="0" w:afterAutospacing="0"/>
              <w:ind w:left="200" w:right="16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治理措施</w:t>
            </w:r>
          </w:p>
        </w:tc>
        <w:tc>
          <w:tcPr>
            <w:tcW w:w="870" w:type="pct"/>
            <w:noWrap w:val="0"/>
            <w:vAlign w:val="center"/>
          </w:tcPr>
          <w:p>
            <w:pPr>
              <w:pStyle w:val="112"/>
              <w:keepNext w:val="0"/>
              <w:keepLines w:val="0"/>
              <w:suppressLineNumbers w:val="0"/>
              <w:spacing w:before="141" w:beforeAutospacing="0" w:after="0" w:afterAutospacing="0"/>
              <w:ind w:left="103" w:right="5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达到标准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89" w:type="pct"/>
            <w:vMerge w:val="restart"/>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w:t>
            </w:r>
          </w:p>
        </w:tc>
        <w:tc>
          <w:tcPr>
            <w:tcW w:w="541" w:type="pct"/>
            <w:vMerge w:val="restart"/>
            <w:noWrap w:val="0"/>
            <w:vAlign w:val="center"/>
          </w:tcPr>
          <w:p>
            <w:pPr>
              <w:pStyle w:val="112"/>
              <w:keepNext w:val="0"/>
              <w:keepLines w:val="0"/>
              <w:suppressLineNumbers w:val="0"/>
              <w:spacing w:before="7" w:beforeAutospacing="0" w:after="0" w:afterAutospacing="0" w:line="242" w:lineRule="auto"/>
              <w:ind w:left="167" w:right="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地面冲洗废水</w:t>
            </w:r>
          </w:p>
        </w:tc>
        <w:tc>
          <w:tcPr>
            <w:tcW w:w="490" w:type="pct"/>
            <w:noWrap w:val="0"/>
            <w:vAlign w:val="center"/>
          </w:tcPr>
          <w:p>
            <w:pPr>
              <w:pStyle w:val="112"/>
              <w:keepNext w:val="0"/>
              <w:keepLines w:val="0"/>
              <w:suppressLineNumbers w:val="0"/>
              <w:spacing w:before="16" w:beforeAutospacing="0" w:after="0" w:afterAutospacing="0" w:line="261"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废水量</w:t>
            </w:r>
          </w:p>
        </w:tc>
        <w:tc>
          <w:tcPr>
            <w:tcW w:w="474" w:type="pct"/>
            <w:noWrap w:val="0"/>
            <w:vAlign w:val="center"/>
          </w:tcPr>
          <w:p>
            <w:pPr>
              <w:pStyle w:val="112"/>
              <w:keepNext w:val="0"/>
              <w:keepLines w:val="0"/>
              <w:suppressLineNumbers w:val="0"/>
              <w:spacing w:before="30" w:beforeAutospacing="0" w:after="0" w:afterAutospacing="0"/>
              <w:ind w:left="206" w:right="17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w:t>
            </w:r>
          </w:p>
        </w:tc>
        <w:tc>
          <w:tcPr>
            <w:tcW w:w="490" w:type="pct"/>
            <w:noWrap w:val="0"/>
            <w:vAlign w:val="center"/>
          </w:tcPr>
          <w:p>
            <w:pPr>
              <w:pStyle w:val="112"/>
              <w:keepNext w:val="0"/>
              <w:keepLines w:val="0"/>
              <w:suppressLineNumbers w:val="0"/>
              <w:spacing w:before="22"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2" w:beforeAutospacing="0" w:after="0" w:afterAutospacing="0"/>
              <w:ind w:left="141" w:right="10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w:t>
            </w:r>
          </w:p>
        </w:tc>
        <w:tc>
          <w:tcPr>
            <w:tcW w:w="558" w:type="pct"/>
            <w:noWrap w:val="0"/>
            <w:vAlign w:val="center"/>
          </w:tcPr>
          <w:p>
            <w:pPr>
              <w:pStyle w:val="112"/>
              <w:keepNext w:val="0"/>
              <w:keepLines w:val="0"/>
              <w:suppressLineNumbers w:val="0"/>
              <w:spacing w:before="22"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vMerge w:val="restart"/>
            <w:noWrap w:val="0"/>
            <w:vAlign w:val="center"/>
          </w:tcPr>
          <w:p>
            <w:pPr>
              <w:pStyle w:val="112"/>
              <w:keepNext w:val="0"/>
              <w:keepLines w:val="0"/>
              <w:suppressLineNumbers w:val="0"/>
              <w:spacing w:before="0" w:beforeAutospacing="0" w:after="0" w:afterAutospacing="0" w:line="242" w:lineRule="auto"/>
              <w:ind w:left="200" w:right="166"/>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经炼油部污水处理系统预处理后送入</w:t>
            </w:r>
            <w:r>
              <w:rPr>
                <w:rFonts w:hint="eastAsia" w:ascii="Times New Roman" w:hAnsi="Times New Roman" w:cs="Times New Roman"/>
                <w:color w:val="000000" w:themeColor="text1"/>
                <w:sz w:val="21"/>
                <w:szCs w:val="21"/>
                <w14:textFill>
                  <w14:solidFill>
                    <w14:schemeClr w14:val="tx1"/>
                  </w14:solidFill>
                </w14:textFill>
              </w:rPr>
              <w:t>巴陵石化水务部云溪生化装置</w:t>
            </w:r>
            <w:r>
              <w:rPr>
                <w:rFonts w:ascii="Times New Roman" w:hAnsi="Times New Roman" w:cs="Times New Roman"/>
                <w:color w:val="000000" w:themeColor="text1"/>
                <w:sz w:val="21"/>
                <w:szCs w:val="21"/>
                <w14:textFill>
                  <w14:solidFill>
                    <w14:schemeClr w14:val="tx1"/>
                  </w14:solidFill>
                </w14:textFill>
              </w:rPr>
              <w:t>处理达标后排放长江</w:t>
            </w:r>
          </w:p>
        </w:tc>
        <w:tc>
          <w:tcPr>
            <w:tcW w:w="870" w:type="pct"/>
            <w:vMerge w:val="restart"/>
            <w:noWrap w:val="0"/>
            <w:vAlign w:val="center"/>
          </w:tcPr>
          <w:p>
            <w:pPr>
              <w:pStyle w:val="112"/>
              <w:keepNext w:val="0"/>
              <w:keepLines w:val="0"/>
              <w:suppressLineNumbers w:val="0"/>
              <w:spacing w:before="0" w:beforeAutospacing="0" w:after="0" w:afterAutospacing="0" w:line="244" w:lineRule="auto"/>
              <w:ind w:left="117" w:right="70" w:hanging="4"/>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满足巴陵石化接管标准COD≤800mg/L；污水处理厂执行《石油炼制工业污染物排放标准》（GB31570-2015）表 2水污染特别排放限值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541"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30" w:beforeAutospacing="0" w:after="0" w:afterAutospacing="0"/>
              <w:ind w:left="144"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CODcr</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0.006</w:t>
            </w:r>
          </w:p>
        </w:tc>
        <w:tc>
          <w:tcPr>
            <w:tcW w:w="490" w:type="pct"/>
            <w:noWrap w:val="0"/>
            <w:vAlign w:val="center"/>
          </w:tcPr>
          <w:p>
            <w:pPr>
              <w:pStyle w:val="112"/>
              <w:keepNext w:val="0"/>
              <w:keepLines w:val="0"/>
              <w:suppressLineNumbers w:val="0"/>
              <w:spacing w:before="30" w:beforeAutospacing="0" w:after="0" w:afterAutospacing="0"/>
              <w:ind w:left="206" w:right="17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500</w:t>
            </w:r>
          </w:p>
        </w:tc>
        <w:tc>
          <w:tcPr>
            <w:tcW w:w="524" w:type="pct"/>
            <w:noWrap w:val="0"/>
            <w:vAlign w:val="center"/>
          </w:tcPr>
          <w:p>
            <w:pPr>
              <w:pStyle w:val="112"/>
              <w:keepNext w:val="0"/>
              <w:keepLines w:val="0"/>
              <w:suppressLineNumbers w:val="0"/>
              <w:spacing w:before="30" w:beforeAutospacing="0" w:after="0" w:afterAutospacing="0"/>
              <w:ind w:left="141" w:right="107"/>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0.0006</w:t>
            </w:r>
          </w:p>
        </w:tc>
        <w:tc>
          <w:tcPr>
            <w:tcW w:w="558" w:type="pct"/>
            <w:noWrap w:val="0"/>
            <w:vAlign w:val="center"/>
          </w:tcPr>
          <w:p>
            <w:pPr>
              <w:pStyle w:val="112"/>
              <w:keepNext w:val="0"/>
              <w:keepLines w:val="0"/>
              <w:suppressLineNumbers w:val="0"/>
              <w:spacing w:before="30" w:beforeAutospacing="0" w:after="0" w:afterAutospacing="0"/>
              <w:ind w:left="413" w:right="37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541"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30" w:beforeAutospacing="0" w:after="0" w:afterAutospacing="0"/>
              <w:ind w:left="144"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0.0036</w:t>
            </w:r>
          </w:p>
        </w:tc>
        <w:tc>
          <w:tcPr>
            <w:tcW w:w="490" w:type="pct"/>
            <w:noWrap w:val="0"/>
            <w:vAlign w:val="center"/>
          </w:tcPr>
          <w:p>
            <w:pPr>
              <w:pStyle w:val="112"/>
              <w:keepNext w:val="0"/>
              <w:keepLines w:val="0"/>
              <w:suppressLineNumbers w:val="0"/>
              <w:spacing w:before="30" w:beforeAutospacing="0" w:after="0" w:afterAutospacing="0"/>
              <w:ind w:left="206" w:right="17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300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0.0002</w:t>
            </w:r>
          </w:p>
        </w:tc>
        <w:tc>
          <w:tcPr>
            <w:tcW w:w="558" w:type="pct"/>
            <w:noWrap w:val="0"/>
            <w:vAlign w:val="center"/>
          </w:tcPr>
          <w:p>
            <w:pPr>
              <w:pStyle w:val="112"/>
              <w:keepNext w:val="0"/>
              <w:keepLines w:val="0"/>
              <w:suppressLineNumbers w:val="0"/>
              <w:spacing w:before="30" w:beforeAutospacing="0" w:after="0" w:afterAutospacing="0"/>
              <w:ind w:left="413" w:right="37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289"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541"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30" w:beforeAutospacing="0" w:after="0" w:afterAutospacing="0"/>
              <w:ind w:left="144"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0.0007</w:t>
            </w:r>
          </w:p>
        </w:tc>
        <w:tc>
          <w:tcPr>
            <w:tcW w:w="490" w:type="pct"/>
            <w:noWrap w:val="0"/>
            <w:vAlign w:val="center"/>
          </w:tcPr>
          <w:p>
            <w:pPr>
              <w:pStyle w:val="112"/>
              <w:keepNext w:val="0"/>
              <w:keepLines w:val="0"/>
              <w:suppressLineNumbers w:val="0"/>
              <w:spacing w:before="30" w:beforeAutospacing="0" w:after="0" w:afterAutospacing="0"/>
              <w:ind w:left="144" w:right="11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524" w:type="pct"/>
            <w:noWrap w:val="0"/>
            <w:vAlign w:val="center"/>
          </w:tcPr>
          <w:p>
            <w:pPr>
              <w:pStyle w:val="112"/>
              <w:keepNext w:val="0"/>
              <w:keepLines w:val="0"/>
              <w:suppressLineNumbers w:val="0"/>
              <w:spacing w:before="0" w:beforeAutospacing="0" w:after="0" w:afterAutospacing="0"/>
              <w:ind w:left="141" w:right="11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0.00006</w:t>
            </w:r>
          </w:p>
        </w:tc>
        <w:tc>
          <w:tcPr>
            <w:tcW w:w="558" w:type="pct"/>
            <w:noWrap w:val="0"/>
            <w:vAlign w:val="center"/>
          </w:tcPr>
          <w:p>
            <w:pPr>
              <w:pStyle w:val="112"/>
              <w:keepNext w:val="0"/>
              <w:keepLines w:val="0"/>
              <w:suppressLineNumbers w:val="0"/>
              <w:spacing w:before="0" w:beforeAutospacing="0" w:after="0" w:afterAutospacing="0"/>
              <w:ind w:left="31"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541" w:type="pct"/>
            <w:vMerge w:val="restart"/>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初期雨水</w:t>
            </w:r>
          </w:p>
        </w:tc>
        <w:tc>
          <w:tcPr>
            <w:tcW w:w="490" w:type="pct"/>
            <w:noWrap w:val="0"/>
            <w:vAlign w:val="center"/>
          </w:tcPr>
          <w:p>
            <w:pPr>
              <w:pStyle w:val="112"/>
              <w:keepNext w:val="0"/>
              <w:keepLines w:val="0"/>
              <w:suppressLineNumbers w:val="0"/>
              <w:spacing w:before="20" w:beforeAutospacing="0" w:after="0" w:afterAutospacing="0"/>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废水量</w:t>
            </w:r>
          </w:p>
        </w:tc>
        <w:tc>
          <w:tcPr>
            <w:tcW w:w="474" w:type="pct"/>
            <w:noWrap w:val="0"/>
            <w:vAlign w:val="center"/>
          </w:tcPr>
          <w:p>
            <w:pPr>
              <w:pStyle w:val="112"/>
              <w:keepNext w:val="0"/>
              <w:keepLines w:val="0"/>
              <w:suppressLineNumbers w:val="0"/>
              <w:spacing w:before="34" w:beforeAutospacing="0" w:after="0" w:afterAutospacing="0"/>
              <w:ind w:left="0" w:right="0" w:firstLine="210" w:firstLineChars="1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1220.4</w:t>
            </w:r>
          </w:p>
        </w:tc>
        <w:tc>
          <w:tcPr>
            <w:tcW w:w="490" w:type="pct"/>
            <w:noWrap w:val="0"/>
            <w:vAlign w:val="center"/>
          </w:tcPr>
          <w:p>
            <w:pPr>
              <w:pStyle w:val="112"/>
              <w:keepNext w:val="0"/>
              <w:keepLines w:val="0"/>
              <w:suppressLineNumbers w:val="0"/>
              <w:spacing w:before="26"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6" w:beforeAutospacing="0" w:after="0" w:afterAutospacing="0"/>
              <w:ind w:left="141" w:right="11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1220.4</w:t>
            </w:r>
          </w:p>
        </w:tc>
        <w:tc>
          <w:tcPr>
            <w:tcW w:w="558" w:type="pct"/>
            <w:noWrap w:val="0"/>
            <w:vAlign w:val="center"/>
          </w:tcPr>
          <w:p>
            <w:pPr>
              <w:pStyle w:val="112"/>
              <w:keepNext w:val="0"/>
              <w:keepLines w:val="0"/>
              <w:suppressLineNumbers w:val="0"/>
              <w:spacing w:before="26" w:beforeAutospacing="0" w:after="0" w:afterAutospacing="0"/>
              <w:ind w:left="413" w:right="376"/>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vMerge w:val="restart"/>
            <w:noWrap w:val="0"/>
            <w:vAlign w:val="center"/>
          </w:tcPr>
          <w:p>
            <w:pPr>
              <w:pStyle w:val="112"/>
              <w:keepNext w:val="0"/>
              <w:keepLines w:val="0"/>
              <w:suppressLineNumbers w:val="0"/>
              <w:spacing w:before="104" w:beforeAutospacing="0" w:after="0" w:afterAutospacing="0" w:line="242" w:lineRule="auto"/>
              <w:ind w:left="200" w:right="166"/>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送入</w:t>
            </w:r>
            <w:r>
              <w:rPr>
                <w:rFonts w:hint="eastAsia" w:ascii="Times New Roman" w:hAnsi="Times New Roman" w:cs="Times New Roman"/>
                <w:color w:val="000000" w:themeColor="text1"/>
                <w:sz w:val="21"/>
                <w:szCs w:val="21"/>
                <w14:textFill>
                  <w14:solidFill>
                    <w14:schemeClr w14:val="tx1"/>
                  </w14:solidFill>
                </w14:textFill>
              </w:rPr>
              <w:t>巴陵石化水务部云溪生化装置</w:t>
            </w:r>
            <w:r>
              <w:rPr>
                <w:rFonts w:ascii="Times New Roman" w:hAnsi="Times New Roman" w:cs="Times New Roman"/>
                <w:color w:val="000000" w:themeColor="text1"/>
                <w:sz w:val="21"/>
                <w:szCs w:val="21"/>
                <w14:textFill>
                  <w14:solidFill>
                    <w14:schemeClr w14:val="tx1"/>
                  </w14:solidFill>
                </w14:textFill>
              </w:rPr>
              <w:t>处理达标后排放长江</w:t>
            </w: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6" w:beforeAutospacing="0" w:after="0" w:afterAutospacing="0"/>
              <w:ind w:left="144"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CODcr</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0.6</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500</w:t>
            </w:r>
          </w:p>
        </w:tc>
        <w:tc>
          <w:tcPr>
            <w:tcW w:w="524" w:type="pct"/>
            <w:noWrap w:val="0"/>
            <w:vAlign w:val="center"/>
          </w:tcPr>
          <w:p>
            <w:pPr>
              <w:pStyle w:val="112"/>
              <w:keepNext w:val="0"/>
              <w:keepLines w:val="0"/>
              <w:suppressLineNumbers w:val="0"/>
              <w:spacing w:before="26"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0.06</w:t>
            </w:r>
          </w:p>
        </w:tc>
        <w:tc>
          <w:tcPr>
            <w:tcW w:w="558" w:type="pct"/>
            <w:noWrap w:val="0"/>
            <w:vAlign w:val="center"/>
          </w:tcPr>
          <w:p>
            <w:pPr>
              <w:pStyle w:val="112"/>
              <w:keepNext w:val="0"/>
              <w:keepLines w:val="0"/>
              <w:suppressLineNumbers w:val="0"/>
              <w:spacing w:before="26" w:beforeAutospacing="0" w:after="0" w:afterAutospacing="0"/>
              <w:ind w:left="413" w:right="376"/>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30" w:beforeAutospacing="0" w:after="0" w:afterAutospacing="0"/>
              <w:ind w:left="148"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0.37</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300</w:t>
            </w:r>
          </w:p>
        </w:tc>
        <w:tc>
          <w:tcPr>
            <w:tcW w:w="524" w:type="pct"/>
            <w:noWrap w:val="0"/>
            <w:vAlign w:val="center"/>
          </w:tcPr>
          <w:p>
            <w:pPr>
              <w:pStyle w:val="112"/>
              <w:keepNext w:val="0"/>
              <w:keepLines w:val="0"/>
              <w:suppressLineNumbers w:val="0"/>
              <w:spacing w:before="30" w:beforeAutospacing="0" w:after="0" w:afterAutospacing="0"/>
              <w:ind w:left="141" w:right="10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0.024</w:t>
            </w:r>
          </w:p>
        </w:tc>
        <w:tc>
          <w:tcPr>
            <w:tcW w:w="558" w:type="pct"/>
            <w:noWrap w:val="0"/>
            <w:vAlign w:val="center"/>
          </w:tcPr>
          <w:p>
            <w:pPr>
              <w:pStyle w:val="112"/>
              <w:keepNext w:val="0"/>
              <w:keepLines w:val="0"/>
              <w:suppressLineNumbers w:val="0"/>
              <w:spacing w:before="30" w:beforeAutospacing="0" w:after="0" w:afterAutospacing="0"/>
              <w:ind w:left="413" w:right="376"/>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30" w:beforeAutospacing="0" w:after="0" w:afterAutospacing="0"/>
              <w:ind w:left="148" w:right="115"/>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SS</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0.37</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300</w:t>
            </w:r>
          </w:p>
        </w:tc>
        <w:tc>
          <w:tcPr>
            <w:tcW w:w="524" w:type="pct"/>
            <w:noWrap w:val="0"/>
            <w:vAlign w:val="center"/>
          </w:tcPr>
          <w:p>
            <w:pPr>
              <w:pStyle w:val="112"/>
              <w:keepNext w:val="0"/>
              <w:keepLines w:val="0"/>
              <w:suppressLineNumbers w:val="0"/>
              <w:spacing w:before="30" w:beforeAutospacing="0" w:after="0" w:afterAutospacing="0"/>
              <w:ind w:left="141" w:right="10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0.085</w:t>
            </w:r>
          </w:p>
        </w:tc>
        <w:tc>
          <w:tcPr>
            <w:tcW w:w="558" w:type="pct"/>
            <w:noWrap w:val="0"/>
            <w:vAlign w:val="center"/>
          </w:tcPr>
          <w:p>
            <w:pPr>
              <w:pStyle w:val="112"/>
              <w:keepNext w:val="0"/>
              <w:keepLines w:val="0"/>
              <w:suppressLineNumbers w:val="0"/>
              <w:spacing w:before="30" w:beforeAutospacing="0" w:after="0" w:afterAutospacing="0"/>
              <w:ind w:left="413" w:right="37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0.073</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0.006</w:t>
            </w:r>
          </w:p>
        </w:tc>
        <w:tc>
          <w:tcPr>
            <w:tcW w:w="558" w:type="pct"/>
            <w:noWrap w:val="0"/>
            <w:vAlign w:val="center"/>
          </w:tcPr>
          <w:p>
            <w:pPr>
              <w:pStyle w:val="112"/>
              <w:keepNext w:val="0"/>
              <w:keepLines w:val="0"/>
              <w:suppressLineNumbers w:val="0"/>
              <w:spacing w:before="30" w:beforeAutospacing="0" w:after="0" w:afterAutospacing="0"/>
              <w:ind w:left="31"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机泵冷却产生的含油污水</w:t>
            </w: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废水量</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1650</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30" w:beforeAutospacing="0" w:after="0" w:afterAutospacing="0"/>
              <w:ind w:left="141" w:right="107"/>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1650</w:t>
            </w:r>
          </w:p>
        </w:tc>
        <w:tc>
          <w:tcPr>
            <w:tcW w:w="558" w:type="pct"/>
            <w:noWrap w:val="0"/>
            <w:vAlign w:val="center"/>
          </w:tcPr>
          <w:p>
            <w:pPr>
              <w:pStyle w:val="112"/>
              <w:keepNext w:val="0"/>
              <w:keepLines w:val="0"/>
              <w:suppressLineNumbers w:val="0"/>
              <w:spacing w:before="30"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炼油部污水预处理装置处理后，再送</w:t>
            </w:r>
            <w:r>
              <w:rPr>
                <w:rFonts w:hint="eastAsia" w:eastAsia="宋体" w:cs="Times New Roman"/>
                <w:color w:val="000000" w:themeColor="text1"/>
                <w:sz w:val="21"/>
                <w:szCs w:val="21"/>
                <w14:textFill>
                  <w14:solidFill>
                    <w14:schemeClr w14:val="tx1"/>
                  </w14:solidFill>
                </w14:textFill>
              </w:rPr>
              <w:t>巴陵石化水务部云溪生化装置</w:t>
            </w:r>
            <w:r>
              <w:rPr>
                <w:rFonts w:eastAsia="宋体" w:cs="Times New Roman"/>
                <w:color w:val="000000" w:themeColor="text1"/>
                <w:sz w:val="21"/>
                <w:szCs w:val="21"/>
                <w14:textFill>
                  <w14:solidFill>
                    <w14:schemeClr w14:val="tx1"/>
                  </w14:solidFill>
                </w14:textFill>
              </w:rPr>
              <w:t>处理</w:t>
            </w: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CODcr</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0.8</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500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0.08</w:t>
            </w:r>
          </w:p>
        </w:tc>
        <w:tc>
          <w:tcPr>
            <w:tcW w:w="558" w:type="pct"/>
            <w:noWrap w:val="0"/>
            <w:vAlign w:val="center"/>
          </w:tcPr>
          <w:p>
            <w:pPr>
              <w:pStyle w:val="112"/>
              <w:keepNext w:val="0"/>
              <w:keepLines w:val="0"/>
              <w:suppressLineNumbers w:val="0"/>
              <w:spacing w:before="30"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0.5</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0.03</w:t>
            </w:r>
          </w:p>
        </w:tc>
        <w:tc>
          <w:tcPr>
            <w:tcW w:w="558" w:type="pct"/>
            <w:noWrap w:val="0"/>
            <w:vAlign w:val="center"/>
          </w:tcPr>
          <w:p>
            <w:pPr>
              <w:pStyle w:val="112"/>
              <w:keepNext w:val="0"/>
              <w:keepLines w:val="0"/>
              <w:suppressLineNumbers w:val="0"/>
              <w:spacing w:before="30"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0.1</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0.008</w:t>
            </w:r>
          </w:p>
        </w:tc>
        <w:tc>
          <w:tcPr>
            <w:tcW w:w="558" w:type="pct"/>
            <w:noWrap w:val="0"/>
            <w:vAlign w:val="center"/>
          </w:tcPr>
          <w:p>
            <w:pPr>
              <w:pStyle w:val="112"/>
              <w:keepNext w:val="0"/>
              <w:keepLines w:val="0"/>
              <w:suppressLineNumbers w:val="0"/>
              <w:spacing w:before="30"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粗白油分馏塔顶回流罐产生的含硫污水</w:t>
            </w: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废水量</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330</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330</w:t>
            </w:r>
          </w:p>
        </w:tc>
        <w:tc>
          <w:tcPr>
            <w:tcW w:w="558" w:type="pct"/>
            <w:noWrap w:val="0"/>
            <w:vAlign w:val="center"/>
          </w:tcPr>
          <w:p>
            <w:pPr>
              <w:pStyle w:val="112"/>
              <w:keepNext w:val="0"/>
              <w:keepLines w:val="0"/>
              <w:suppressLineNumbers w:val="0"/>
              <w:spacing w:before="30"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送酸性水气提装置处理后部分回用常压装置，其余排入炼油部污水预处理装置处理后，再送</w:t>
            </w:r>
            <w:r>
              <w:rPr>
                <w:rFonts w:hint="eastAsia" w:eastAsia="宋体" w:cs="Times New Roman"/>
                <w:color w:val="000000" w:themeColor="text1"/>
                <w:sz w:val="21"/>
                <w:szCs w:val="21"/>
                <w14:textFill>
                  <w14:solidFill>
                    <w14:schemeClr w14:val="tx1"/>
                  </w14:solidFill>
                </w14:textFill>
              </w:rPr>
              <w:t>巴陵石化水务部云溪生化装置</w:t>
            </w:r>
            <w:r>
              <w:rPr>
                <w:rFonts w:eastAsia="宋体" w:cs="Times New Roman"/>
                <w:color w:val="000000" w:themeColor="text1"/>
                <w:sz w:val="21"/>
                <w:szCs w:val="21"/>
                <w14:textFill>
                  <w14:solidFill>
                    <w14:schemeClr w14:val="tx1"/>
                  </w14:solidFill>
                </w14:textFill>
              </w:rPr>
              <w:t>处理</w:t>
            </w: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CODcr</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0.17</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500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0.02</w:t>
            </w:r>
          </w:p>
        </w:tc>
        <w:tc>
          <w:tcPr>
            <w:tcW w:w="558" w:type="pct"/>
            <w:noWrap w:val="0"/>
            <w:vAlign w:val="center"/>
          </w:tcPr>
          <w:p>
            <w:pPr>
              <w:pStyle w:val="112"/>
              <w:keepNext w:val="0"/>
              <w:keepLines w:val="0"/>
              <w:suppressLineNumbers w:val="0"/>
              <w:spacing w:before="30" w:beforeAutospacing="0" w:after="0" w:afterAutospacing="0"/>
              <w:ind w:left="31"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0.1</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0.007</w:t>
            </w:r>
          </w:p>
        </w:tc>
        <w:tc>
          <w:tcPr>
            <w:tcW w:w="558" w:type="pct"/>
            <w:noWrap w:val="0"/>
            <w:vAlign w:val="center"/>
          </w:tcPr>
          <w:p>
            <w:pPr>
              <w:pStyle w:val="112"/>
              <w:keepNext w:val="0"/>
              <w:keepLines w:val="0"/>
              <w:suppressLineNumbers w:val="0"/>
              <w:spacing w:before="30" w:beforeAutospacing="0" w:after="0" w:afterAutospacing="0"/>
              <w:ind w:left="31"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4" w:beforeAutospacing="0" w:after="0" w:afterAutospacing="0" w:line="268" w:lineRule="exact"/>
              <w:ind w:left="15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0.02</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60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0.002</w:t>
            </w:r>
          </w:p>
        </w:tc>
        <w:tc>
          <w:tcPr>
            <w:tcW w:w="558" w:type="pct"/>
            <w:noWrap w:val="0"/>
            <w:vAlign w:val="center"/>
          </w:tcPr>
          <w:p>
            <w:pPr>
              <w:pStyle w:val="112"/>
              <w:keepNext w:val="0"/>
              <w:keepLines w:val="0"/>
              <w:suppressLineNumbers w:val="0"/>
              <w:spacing w:before="30" w:beforeAutospacing="0" w:after="0" w:afterAutospacing="0"/>
              <w:ind w:left="31"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氨氮</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0.01</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30</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0.002</w:t>
            </w:r>
          </w:p>
        </w:tc>
        <w:tc>
          <w:tcPr>
            <w:tcW w:w="558" w:type="pct"/>
            <w:noWrap w:val="0"/>
            <w:vAlign w:val="center"/>
          </w:tcPr>
          <w:p>
            <w:pPr>
              <w:pStyle w:val="112"/>
              <w:keepNext w:val="0"/>
              <w:keepLines w:val="0"/>
              <w:suppressLineNumbers w:val="0"/>
              <w:spacing w:before="30" w:beforeAutospacing="0" w:after="0" w:afterAutospacing="0"/>
              <w:ind w:left="31"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硫化物</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0.002</w:t>
            </w:r>
          </w:p>
        </w:tc>
        <w:tc>
          <w:tcPr>
            <w:tcW w:w="4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5</w:t>
            </w:r>
          </w:p>
        </w:tc>
        <w:tc>
          <w:tcPr>
            <w:tcW w:w="524" w:type="pct"/>
            <w:noWrap w:val="0"/>
            <w:vAlign w:val="center"/>
          </w:tcPr>
          <w:p>
            <w:pPr>
              <w:pStyle w:val="112"/>
              <w:keepNext w:val="0"/>
              <w:keepLines w:val="0"/>
              <w:suppressLineNumbers w:val="0"/>
              <w:spacing w:before="30"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0.0003</w:t>
            </w:r>
          </w:p>
        </w:tc>
        <w:tc>
          <w:tcPr>
            <w:tcW w:w="558" w:type="pct"/>
            <w:noWrap w:val="0"/>
            <w:vAlign w:val="center"/>
          </w:tcPr>
          <w:p>
            <w:pPr>
              <w:pStyle w:val="112"/>
              <w:keepNext w:val="0"/>
              <w:keepLines w:val="0"/>
              <w:suppressLineNumbers w:val="0"/>
              <w:spacing w:before="30" w:beforeAutospacing="0" w:after="0" w:afterAutospacing="0"/>
              <w:ind w:left="31" w:right="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6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870"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9" w:type="pct"/>
            <w:vMerge w:val="restart"/>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废气</w:t>
            </w:r>
          </w:p>
        </w:tc>
        <w:tc>
          <w:tcPr>
            <w:tcW w:w="541" w:type="pct"/>
            <w:vMerge w:val="restart"/>
            <w:noWrap w:val="0"/>
            <w:vAlign w:val="center"/>
          </w:tcPr>
          <w:p>
            <w:pPr>
              <w:pStyle w:val="112"/>
              <w:keepNext w:val="0"/>
              <w:keepLines w:val="0"/>
              <w:suppressLineNumbers w:val="0"/>
              <w:spacing w:before="0" w:beforeAutospacing="0" w:after="0" w:afterAutospacing="0" w:line="213" w:lineRule="auto"/>
              <w:ind w:left="604" w:right="154" w:hanging="42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不凝气</w:t>
            </w:r>
          </w:p>
        </w:tc>
        <w:tc>
          <w:tcPr>
            <w:tcW w:w="490" w:type="pct"/>
            <w:noWrap w:val="0"/>
            <w:vAlign w:val="center"/>
          </w:tcPr>
          <w:p>
            <w:pPr>
              <w:pStyle w:val="112"/>
              <w:keepNext w:val="0"/>
              <w:keepLines w:val="0"/>
              <w:suppressLineNumbers w:val="0"/>
              <w:spacing w:before="66" w:beforeAutospacing="0" w:after="0" w:afterAutospacing="0"/>
              <w:ind w:left="142" w:right="11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VOCs</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lang w:val="en-US" w:eastAsia="zh-CN"/>
                <w14:textFill>
                  <w14:solidFill>
                    <w14:schemeClr w14:val="tx1"/>
                  </w14:solidFill>
                </w14:textFill>
              </w:rPr>
              <w:t>97.44</w:t>
            </w:r>
          </w:p>
        </w:tc>
        <w:tc>
          <w:tcPr>
            <w:tcW w:w="490" w:type="pct"/>
            <w:noWrap w:val="0"/>
            <w:vAlign w:val="center"/>
          </w:tcPr>
          <w:p>
            <w:pPr>
              <w:pStyle w:val="112"/>
              <w:keepNext w:val="0"/>
              <w:keepLines w:val="0"/>
              <w:suppressLineNumbers w:val="0"/>
              <w:spacing w:before="74" w:beforeAutospacing="0" w:after="0" w:afterAutospacing="0"/>
              <w:ind w:left="204" w:right="17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74" w:beforeAutospacing="0" w:after="0" w:afterAutospacing="0"/>
              <w:ind w:left="141" w:right="10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97.44</w:t>
            </w:r>
          </w:p>
        </w:tc>
        <w:tc>
          <w:tcPr>
            <w:tcW w:w="558" w:type="pct"/>
            <w:noWrap w:val="0"/>
            <w:vAlign w:val="center"/>
          </w:tcPr>
          <w:p>
            <w:pPr>
              <w:pStyle w:val="112"/>
              <w:keepNext w:val="0"/>
              <w:keepLines w:val="0"/>
              <w:suppressLineNumbers w:val="0"/>
              <w:spacing w:before="74" w:beforeAutospacing="0" w:after="0" w:afterAutospacing="0"/>
              <w:ind w:left="412" w:right="38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60" w:type="pct"/>
            <w:vMerge w:val="restart"/>
            <w:noWrap w:val="0"/>
            <w:vAlign w:val="center"/>
          </w:tcPr>
          <w:p>
            <w:pPr>
              <w:pStyle w:val="112"/>
              <w:keepNext w:val="0"/>
              <w:keepLines w:val="0"/>
              <w:suppressLineNumbers w:val="0"/>
              <w:spacing w:before="11" w:beforeAutospacing="0" w:after="0" w:afterAutospacing="0" w:line="265" w:lineRule="exact"/>
              <w:ind w:left="200" w:right="1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本项目塔顶产生的不凝气通过火炬系统管网送气柜回收轻烃，回收不完时引入火炬焚烧</w:t>
            </w:r>
          </w:p>
        </w:tc>
        <w:tc>
          <w:tcPr>
            <w:tcW w:w="870" w:type="pct"/>
            <w:vMerge w:val="restart"/>
            <w:noWrap w:val="0"/>
            <w:vAlign w:val="center"/>
          </w:tcPr>
          <w:p>
            <w:pPr>
              <w:pStyle w:val="112"/>
              <w:keepNext w:val="0"/>
              <w:keepLines w:val="0"/>
              <w:suppressLineNumbers w:val="0"/>
              <w:spacing w:before="3" w:beforeAutospacing="0" w:after="0" w:afterAutospacing="0"/>
              <w:ind w:left="103" w:right="5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通过管道送气柜回收轻烃，回收不完时引入火炬焚烧，不外排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9"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541" w:type="pct"/>
            <w:vMerge w:val="continue"/>
            <w:noWrap w:val="0"/>
            <w:vAlign w:val="center"/>
          </w:tcPr>
          <w:p>
            <w:pPr>
              <w:pStyle w:val="112"/>
              <w:keepNext w:val="0"/>
              <w:keepLines w:val="0"/>
              <w:suppressLineNumbers w:val="0"/>
              <w:spacing w:before="0" w:beforeAutospacing="0" w:after="0" w:afterAutospacing="0" w:line="213" w:lineRule="auto"/>
              <w:ind w:left="604" w:right="154" w:hanging="421"/>
              <w:rPr>
                <w:rFonts w:ascii="Times New Roman" w:hAnsi="Times New Roman"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66" w:beforeAutospacing="0" w:after="0" w:afterAutospacing="0"/>
              <w:ind w:left="142" w:right="11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4.1373</w:t>
            </w:r>
          </w:p>
        </w:tc>
        <w:tc>
          <w:tcPr>
            <w:tcW w:w="490" w:type="pct"/>
            <w:noWrap w:val="0"/>
            <w:vAlign w:val="center"/>
          </w:tcPr>
          <w:p>
            <w:pPr>
              <w:pStyle w:val="112"/>
              <w:keepNext w:val="0"/>
              <w:keepLines w:val="0"/>
              <w:suppressLineNumbers w:val="0"/>
              <w:spacing w:before="74" w:beforeAutospacing="0" w:after="0" w:afterAutospacing="0"/>
              <w:ind w:left="204" w:right="17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74" w:beforeAutospacing="0" w:after="0" w:afterAutospacing="0"/>
              <w:ind w:left="141" w:right="10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4.1373</w:t>
            </w:r>
          </w:p>
        </w:tc>
        <w:tc>
          <w:tcPr>
            <w:tcW w:w="558" w:type="pct"/>
            <w:noWrap w:val="0"/>
            <w:vAlign w:val="center"/>
          </w:tcPr>
          <w:p>
            <w:pPr>
              <w:pStyle w:val="112"/>
              <w:keepNext w:val="0"/>
              <w:keepLines w:val="0"/>
              <w:suppressLineNumbers w:val="0"/>
              <w:spacing w:before="74" w:beforeAutospacing="0" w:after="0" w:afterAutospacing="0"/>
              <w:ind w:left="412" w:right="38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60" w:type="pct"/>
            <w:vMerge w:val="continue"/>
            <w:noWrap w:val="0"/>
            <w:vAlign w:val="center"/>
          </w:tcPr>
          <w:p>
            <w:pPr>
              <w:pStyle w:val="112"/>
              <w:keepNext w:val="0"/>
              <w:keepLines w:val="0"/>
              <w:suppressLineNumbers w:val="0"/>
              <w:spacing w:before="11" w:beforeAutospacing="0" w:after="0" w:afterAutospacing="0" w:line="265" w:lineRule="exact"/>
              <w:ind w:left="200" w:right="163"/>
              <w:rPr>
                <w:rFonts w:hint="default" w:ascii="Times New Roman" w:hAnsi="Times New Roman" w:cs="Times New Roman"/>
                <w:color w:val="000000" w:themeColor="text1"/>
                <w:sz w:val="21"/>
                <w:szCs w:val="21"/>
                <w14:textFill>
                  <w14:solidFill>
                    <w14:schemeClr w14:val="tx1"/>
                  </w14:solidFill>
                </w14:textFill>
              </w:rPr>
            </w:pPr>
          </w:p>
        </w:tc>
        <w:tc>
          <w:tcPr>
            <w:tcW w:w="870" w:type="pct"/>
            <w:vMerge w:val="continue"/>
            <w:noWrap w:val="0"/>
            <w:vAlign w:val="center"/>
          </w:tcPr>
          <w:p>
            <w:pPr>
              <w:pStyle w:val="112"/>
              <w:keepNext w:val="0"/>
              <w:keepLines w:val="0"/>
              <w:suppressLineNumbers w:val="0"/>
              <w:spacing w:before="3" w:beforeAutospacing="0" w:after="0" w:afterAutospacing="0"/>
              <w:ind w:left="103" w:right="57"/>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9"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541" w:type="pct"/>
            <w:vMerge w:val="continue"/>
            <w:noWrap w:val="0"/>
            <w:vAlign w:val="center"/>
          </w:tcPr>
          <w:p>
            <w:pPr>
              <w:pStyle w:val="112"/>
              <w:keepNext w:val="0"/>
              <w:keepLines w:val="0"/>
              <w:suppressLineNumbers w:val="0"/>
              <w:spacing w:before="0" w:beforeAutospacing="0" w:after="0" w:afterAutospacing="0" w:line="213" w:lineRule="auto"/>
              <w:ind w:left="604" w:right="154" w:hanging="421"/>
              <w:rPr>
                <w:rFonts w:ascii="Times New Roman" w:hAnsi="Times New Roman"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66" w:beforeAutospacing="0" w:after="0" w:afterAutospacing="0"/>
              <w:ind w:left="142" w:right="11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4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2.999</w:t>
            </w:r>
          </w:p>
        </w:tc>
        <w:tc>
          <w:tcPr>
            <w:tcW w:w="490" w:type="pct"/>
            <w:noWrap w:val="0"/>
            <w:vAlign w:val="center"/>
          </w:tcPr>
          <w:p>
            <w:pPr>
              <w:pStyle w:val="112"/>
              <w:keepNext w:val="0"/>
              <w:keepLines w:val="0"/>
              <w:suppressLineNumbers w:val="0"/>
              <w:spacing w:before="74" w:beforeAutospacing="0" w:after="0" w:afterAutospacing="0"/>
              <w:ind w:left="204" w:right="17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74" w:beforeAutospacing="0" w:after="0" w:afterAutospacing="0"/>
              <w:ind w:left="141" w:right="108"/>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2.999</w:t>
            </w:r>
          </w:p>
        </w:tc>
        <w:tc>
          <w:tcPr>
            <w:tcW w:w="558" w:type="pct"/>
            <w:noWrap w:val="0"/>
            <w:vAlign w:val="center"/>
          </w:tcPr>
          <w:p>
            <w:pPr>
              <w:pStyle w:val="112"/>
              <w:keepNext w:val="0"/>
              <w:keepLines w:val="0"/>
              <w:suppressLineNumbers w:val="0"/>
              <w:spacing w:before="74" w:beforeAutospacing="0" w:after="0" w:afterAutospacing="0"/>
              <w:ind w:left="412" w:right="38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760" w:type="pct"/>
            <w:vMerge w:val="continue"/>
            <w:noWrap w:val="0"/>
            <w:vAlign w:val="center"/>
          </w:tcPr>
          <w:p>
            <w:pPr>
              <w:pStyle w:val="112"/>
              <w:keepNext w:val="0"/>
              <w:keepLines w:val="0"/>
              <w:suppressLineNumbers w:val="0"/>
              <w:spacing w:before="11" w:beforeAutospacing="0" w:after="0" w:afterAutospacing="0" w:line="265" w:lineRule="exact"/>
              <w:ind w:left="200" w:right="163"/>
              <w:rPr>
                <w:rFonts w:hint="default" w:ascii="Times New Roman" w:hAnsi="Times New Roman" w:cs="Times New Roman"/>
                <w:color w:val="000000" w:themeColor="text1"/>
                <w:sz w:val="21"/>
                <w:szCs w:val="21"/>
                <w14:textFill>
                  <w14:solidFill>
                    <w14:schemeClr w14:val="tx1"/>
                  </w14:solidFill>
                </w14:textFill>
              </w:rPr>
            </w:pPr>
          </w:p>
        </w:tc>
        <w:tc>
          <w:tcPr>
            <w:tcW w:w="870" w:type="pct"/>
            <w:vMerge w:val="continue"/>
            <w:noWrap w:val="0"/>
            <w:vAlign w:val="center"/>
          </w:tcPr>
          <w:p>
            <w:pPr>
              <w:pStyle w:val="112"/>
              <w:keepNext w:val="0"/>
              <w:keepLines w:val="0"/>
              <w:suppressLineNumbers w:val="0"/>
              <w:spacing w:before="3" w:beforeAutospacing="0" w:after="0" w:afterAutospacing="0"/>
              <w:ind w:left="103" w:right="57"/>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restart"/>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厂区无组织</w:t>
            </w:r>
          </w:p>
        </w:tc>
        <w:tc>
          <w:tcPr>
            <w:tcW w:w="490" w:type="pct"/>
            <w:noWrap w:val="0"/>
            <w:vAlign w:val="center"/>
          </w:tcPr>
          <w:p>
            <w:pPr>
              <w:pStyle w:val="112"/>
              <w:keepNext w:val="0"/>
              <w:keepLines w:val="0"/>
              <w:suppressLineNumbers w:val="0"/>
              <w:spacing w:before="21" w:beforeAutospacing="0" w:after="0" w:afterAutospacing="0"/>
              <w:ind w:left="14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VOCs</w:t>
            </w:r>
          </w:p>
        </w:tc>
        <w:tc>
          <w:tcPr>
            <w:tcW w:w="474" w:type="pct"/>
            <w:noWrap w:val="0"/>
            <w:vAlign w:val="center"/>
          </w:tcPr>
          <w:p>
            <w:pPr>
              <w:pStyle w:val="112"/>
              <w:keepNext w:val="0"/>
              <w:keepLines w:val="0"/>
              <w:suppressLineNumbers w:val="0"/>
              <w:spacing w:before="21" w:beforeAutospacing="0" w:after="0" w:afterAutospacing="0"/>
              <w:ind w:left="269"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0.2524</w:t>
            </w:r>
          </w:p>
        </w:tc>
        <w:tc>
          <w:tcPr>
            <w:tcW w:w="490" w:type="pct"/>
            <w:noWrap w:val="0"/>
            <w:vAlign w:val="center"/>
          </w:tcPr>
          <w:p>
            <w:pPr>
              <w:pStyle w:val="112"/>
              <w:keepNext w:val="0"/>
              <w:keepLines w:val="0"/>
              <w:suppressLineNumbers w:val="0"/>
              <w:spacing w:before="21"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1" w:beforeAutospacing="0" w:after="0" w:afterAutospacing="0"/>
              <w:ind w:left="141" w:right="1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0.071</w:t>
            </w:r>
          </w:p>
        </w:tc>
        <w:tc>
          <w:tcPr>
            <w:tcW w:w="558" w:type="pct"/>
            <w:noWrap w:val="0"/>
            <w:vAlign w:val="center"/>
          </w:tcPr>
          <w:p>
            <w:pPr>
              <w:pStyle w:val="112"/>
              <w:keepNext w:val="0"/>
              <w:keepLines w:val="0"/>
              <w:suppressLineNumbers w:val="0"/>
              <w:spacing w:before="21"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noWrap w:val="0"/>
            <w:vAlign w:val="center"/>
          </w:tcPr>
          <w:p>
            <w:pPr>
              <w:pStyle w:val="112"/>
              <w:keepNext w:val="0"/>
              <w:keepLines w:val="0"/>
              <w:suppressLineNumbers w:val="0"/>
              <w:spacing w:before="11" w:beforeAutospacing="0" w:after="0" w:afterAutospacing="0" w:line="265" w:lineRule="exact"/>
              <w:ind w:left="200" w:right="16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氮封，集气系统涵盖每个产气点，并增加系统的密封性保证足够的处理能力，定期检测定期维护</w:t>
            </w:r>
          </w:p>
        </w:tc>
        <w:tc>
          <w:tcPr>
            <w:tcW w:w="870" w:type="pct"/>
            <w:noWrap w:val="0"/>
            <w:vAlign w:val="center"/>
          </w:tcPr>
          <w:p>
            <w:pPr>
              <w:pStyle w:val="112"/>
              <w:keepNext w:val="0"/>
              <w:keepLines w:val="0"/>
              <w:suppressLineNumbers w:val="0"/>
              <w:spacing w:before="7" w:beforeAutospacing="0" w:after="0" w:afterAutospacing="0"/>
              <w:ind w:left="102" w:right="5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挥发性有机物（以非甲烷总烃表征）浓度执行《</w:t>
            </w:r>
            <w:r>
              <w:rPr>
                <w:rFonts w:hint="eastAsia" w:ascii="Times New Roman" w:hAnsi="Times New Roman" w:cs="Times New Roman"/>
                <w:color w:val="000000" w:themeColor="text1"/>
                <w:sz w:val="21"/>
                <w:szCs w:val="21"/>
                <w:lang w:val="en-US" w:eastAsia="zh-CN"/>
                <w14:textFill>
                  <w14:solidFill>
                    <w14:schemeClr w14:val="tx1"/>
                  </w14:solidFill>
                </w14:textFill>
              </w:rPr>
              <w:t>石油炼制工业污染物排放标准</w:t>
            </w:r>
            <w:r>
              <w:rPr>
                <w:rFonts w:ascii="Times New Roman" w:hAnsi="Times New Roman" w:cs="Times New Roman"/>
                <w:color w:val="000000" w:themeColor="text1"/>
                <w:sz w:val="21"/>
                <w:szCs w:val="21"/>
                <w14:textFill>
                  <w14:solidFill>
                    <w14:schemeClr w14:val="tx1"/>
                  </w14:solidFill>
                </w14:textFill>
              </w:rPr>
              <w:t>》（GB3157</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-2015）表</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中标准限值；厂区内挥发性有机物无组织排放执行《挥发性有机物无组织排放控控制标准》（GB37822-2019）表A.1中标准限值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1" w:beforeAutospacing="0" w:after="0" w:afterAutospacing="0"/>
              <w:ind w:left="14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w:t>
            </w:r>
          </w:p>
        </w:tc>
        <w:tc>
          <w:tcPr>
            <w:tcW w:w="1324" w:type="dxa"/>
            <w:noWrap w:val="0"/>
            <w:vAlign w:val="center"/>
          </w:tcPr>
          <w:p>
            <w:pPr>
              <w:pStyle w:val="112"/>
              <w:keepNext w:val="0"/>
              <w:keepLines w:val="0"/>
              <w:suppressLineNumbers w:val="0"/>
              <w:spacing w:before="21" w:beforeAutospacing="0" w:after="0" w:afterAutospacing="0"/>
              <w:ind w:left="141" w:leftChars="0" w:right="107"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0.0008</w:t>
            </w:r>
          </w:p>
        </w:tc>
        <w:tc>
          <w:tcPr>
            <w:tcW w:w="490" w:type="pct"/>
            <w:noWrap w:val="0"/>
            <w:vAlign w:val="center"/>
          </w:tcPr>
          <w:p>
            <w:pPr>
              <w:pStyle w:val="112"/>
              <w:keepNext w:val="0"/>
              <w:keepLines w:val="0"/>
              <w:suppressLineNumbers w:val="0"/>
              <w:spacing w:before="21"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1"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0.0008</w:t>
            </w:r>
          </w:p>
        </w:tc>
        <w:tc>
          <w:tcPr>
            <w:tcW w:w="558" w:type="pct"/>
            <w:noWrap w:val="0"/>
            <w:vAlign w:val="center"/>
          </w:tcPr>
          <w:p>
            <w:pPr>
              <w:pStyle w:val="112"/>
              <w:keepNext w:val="0"/>
              <w:keepLines w:val="0"/>
              <w:suppressLineNumbers w:val="0"/>
              <w:spacing w:before="21"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vMerge w:val="restart"/>
            <w:noWrap w:val="0"/>
            <w:vAlign w:val="center"/>
          </w:tcPr>
          <w:p>
            <w:pPr>
              <w:pStyle w:val="112"/>
              <w:keepNext w:val="0"/>
              <w:keepLines w:val="0"/>
              <w:suppressLineNumbers w:val="0"/>
              <w:spacing w:before="11" w:beforeAutospacing="0" w:after="0" w:afterAutospacing="0" w:line="265" w:lineRule="exact"/>
              <w:ind w:left="200" w:right="16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增加系统的密封性保证足够的处理能力，定期检测定期维护</w:t>
            </w:r>
          </w:p>
        </w:tc>
        <w:tc>
          <w:tcPr>
            <w:tcW w:w="870" w:type="pct"/>
            <w:vMerge w:val="restart"/>
            <w:noWrap w:val="0"/>
            <w:vAlign w:val="center"/>
          </w:tcPr>
          <w:p>
            <w:pPr>
              <w:pStyle w:val="112"/>
              <w:keepNext w:val="0"/>
              <w:keepLines w:val="0"/>
              <w:suppressLineNumbers w:val="0"/>
              <w:spacing w:before="7" w:beforeAutospacing="0" w:after="0" w:afterAutospacing="0"/>
              <w:ind w:left="102" w:right="5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执行</w:t>
            </w:r>
            <w:r>
              <w:rPr>
                <w:rFonts w:ascii="Times New Roman" w:hAnsi="Times New Roman" w:cs="Times New Roman"/>
                <w:bCs/>
                <w:color w:val="000000" w:themeColor="text1"/>
                <w:kern w:val="2"/>
                <w:sz w:val="21"/>
                <w:szCs w:val="21"/>
                <w14:textFill>
                  <w14:solidFill>
                    <w14:schemeClr w14:val="tx1"/>
                  </w14:solidFill>
                </w14:textFill>
              </w:rPr>
              <w:t>《恶臭污染物排放标准》（GB14554-93）表1中二级标准要求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541" w:type="pct"/>
            <w:vMerge w:val="continue"/>
            <w:noWrap w:val="0"/>
            <w:vAlign w:val="center"/>
          </w:tcPr>
          <w:p>
            <w:pPr>
              <w:pStyle w:val="112"/>
              <w:keepNext w:val="0"/>
              <w:keepLines w:val="0"/>
              <w:suppressLineNumbers w:val="0"/>
              <w:spacing w:before="7" w:beforeAutospacing="0" w:after="0" w:afterAutospacing="0"/>
              <w:ind w:left="167" w:right="140"/>
              <w:rPr>
                <w:rFonts w:ascii="Times New Roman" w:hAnsi="Times New Roman" w:cs="Times New Roman"/>
                <w:color w:val="000000" w:themeColor="text1"/>
                <w:sz w:val="21"/>
                <w:szCs w:val="21"/>
                <w14:textFill>
                  <w14:solidFill>
                    <w14:schemeClr w14:val="tx1"/>
                  </w14:solidFill>
                </w14:textFill>
              </w:rPr>
            </w:pPr>
          </w:p>
        </w:tc>
        <w:tc>
          <w:tcPr>
            <w:tcW w:w="490" w:type="pct"/>
            <w:noWrap w:val="0"/>
            <w:vAlign w:val="center"/>
          </w:tcPr>
          <w:p>
            <w:pPr>
              <w:pStyle w:val="112"/>
              <w:keepNext w:val="0"/>
              <w:keepLines w:val="0"/>
              <w:suppressLineNumbers w:val="0"/>
              <w:spacing w:before="21" w:beforeAutospacing="0" w:after="0" w:afterAutospacing="0"/>
              <w:ind w:left="14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NH</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324" w:type="dxa"/>
            <w:noWrap w:val="0"/>
            <w:vAlign w:val="center"/>
          </w:tcPr>
          <w:p>
            <w:pPr>
              <w:pStyle w:val="112"/>
              <w:keepNext w:val="0"/>
              <w:keepLines w:val="0"/>
              <w:suppressLineNumbers w:val="0"/>
              <w:spacing w:before="21" w:beforeAutospacing="0" w:after="0" w:afterAutospacing="0"/>
              <w:ind w:left="141" w:leftChars="0" w:right="107" w:right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0.00077</w:t>
            </w:r>
          </w:p>
        </w:tc>
        <w:tc>
          <w:tcPr>
            <w:tcW w:w="490" w:type="pct"/>
            <w:noWrap w:val="0"/>
            <w:vAlign w:val="center"/>
          </w:tcPr>
          <w:p>
            <w:pPr>
              <w:pStyle w:val="112"/>
              <w:keepNext w:val="0"/>
              <w:keepLines w:val="0"/>
              <w:suppressLineNumbers w:val="0"/>
              <w:spacing w:before="21"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1" w:beforeAutospacing="0" w:after="0" w:afterAutospacing="0"/>
              <w:ind w:left="141" w:right="107"/>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0.00077</w:t>
            </w:r>
          </w:p>
        </w:tc>
        <w:tc>
          <w:tcPr>
            <w:tcW w:w="558" w:type="pct"/>
            <w:noWrap w:val="0"/>
            <w:vAlign w:val="center"/>
          </w:tcPr>
          <w:p>
            <w:pPr>
              <w:pStyle w:val="112"/>
              <w:keepNext w:val="0"/>
              <w:keepLines w:val="0"/>
              <w:suppressLineNumbers w:val="0"/>
              <w:spacing w:before="21"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vMerge w:val="continue"/>
            <w:noWrap w:val="0"/>
            <w:vAlign w:val="center"/>
          </w:tcPr>
          <w:p>
            <w:pPr>
              <w:pStyle w:val="112"/>
              <w:keepNext w:val="0"/>
              <w:keepLines w:val="0"/>
              <w:suppressLineNumbers w:val="0"/>
              <w:spacing w:before="11" w:beforeAutospacing="0" w:after="0" w:afterAutospacing="0" w:line="265" w:lineRule="exact"/>
              <w:ind w:left="200" w:right="163"/>
              <w:rPr>
                <w:rFonts w:ascii="Times New Roman" w:hAnsi="Times New Roman" w:cs="Times New Roman"/>
                <w:color w:val="000000" w:themeColor="text1"/>
                <w:sz w:val="21"/>
                <w:szCs w:val="21"/>
                <w14:textFill>
                  <w14:solidFill>
                    <w14:schemeClr w14:val="tx1"/>
                  </w14:solidFill>
                </w14:textFill>
              </w:rPr>
            </w:pPr>
          </w:p>
        </w:tc>
        <w:tc>
          <w:tcPr>
            <w:tcW w:w="870" w:type="pct"/>
            <w:vMerge w:val="continue"/>
            <w:noWrap w:val="0"/>
            <w:vAlign w:val="center"/>
          </w:tcPr>
          <w:p>
            <w:pPr>
              <w:pStyle w:val="112"/>
              <w:keepNext w:val="0"/>
              <w:keepLines w:val="0"/>
              <w:suppressLineNumbers w:val="0"/>
              <w:spacing w:before="7" w:beforeAutospacing="0" w:after="0" w:afterAutospacing="0"/>
              <w:ind w:left="102" w:right="57"/>
              <w:rPr>
                <w:rFonts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kern w:val="0"/>
                <w:sz w:val="21"/>
                <w:szCs w:val="21"/>
                <w14:textFill>
                  <w14:solidFill>
                    <w14:schemeClr w14:val="tx1"/>
                  </w14:solidFill>
                </w14:textFill>
              </w:rPr>
            </w:pPr>
          </w:p>
        </w:tc>
        <w:tc>
          <w:tcPr>
            <w:tcW w:w="1031" w:type="pct"/>
            <w:gridSpan w:val="2"/>
            <w:noWrap w:val="0"/>
            <w:vAlign w:val="center"/>
          </w:tcPr>
          <w:p>
            <w:pPr>
              <w:pStyle w:val="112"/>
              <w:keepNext w:val="0"/>
              <w:keepLines w:val="0"/>
              <w:suppressLineNumbers w:val="0"/>
              <w:spacing w:before="21" w:beforeAutospacing="0" w:after="0" w:afterAutospacing="0"/>
              <w:ind w:left="14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废催化剂</w:t>
            </w:r>
          </w:p>
        </w:tc>
        <w:tc>
          <w:tcPr>
            <w:tcW w:w="474" w:type="pct"/>
            <w:noWrap w:val="0"/>
            <w:vAlign w:val="center"/>
          </w:tcPr>
          <w:p>
            <w:pPr>
              <w:pStyle w:val="112"/>
              <w:keepNext w:val="0"/>
              <w:keepLines w:val="0"/>
              <w:suppressLineNumbers w:val="0"/>
              <w:spacing w:before="21"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9.18</w:t>
            </w:r>
          </w:p>
        </w:tc>
        <w:tc>
          <w:tcPr>
            <w:tcW w:w="490" w:type="pct"/>
            <w:noWrap w:val="0"/>
            <w:vAlign w:val="center"/>
          </w:tcPr>
          <w:p>
            <w:pPr>
              <w:pStyle w:val="112"/>
              <w:keepNext w:val="0"/>
              <w:keepLines w:val="0"/>
              <w:suppressLineNumbers w:val="0"/>
              <w:spacing w:before="21"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1"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9.18</w:t>
            </w:r>
          </w:p>
        </w:tc>
        <w:tc>
          <w:tcPr>
            <w:tcW w:w="558" w:type="pct"/>
            <w:noWrap w:val="0"/>
            <w:vAlign w:val="center"/>
          </w:tcPr>
          <w:p>
            <w:pPr>
              <w:pStyle w:val="112"/>
              <w:keepNext w:val="0"/>
              <w:keepLines w:val="0"/>
              <w:suppressLineNumbers w:val="0"/>
              <w:spacing w:before="21"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noWrap w:val="0"/>
            <w:vAlign w:val="center"/>
          </w:tcPr>
          <w:p>
            <w:pPr>
              <w:pStyle w:val="112"/>
              <w:keepNext w:val="0"/>
              <w:keepLines w:val="0"/>
              <w:suppressLineNumbers w:val="0"/>
              <w:spacing w:before="11" w:beforeAutospacing="0" w:after="0" w:afterAutospacing="0" w:line="265" w:lineRule="exact"/>
              <w:ind w:left="200" w:right="16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委托有资质单位处理</w:t>
            </w:r>
          </w:p>
        </w:tc>
        <w:tc>
          <w:tcPr>
            <w:tcW w:w="870" w:type="pct"/>
            <w:vMerge w:val="restart"/>
            <w:noWrap w:val="0"/>
            <w:vAlign w:val="center"/>
          </w:tcPr>
          <w:p>
            <w:pPr>
              <w:pStyle w:val="112"/>
              <w:keepNext w:val="0"/>
              <w:keepLines w:val="0"/>
              <w:suppressLineNumbers w:val="0"/>
              <w:spacing w:before="7" w:beforeAutospacing="0" w:after="0" w:afterAutospacing="0"/>
              <w:ind w:left="102" w:right="5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执行《危险废物贮存污染控制标准》(GB18597-2001)及2013年其修改单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1031" w:type="pct"/>
            <w:gridSpan w:val="2"/>
            <w:noWrap w:val="0"/>
            <w:vAlign w:val="center"/>
          </w:tcPr>
          <w:p>
            <w:pPr>
              <w:pStyle w:val="112"/>
              <w:keepNext w:val="0"/>
              <w:keepLines w:val="0"/>
              <w:suppressLineNumbers w:val="0"/>
              <w:spacing w:before="21" w:beforeAutospacing="0" w:after="0" w:afterAutospacing="0"/>
              <w:ind w:left="14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废保护剂</w:t>
            </w:r>
          </w:p>
        </w:tc>
        <w:tc>
          <w:tcPr>
            <w:tcW w:w="474" w:type="pct"/>
            <w:noWrap w:val="0"/>
            <w:vAlign w:val="center"/>
          </w:tcPr>
          <w:p>
            <w:pPr>
              <w:pStyle w:val="112"/>
              <w:keepNext w:val="0"/>
              <w:keepLines w:val="0"/>
              <w:suppressLineNumbers w:val="0"/>
              <w:spacing w:before="21"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490" w:type="pct"/>
            <w:noWrap w:val="0"/>
            <w:vAlign w:val="center"/>
          </w:tcPr>
          <w:p>
            <w:pPr>
              <w:pStyle w:val="112"/>
              <w:keepNext w:val="0"/>
              <w:keepLines w:val="0"/>
              <w:suppressLineNumbers w:val="0"/>
              <w:spacing w:before="21"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1"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558" w:type="pct"/>
            <w:noWrap w:val="0"/>
            <w:vAlign w:val="center"/>
          </w:tcPr>
          <w:p>
            <w:pPr>
              <w:pStyle w:val="112"/>
              <w:keepNext w:val="0"/>
              <w:keepLines w:val="0"/>
              <w:suppressLineNumbers w:val="0"/>
              <w:spacing w:before="21"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noWrap w:val="0"/>
            <w:vAlign w:val="center"/>
          </w:tcPr>
          <w:p>
            <w:pPr>
              <w:pStyle w:val="112"/>
              <w:keepNext w:val="0"/>
              <w:keepLines w:val="0"/>
              <w:suppressLineNumbers w:val="0"/>
              <w:spacing w:before="11" w:beforeAutospacing="0" w:after="0" w:afterAutospacing="0" w:line="265" w:lineRule="exact"/>
              <w:ind w:left="200" w:right="16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委托有资质单位处理</w:t>
            </w:r>
          </w:p>
        </w:tc>
        <w:tc>
          <w:tcPr>
            <w:tcW w:w="870" w:type="pct"/>
            <w:vMerge w:val="continue"/>
            <w:noWrap w:val="0"/>
            <w:vAlign w:val="center"/>
          </w:tcPr>
          <w:p>
            <w:pPr>
              <w:pStyle w:val="112"/>
              <w:keepNext w:val="0"/>
              <w:keepLines w:val="0"/>
              <w:suppressLineNumbers w:val="0"/>
              <w:spacing w:before="7" w:beforeAutospacing="0" w:after="0" w:afterAutospacing="0"/>
              <w:ind w:left="102" w:right="57"/>
              <w:rPr>
                <w:rFonts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28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1031" w:type="pct"/>
            <w:gridSpan w:val="2"/>
            <w:noWrap w:val="0"/>
            <w:vAlign w:val="center"/>
          </w:tcPr>
          <w:p>
            <w:pPr>
              <w:pStyle w:val="112"/>
              <w:keepNext w:val="0"/>
              <w:keepLines w:val="0"/>
              <w:suppressLineNumbers w:val="0"/>
              <w:spacing w:before="21" w:beforeAutospacing="0" w:after="0" w:afterAutospacing="0"/>
              <w:ind w:left="142"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废瓷球</w:t>
            </w:r>
          </w:p>
        </w:tc>
        <w:tc>
          <w:tcPr>
            <w:tcW w:w="474" w:type="pct"/>
            <w:noWrap w:val="0"/>
            <w:vAlign w:val="center"/>
          </w:tcPr>
          <w:p>
            <w:pPr>
              <w:pStyle w:val="112"/>
              <w:keepNext w:val="0"/>
              <w:keepLines w:val="0"/>
              <w:suppressLineNumbers w:val="0"/>
              <w:spacing w:before="21"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490" w:type="pct"/>
            <w:noWrap w:val="0"/>
            <w:vAlign w:val="center"/>
          </w:tcPr>
          <w:p>
            <w:pPr>
              <w:pStyle w:val="112"/>
              <w:keepNext w:val="0"/>
              <w:keepLines w:val="0"/>
              <w:suppressLineNumbers w:val="0"/>
              <w:spacing w:before="21" w:beforeAutospacing="0" w:after="0" w:afterAutospacing="0"/>
              <w:ind w:left="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524" w:type="pct"/>
            <w:noWrap w:val="0"/>
            <w:vAlign w:val="center"/>
          </w:tcPr>
          <w:p>
            <w:pPr>
              <w:pStyle w:val="112"/>
              <w:keepNext w:val="0"/>
              <w:keepLines w:val="0"/>
              <w:suppressLineNumbers w:val="0"/>
              <w:spacing w:before="21"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558" w:type="pct"/>
            <w:noWrap w:val="0"/>
            <w:vAlign w:val="center"/>
          </w:tcPr>
          <w:p>
            <w:pPr>
              <w:pStyle w:val="112"/>
              <w:keepNext w:val="0"/>
              <w:keepLines w:val="0"/>
              <w:suppressLineNumbers w:val="0"/>
              <w:spacing w:before="21" w:beforeAutospacing="0" w:after="0" w:afterAutospacing="0"/>
              <w:ind w:left="31"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c>
          <w:tcPr>
            <w:tcW w:w="760" w:type="pct"/>
            <w:noWrap w:val="0"/>
            <w:vAlign w:val="center"/>
          </w:tcPr>
          <w:p>
            <w:pPr>
              <w:pStyle w:val="112"/>
              <w:keepNext w:val="0"/>
              <w:keepLines w:val="0"/>
              <w:suppressLineNumbers w:val="0"/>
              <w:spacing w:before="11" w:beforeAutospacing="0" w:after="0" w:afterAutospacing="0" w:line="265" w:lineRule="exact"/>
              <w:ind w:left="200" w:right="16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委托有资质单位处理</w:t>
            </w:r>
          </w:p>
        </w:tc>
        <w:tc>
          <w:tcPr>
            <w:tcW w:w="870" w:type="pct"/>
            <w:vMerge w:val="continue"/>
            <w:noWrap w:val="0"/>
            <w:vAlign w:val="center"/>
          </w:tcPr>
          <w:p>
            <w:pPr>
              <w:pStyle w:val="112"/>
              <w:keepNext w:val="0"/>
              <w:keepLines w:val="0"/>
              <w:suppressLineNumbers w:val="0"/>
              <w:spacing w:before="7" w:beforeAutospacing="0" w:after="0" w:afterAutospacing="0"/>
              <w:ind w:left="102" w:right="57"/>
              <w:rPr>
                <w:rFonts w:ascii="Times New Roman" w:hAnsi="Times New Roman" w:cs="Times New Roman"/>
                <w:color w:val="000000" w:themeColor="text1"/>
                <w:sz w:val="21"/>
                <w:szCs w:val="21"/>
                <w14:textFill>
                  <w14:solidFill>
                    <w14:schemeClr w14:val="tx1"/>
                  </w14:solidFill>
                </w14:textFill>
              </w:rPr>
            </w:pPr>
          </w:p>
        </w:tc>
      </w:tr>
    </w:tbl>
    <w:p>
      <w:pPr>
        <w:keepNext/>
        <w:jc w:val="center"/>
        <w:rPr>
          <w:b/>
          <w:color w:val="000000" w:themeColor="text1"/>
          <w14:textFill>
            <w14:solidFill>
              <w14:schemeClr w14:val="tx1"/>
            </w14:solidFill>
          </w14:textFill>
        </w:rPr>
        <w:sectPr>
          <w:pgSz w:w="16838" w:h="11906" w:orient="landscape"/>
          <w:pgMar w:top="1440" w:right="1440" w:bottom="1440" w:left="1440" w:header="720" w:footer="720" w:gutter="0"/>
          <w:pgBorders>
            <w:top w:val="none" w:sz="0" w:space="0"/>
            <w:left w:val="none" w:sz="0" w:space="0"/>
            <w:bottom w:val="none" w:sz="0" w:space="0"/>
            <w:right w:val="none" w:sz="0" w:space="0"/>
          </w:pgBorders>
          <w:cols w:space="720" w:num="1"/>
        </w:sectPr>
      </w:pPr>
    </w:p>
    <w:p>
      <w:pPr>
        <w:pStyle w:val="2"/>
        <w:adjustRightInd w:val="0"/>
        <w:snapToGrid w:val="0"/>
        <w:spacing w:line="360" w:lineRule="auto"/>
        <w:rPr>
          <w:color w:val="000000" w:themeColor="text1"/>
          <w14:textFill>
            <w14:solidFill>
              <w14:schemeClr w14:val="tx1"/>
            </w14:solidFill>
          </w14:textFill>
        </w:rPr>
      </w:pPr>
      <w:bookmarkStart w:id="152" w:name="_Toc30620"/>
      <w:r>
        <w:rPr>
          <w:color w:val="000000" w:themeColor="text1"/>
          <w14:textFill>
            <w14:solidFill>
              <w14:schemeClr w14:val="tx1"/>
            </w14:solidFill>
          </w14:textFill>
        </w:rPr>
        <w:t>环境现状调查与评价</w:t>
      </w:r>
      <w:bookmarkEnd w:id="125"/>
      <w:bookmarkEnd w:id="126"/>
      <w:bookmarkEnd w:id="127"/>
      <w:bookmarkEnd w:id="128"/>
      <w:bookmarkEnd w:id="152"/>
    </w:p>
    <w:p>
      <w:pPr>
        <w:pStyle w:val="4"/>
        <w:adjustRightInd w:val="0"/>
        <w:snapToGrid w:val="0"/>
        <w:rPr>
          <w:color w:val="000000" w:themeColor="text1"/>
          <w14:textFill>
            <w14:solidFill>
              <w14:schemeClr w14:val="tx1"/>
            </w14:solidFill>
          </w14:textFill>
        </w:rPr>
      </w:pPr>
      <w:bookmarkStart w:id="153" w:name="_Toc532497637"/>
      <w:bookmarkStart w:id="154" w:name="_Toc532498746"/>
      <w:bookmarkStart w:id="155" w:name="_Toc532376153"/>
      <w:bookmarkStart w:id="156" w:name="_Toc532763210"/>
      <w:bookmarkStart w:id="157" w:name="_Toc30487"/>
      <w:r>
        <w:rPr>
          <w:color w:val="000000" w:themeColor="text1"/>
          <w14:textFill>
            <w14:solidFill>
              <w14:schemeClr w14:val="tx1"/>
            </w14:solidFill>
          </w14:textFill>
        </w:rPr>
        <w:t>自然环境概况</w:t>
      </w:r>
      <w:bookmarkEnd w:id="153"/>
      <w:bookmarkEnd w:id="154"/>
      <w:bookmarkEnd w:id="155"/>
      <w:bookmarkEnd w:id="156"/>
      <w:bookmarkEnd w:id="157"/>
    </w:p>
    <w:p>
      <w:pPr>
        <w:pStyle w:val="5"/>
        <w:rPr>
          <w:color w:val="000000" w:themeColor="text1"/>
          <w14:textFill>
            <w14:solidFill>
              <w14:schemeClr w14:val="tx1"/>
            </w14:solidFill>
          </w14:textFill>
        </w:rPr>
      </w:pPr>
      <w:bookmarkStart w:id="158" w:name="_Toc532497638"/>
      <w:r>
        <w:rPr>
          <w:color w:val="000000" w:themeColor="text1"/>
          <w14:textFill>
            <w14:solidFill>
              <w14:schemeClr w14:val="tx1"/>
            </w14:solidFill>
          </w14:textFill>
        </w:rPr>
        <w:t>地理位置</w:t>
      </w:r>
      <w:bookmarkEnd w:id="158"/>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岳阳市位于湖南省的东北部，东径112度至114度，北纬28度至29度之间。岳阳毗邻“两带”（长三角经济带和珠三角经济带）、承接“两圈”（长株潭城市圈和武汉城市圈），处于长江“黄金水道”与京广铁路两大动脉的交叉点；长江、湘江、资江、沅江、澧江和洞庭湖的汇合点；湘、鄂、赣三省交界的联络点；国家实施“弓箭”型发展战略的受力点，是湖南省“一点一线”发展战略上的优势地区。</w:t>
      </w:r>
    </w:p>
    <w:p>
      <w:pPr>
        <w:spacing w:line="360" w:lineRule="auto"/>
        <w:ind w:firstLine="480" w:firstLineChars="200"/>
        <w:rPr>
          <w:rFonts w:hint="default" w:ascii="Times New Roman" w:hAnsi="Times New Roman" w:cs="Times New Roman"/>
          <w:bCs/>
          <w:color w:val="000000" w:themeColor="text1"/>
          <w:kern w:val="0"/>
          <w14:textFill>
            <w14:solidFill>
              <w14:schemeClr w14:val="tx1"/>
            </w14:solidFill>
          </w14:textFill>
        </w:rPr>
      </w:pPr>
      <w:r>
        <w:rPr>
          <w:rFonts w:hint="default" w:ascii="Times New Roman" w:hAnsi="Times New Roman" w:cs="Times New Roman"/>
          <w:bCs/>
          <w:color w:val="000000" w:themeColor="text1"/>
          <w:kern w:val="0"/>
          <w14:textFill>
            <w14:solidFill>
              <w14:schemeClr w14:val="tx1"/>
            </w14:solidFill>
          </w14:textFill>
        </w:rPr>
        <w:t>云溪区地处岳阳市城区东北部、长江中游南岸，位于东经113°08′48″至113°23′30″、北纬29°23′56″至29°38′22″之间，西濒东洞庭湖，东与临湘市接壤，西北与湖北省监利县、洪湖市隔江相望，南部与岳阳楼区和岳阳经济开发区毗邻，总面积403km</w:t>
      </w:r>
      <w:r>
        <w:rPr>
          <w:rFonts w:hint="default" w:ascii="Times New Roman" w:hAnsi="Times New Roman" w:cs="Times New Roman"/>
          <w:bCs/>
          <w:color w:val="000000" w:themeColor="text1"/>
          <w:kern w:val="0"/>
          <w:vertAlign w:val="superscript"/>
          <w14:textFill>
            <w14:solidFill>
              <w14:schemeClr w14:val="tx1"/>
            </w14:solidFill>
          </w14:textFill>
        </w:rPr>
        <w:t>2</w:t>
      </w:r>
      <w:r>
        <w:rPr>
          <w:rFonts w:hint="default" w:ascii="Times New Roman" w:hAnsi="Times New Roman" w:cs="Times New Roman"/>
          <w:bCs/>
          <w:color w:val="000000" w:themeColor="text1"/>
          <w:kern w:val="0"/>
          <w14:textFill>
            <w14:solidFill>
              <w14:schemeClr w14:val="tx1"/>
            </w14:solidFill>
          </w14:textFill>
        </w:rPr>
        <w:t>，</w:t>
      </w:r>
      <w:r>
        <w:rPr>
          <w:rFonts w:hint="default" w:ascii="Times New Roman" w:hAnsi="Times New Roman" w:cs="Times New Roman"/>
          <w:snapToGrid w:val="0"/>
          <w:color w:val="000000" w:themeColor="text1"/>
          <w:kern w:val="0"/>
          <w14:textFill>
            <w14:solidFill>
              <w14:schemeClr w14:val="tx1"/>
            </w14:solidFill>
          </w14:textFill>
        </w:rPr>
        <w:t>辖4个镇、2个乡及1个农场、8个居委会、64个村、分场</w:t>
      </w:r>
      <w:r>
        <w:rPr>
          <w:rFonts w:hint="default" w:ascii="Times New Roman" w:hAnsi="Times New Roman" w:cs="Times New Roman"/>
          <w:bCs/>
          <w:color w:val="000000" w:themeColor="text1"/>
          <w:kern w:val="0"/>
          <w14:textFill>
            <w14:solidFill>
              <w14:schemeClr w14:val="tx1"/>
            </w14:solidFill>
          </w14:textFill>
        </w:rPr>
        <w:t>。云溪区属两县（区）通衢之地，交通优势十分突出。107国道、京广铁路、武广客运专线、荆岳长江大桥、随岳高速公路均穿境而过，京珠高速公路也紧邻区境。</w:t>
      </w:r>
    </w:p>
    <w:p>
      <w:pPr>
        <w:spacing w:line="360" w:lineRule="auto"/>
        <w:ind w:firstLine="480" w:firstLineChars="200"/>
        <w:rPr>
          <w:rFonts w:hint="default" w:ascii="Times New Roman" w:hAnsi="Times New Roman" w:cs="Times New Roman"/>
          <w:bCs/>
          <w:color w:val="000000" w:themeColor="text1"/>
          <w:kern w:val="0"/>
          <w14:textFill>
            <w14:solidFill>
              <w14:schemeClr w14:val="tx1"/>
            </w14:solidFill>
          </w14:textFill>
        </w:rPr>
      </w:pPr>
      <w:r>
        <w:rPr>
          <w:rFonts w:hint="default" w:ascii="Times New Roman" w:hAnsi="Times New Roman" w:cs="Times New Roman"/>
          <w:bCs/>
          <w:color w:val="000000" w:themeColor="text1"/>
          <w:kern w:val="0"/>
          <w14:textFill>
            <w14:solidFill>
              <w14:schemeClr w14:val="tx1"/>
            </w14:solidFill>
          </w14:textFill>
        </w:rPr>
        <w:t>本项目位于</w:t>
      </w:r>
      <w:r>
        <w:rPr>
          <w:rFonts w:hint="default" w:ascii="Times New Roman" w:hAnsi="Times New Roman" w:cs="Times New Roman"/>
          <w:bCs/>
          <w:color w:val="000000" w:themeColor="text1"/>
          <w:kern w:val="0"/>
          <w:lang w:eastAsia="zh-CN"/>
          <w14:textFill>
            <w14:solidFill>
              <w14:schemeClr w14:val="tx1"/>
            </w14:solidFill>
          </w14:textFill>
        </w:rPr>
        <w:t>中石化巴陵石油化工有限公司</w:t>
      </w:r>
      <w:r>
        <w:rPr>
          <w:rFonts w:hint="default" w:ascii="Times New Roman" w:hAnsi="Times New Roman" w:cs="Times New Roman"/>
          <w:bCs/>
          <w:color w:val="000000" w:themeColor="text1"/>
          <w:kern w:val="0"/>
          <w14:textFill>
            <w14:solidFill>
              <w14:schemeClr w14:val="tx1"/>
            </w14:solidFill>
          </w14:textFill>
        </w:rPr>
        <w:t>炼油部预留用地内，中心地理坐标为东经113°18'54.44"、北纬29°27'55.24"，地理位置详见附图1。</w:t>
      </w:r>
    </w:p>
    <w:p>
      <w:pPr>
        <w:pStyle w:val="5"/>
        <w:rPr>
          <w:color w:val="000000" w:themeColor="text1"/>
          <w14:textFill>
            <w14:solidFill>
              <w14:schemeClr w14:val="tx1"/>
            </w14:solidFill>
          </w14:textFill>
        </w:rPr>
      </w:pPr>
      <w:bookmarkStart w:id="159" w:name="_Toc532497639"/>
      <w:r>
        <w:rPr>
          <w:color w:val="000000" w:themeColor="text1"/>
          <w14:textFill>
            <w14:solidFill>
              <w14:schemeClr w14:val="tx1"/>
            </w14:solidFill>
          </w14:textFill>
        </w:rPr>
        <w:t>地形地貌</w:t>
      </w:r>
      <w:bookmarkEnd w:id="159"/>
    </w:p>
    <w:p>
      <w:pPr>
        <w:pStyle w:val="17"/>
        <w:spacing w:after="0" w:line="360" w:lineRule="auto"/>
        <w:ind w:firstLine="480" w:firstLineChars="200"/>
        <w:rPr>
          <w:rFonts w:hint="default"/>
          <w:color w:val="000000" w:themeColor="text1"/>
          <w:lang w:val="zh-CN" w:eastAsia="zh-CN"/>
          <w14:textFill>
            <w14:solidFill>
              <w14:schemeClr w14:val="tx1"/>
            </w14:solidFill>
          </w14:textFill>
        </w:rPr>
      </w:pPr>
      <w:r>
        <w:rPr>
          <w:rFonts w:hint="default"/>
          <w:color w:val="000000" w:themeColor="text1"/>
          <w:lang w:val="zh-CN"/>
          <w14:textFill>
            <w14:solidFill>
              <w14:schemeClr w14:val="tx1"/>
            </w14:solidFill>
          </w14:textFill>
        </w:rPr>
        <w:t>云溪区属幕阜山脉向江汉平原过渡地带，属低山丘陵地带，地貌多样、交相穿插，整个地势由东南向西北倾斜。境内最高海拔点为云溪乡上清溪村之小木岭，海拔497.6m；最低海拔点为永济乡之臣子湖，海拔21.4m。一般海拔在40~60m之间。地表组成物质65%为变质岩，其余为沙质岩，土壤组成以第四纪红色粘土和第四纪全新河、湖沉积物为主。第四纪红色粘土主要分布在境内东南边，适合林、果、茶等作物开发。第四纪全新河、</w:t>
      </w:r>
      <w:r>
        <w:rPr>
          <w:rFonts w:hint="default"/>
          <w:color w:val="000000" w:themeColor="text1"/>
          <w:lang w:val="zh-CN" w:eastAsia="zh-CN"/>
          <w14:textFill>
            <w14:solidFill>
              <w14:schemeClr w14:val="tx1"/>
            </w14:solidFill>
          </w14:textFill>
        </w:rPr>
        <w:t>湖泊沉积物主要分布在西北长江沿线，适合水稻、瓜菜等作物种植。</w:t>
      </w:r>
    </w:p>
    <w:p>
      <w:pPr>
        <w:pStyle w:val="17"/>
        <w:spacing w:after="0" w:line="360" w:lineRule="auto"/>
        <w:ind w:firstLine="480" w:firstLineChars="20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区域属低山丘陵地形，用地多为山地和河湖，区内丘岗与盆地相穿插、平原与湖泊交错，海拔高程40~60m，最大高差为35m左右。整个区域地势呈西北高，东南低，由北向南倾斜。</w:t>
      </w:r>
    </w:p>
    <w:p>
      <w:pPr>
        <w:pStyle w:val="17"/>
        <w:spacing w:after="0" w:line="360" w:lineRule="auto"/>
        <w:ind w:firstLine="480" w:firstLineChars="20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本项目所在地区的地震基本烈度值为7度，工程抗震设防类别为丙类，地基基础设计等级为丙类，抗震设防烈度为7度，设计基本地震加速度值为0.05g，设计地震分组为第一组，设计使用年限为50年。</w:t>
      </w:r>
    </w:p>
    <w:p>
      <w:pPr>
        <w:pStyle w:val="17"/>
        <w:spacing w:after="0" w:line="360" w:lineRule="auto"/>
        <w:ind w:firstLine="480" w:firstLineChars="20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炼油部位于巴陵石化分公司云溪片区二号沟，属丘陵山沟，地势南高北低，地形较为封闭，便于管理。场地自然地面标高在56.43m~84.40m之间。原始地貌为风化剥蚀主残存低丘地貌。地质钻探表明，该场地地质构造属汨罗-湘阴断裂盆地构造，地层较为简单。基岩主要为泥质粉砂质板岩，上覆第四系土层。场地附近无断层、软弱层等不良地质现象。</w:t>
      </w:r>
    </w:p>
    <w:p>
      <w:pPr>
        <w:pStyle w:val="17"/>
        <w:spacing w:after="0" w:line="360" w:lineRule="auto"/>
        <w:ind w:firstLine="480" w:firstLineChars="200"/>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拟建粗白油精制装置的构架及设备位于常压蒸馏装置区内的预留场地，其场地地面高程与整个装置区的场地地面高程基本一致，场地地面较为平坦，高差较小。</w:t>
      </w:r>
      <w:r>
        <w:rPr>
          <w:rFonts w:hint="default"/>
          <w:color w:val="000000" w:themeColor="text1"/>
          <w:lang w:val="zh-CN"/>
          <w14:textFill>
            <w14:solidFill>
              <w14:schemeClr w14:val="tx1"/>
            </w14:solidFill>
          </w14:textFill>
        </w:rPr>
        <w:tab/>
      </w:r>
    </w:p>
    <w:p>
      <w:pPr>
        <w:pStyle w:val="5"/>
        <w:rPr>
          <w:color w:val="000000" w:themeColor="text1"/>
          <w14:textFill>
            <w14:solidFill>
              <w14:schemeClr w14:val="tx1"/>
            </w14:solidFill>
          </w14:textFill>
        </w:rPr>
      </w:pPr>
      <w:bookmarkStart w:id="160" w:name="_Toc532497640"/>
      <w:r>
        <w:rPr>
          <w:color w:val="000000" w:themeColor="text1"/>
          <w14:textFill>
            <w14:solidFill>
              <w14:schemeClr w14:val="tx1"/>
            </w14:solidFill>
          </w14:textFill>
        </w:rPr>
        <w:t>气候气象</w:t>
      </w:r>
      <w:bookmarkEnd w:id="160"/>
    </w:p>
    <w:p>
      <w:pPr>
        <w:pStyle w:val="17"/>
        <w:spacing w:after="0" w:line="360" w:lineRule="auto"/>
        <w:ind w:firstLine="480" w:firstLineChars="200"/>
        <w:rPr>
          <w:color w:val="000000" w:themeColor="text1"/>
          <w:lang w:val="zh-CN"/>
          <w14:textFill>
            <w14:solidFill>
              <w14:schemeClr w14:val="tx1"/>
            </w14:solidFill>
          </w14:textFill>
        </w:rPr>
      </w:pPr>
      <w:bookmarkStart w:id="161" w:name="_Toc532497642"/>
      <w:r>
        <w:rPr>
          <w:color w:val="000000" w:themeColor="text1"/>
          <w:lang w:val="zh-CN"/>
          <w14:textFill>
            <w14:solidFill>
              <w14:schemeClr w14:val="tx1"/>
            </w14:solidFill>
          </w14:textFill>
        </w:rPr>
        <w:t>岳阳市处在中亚季风气候区中，气候带上具有中亚热带向北亚热带过渡性质，属湿润的大陆性季风气候。其主要特征：严寒期短、无霜期长；春温多变、秋寒偏早；雨季明显，夏秋多旱；四季分明，季节性强；“湖陆风”盛行；“洞庭秋月”明；湖区气候均一，山地气候差异大；生长季节中光、热、水量充足，农业气候条件较好。</w:t>
      </w:r>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年平均气温在16.4～17.0℃之间。南部的平江、汨罗、湘阴及屈原农场为16.8～16.9℃；城区受洞庭湖水体和城市“热岛效应”的影响，年平均气温偏高，为17.0℃。境内极端最高气温为39.3～40.4℃，极端最低气温为-11.8～-18.1℃。年平均气温日较差为6.6～9.1℃，湖区6.6～7.4℃，山丘区7.6～9.4℃，气温日较差以9～11月为大。年日照时数为1662.1～1764.1 小时，呈北部比南部多，西部比东部多的分布格局。市区年平均风速为2.8m/s，年最多风向为东北偏北风。年降雨量1211.3～1463.9mm，年平均降水量为1302mm，历年最大日降雨量为265.3mm。</w:t>
      </w:r>
    </w:p>
    <w:p>
      <w:pPr>
        <w:pStyle w:val="5"/>
        <w:rPr>
          <w:color w:val="000000" w:themeColor="text1"/>
          <w14:textFill>
            <w14:solidFill>
              <w14:schemeClr w14:val="tx1"/>
            </w14:solidFill>
          </w14:textFill>
        </w:rPr>
      </w:pPr>
      <w:r>
        <w:rPr>
          <w:color w:val="000000" w:themeColor="text1"/>
          <w14:textFill>
            <w14:solidFill>
              <w14:schemeClr w14:val="tx1"/>
            </w14:solidFill>
          </w14:textFill>
        </w:rPr>
        <w:t>水文水资源</w:t>
      </w:r>
      <w:bookmarkEnd w:id="161"/>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岳阳市水资源丰富，湖泊众多，河网密布，水系发达，洞庭湖纳湘、资、沅、澧四水汇入长江，素有洞庭水乡之称。河流主要属洞庭湖水系，其次是长江水系和鄱阳湖水系。洞庭湖水系流域面积占全市总面积的91.05%，长江水系占8.92%，鄱阳湖水系占0.02%。长5km以上河流273条，大于10km的146条，大于50km的11条。除洞庭湖外，境内有大小内湖165个，总湖泊面积335.5km</w:t>
      </w:r>
      <w:r>
        <w:rPr>
          <w:color w:val="000000" w:themeColor="text1"/>
          <w:vertAlign w:val="superscript"/>
          <w:lang w:val="zh-CN"/>
          <w14:textFill>
            <w14:solidFill>
              <w14:schemeClr w14:val="tx1"/>
            </w14:solidFill>
          </w14:textFill>
        </w:rPr>
        <w:t>2</w:t>
      </w:r>
      <w:r>
        <w:rPr>
          <w:color w:val="000000" w:themeColor="text1"/>
          <w:lang w:val="zh-CN"/>
          <w14:textFill>
            <w14:solidFill>
              <w14:schemeClr w14:val="tx1"/>
            </w14:solidFill>
          </w14:textFill>
        </w:rPr>
        <w:t>，总湖容10.9亿km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w:t>
      </w:r>
      <w:bookmarkStart w:id="162" w:name="_Toc32465_WPSOffice_Level3"/>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w:t>
      </w:r>
      <w:r>
        <w:rPr>
          <w:color w:val="000000" w:themeColor="text1"/>
          <w14:textFill>
            <w14:solidFill>
              <w14:schemeClr w14:val="tx1"/>
            </w14:solidFill>
          </w14:textFill>
        </w:rPr>
        <w:t>1</w:t>
      </w:r>
      <w:r>
        <w:rPr>
          <w:color w:val="000000" w:themeColor="text1"/>
          <w:lang w:val="zh-CN"/>
          <w14:textFill>
            <w14:solidFill>
              <w14:schemeClr w14:val="tx1"/>
            </w14:solidFill>
          </w14:textFill>
        </w:rPr>
        <w:t>）松杨湖水域</w:t>
      </w:r>
      <w:bookmarkEnd w:id="162"/>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湖面积：丰水期6000～8000亩左右；枯水期5000～6000亩左右；</w:t>
      </w:r>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水位：最深水位5~6m左右；平均水位3~4m左右；</w:t>
      </w:r>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蓄水量：丰水期21万m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左右；枯水期12万m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左右；</w:t>
      </w:r>
      <w:bookmarkStart w:id="163" w:name="_Toc27443_WPSOffice_Level3"/>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w:t>
      </w:r>
      <w:r>
        <w:rPr>
          <w:color w:val="000000" w:themeColor="text1"/>
          <w14:textFill>
            <w14:solidFill>
              <w14:schemeClr w14:val="tx1"/>
            </w14:solidFill>
          </w14:textFill>
        </w:rPr>
        <w:t>2</w:t>
      </w:r>
      <w:r>
        <w:rPr>
          <w:color w:val="000000" w:themeColor="text1"/>
          <w:lang w:val="zh-CN"/>
          <w14:textFill>
            <w14:solidFill>
              <w14:schemeClr w14:val="tx1"/>
            </w14:solidFill>
          </w14:textFill>
        </w:rPr>
        <w:t>）长江岳阳段</w:t>
      </w:r>
      <w:bookmarkEnd w:id="163"/>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松杨湖水域北濒临并汇入长江。长江螺山段水文特征对其影响很大，根据长江螺山水文站水文数据，长江在该段主要水文参数如下：</w:t>
      </w:r>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流量：多年平均流量20300m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/s；历年最大流量61200m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/s；历年最小流量4190m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/s；</w:t>
      </w:r>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流速：多年平均流速1.45m/s；历年最大流速2.00m/s；历年最小流速0.98m/s；</w:t>
      </w:r>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含砂量：多年平均含砂量0.683kg/m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；历年最大含砂量5.66kg/m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；历年最小含砂量0.11kg/m</w:t>
      </w:r>
      <w:r>
        <w:rPr>
          <w:color w:val="000000" w:themeColor="text1"/>
          <w:vertAlign w:val="superscript"/>
          <w:lang w:val="zh-CN"/>
          <w14:textFill>
            <w14:solidFill>
              <w14:schemeClr w14:val="tx1"/>
            </w14:solidFill>
          </w14:textFill>
        </w:rPr>
        <w:t>3</w:t>
      </w:r>
      <w:r>
        <w:rPr>
          <w:color w:val="000000" w:themeColor="text1"/>
          <w:lang w:val="zh-CN"/>
          <w14:textFill>
            <w14:solidFill>
              <w14:schemeClr w14:val="tx1"/>
            </w14:solidFill>
          </w14:textFill>
        </w:rPr>
        <w:t>；</w:t>
      </w:r>
    </w:p>
    <w:p>
      <w:pPr>
        <w:pStyle w:val="17"/>
        <w:spacing w:after="0" w:line="360" w:lineRule="auto"/>
        <w:ind w:firstLine="480" w:firstLineChars="200"/>
        <w:rPr>
          <w:color w:val="000000" w:themeColor="text1"/>
          <w:lang w:val="zh-CN"/>
          <w14:textFill>
            <w14:solidFill>
              <w14:schemeClr w14:val="tx1"/>
            </w14:solidFill>
          </w14:textFill>
        </w:rPr>
      </w:pPr>
      <w:r>
        <w:rPr>
          <w:color w:val="000000" w:themeColor="text1"/>
          <w:lang w:val="zh-CN"/>
          <w14:textFill>
            <w14:solidFill>
              <w14:schemeClr w14:val="tx1"/>
            </w14:solidFill>
          </w14:textFill>
        </w:rPr>
        <w:t>输沙量：多年平均输砂量13.7t/s；历年最大输沙量177t/s；历年最小输沙量0.59t/s；</w:t>
      </w:r>
    </w:p>
    <w:p>
      <w:pPr>
        <w:pStyle w:val="17"/>
        <w:spacing w:after="0" w:line="360" w:lineRule="auto"/>
        <w:ind w:firstLine="480" w:firstLineChars="200"/>
        <w:rPr>
          <w:color w:val="000000" w:themeColor="text1"/>
          <w:spacing w:val="-5"/>
          <w14:textFill>
            <w14:solidFill>
              <w14:schemeClr w14:val="tx1"/>
            </w14:solidFill>
          </w14:textFill>
        </w:rPr>
      </w:pPr>
      <w:r>
        <w:rPr>
          <w:color w:val="000000" w:themeColor="text1"/>
          <w:lang w:val="zh-CN"/>
          <w14:textFill>
            <w14:solidFill>
              <w14:schemeClr w14:val="tx1"/>
            </w14:solidFill>
          </w14:textFill>
        </w:rPr>
        <w:t>水位：多年平均水位23.19m（吴凇高程）；历年最高水位33.14m；历年最低水位15.99m。</w:t>
      </w:r>
    </w:p>
    <w:p>
      <w:pPr>
        <w:pStyle w:val="5"/>
        <w:rPr>
          <w:color w:val="000000" w:themeColor="text1"/>
          <w14:textFill>
            <w14:solidFill>
              <w14:schemeClr w14:val="tx1"/>
            </w14:solidFill>
          </w14:textFill>
        </w:rPr>
      </w:pPr>
      <w:r>
        <w:rPr>
          <w:color w:val="000000" w:themeColor="text1"/>
          <w14:textFill>
            <w14:solidFill>
              <w14:schemeClr w14:val="tx1"/>
            </w14:solidFill>
          </w14:textFill>
        </w:rPr>
        <w:t>土壤植被与生态</w:t>
      </w:r>
    </w:p>
    <w:p>
      <w:pPr>
        <w:pStyle w:val="6"/>
        <w:rPr>
          <w:color w:val="000000" w:themeColor="text1"/>
          <w14:textFill>
            <w14:solidFill>
              <w14:schemeClr w14:val="tx1"/>
            </w14:solidFill>
          </w14:textFill>
        </w:rPr>
      </w:pPr>
      <w:r>
        <w:rPr>
          <w:color w:val="000000" w:themeColor="text1"/>
          <w14:textFill>
            <w14:solidFill>
              <w14:schemeClr w14:val="tx1"/>
            </w14:solidFill>
          </w14:textFill>
        </w:rPr>
        <w:t>土壤及动物现状</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境内共有8个土类、21个亚类、76个土属、222个土种、400多个变种。（1）水稻土：面积387.31万亩，占土壤总面积的25.20%。含有丰富的氮元素和较多的钾元素，适宜于水稻生产；以滨湖平原和汨罗江、新墙河流域最为集中。（2）菜园土：耕层疏松，通透性好，有机质多，集中分布于城镇郊区，面积1.02万亩，占土壤总面积的0.07%。（3）潮土面积1510.15万亩，占土壤总面积的10.39%，分布在东洞庭湖、长江、汨罗江、新墙河沿岸等地。潮土土层深厚、地下水埋藏浅，质地适中，养分比较丰富，适宜于棉花、甘蔗、蚕桑生长。（4）紫色土：面积为106.10万亩，占土壤总面积的 6.90%，分布于丘岗地带，以市境东部长平盆地及新墙河流域面积最大。（5）红壤：面积801.32 万亩，占土壤总面积的</w:t>
      </w:r>
      <w:r>
        <w:rPr>
          <w:rFonts w:eastAsia="Times New Roman"/>
          <w:color w:val="000000" w:themeColor="text1"/>
          <w14:textFill>
            <w14:solidFill>
              <w14:schemeClr w14:val="tx1"/>
            </w14:solidFill>
          </w14:textFill>
        </w:rPr>
        <w:t>52.13%</w:t>
      </w:r>
      <w:r>
        <w:rPr>
          <w:color w:val="000000" w:themeColor="text1"/>
          <w14:textFill>
            <w14:solidFill>
              <w14:schemeClr w14:val="tx1"/>
            </w14:solidFill>
          </w14:textFill>
        </w:rPr>
        <w:t>，主要分布于海拔</w:t>
      </w:r>
      <w:r>
        <w:rPr>
          <w:rFonts w:eastAsia="Times New Roman"/>
          <w:color w:val="000000" w:themeColor="text1"/>
          <w14:textFill>
            <w14:solidFill>
              <w14:schemeClr w14:val="tx1"/>
            </w14:solidFill>
          </w14:textFill>
        </w:rPr>
        <w:t>500</w:t>
      </w:r>
      <w:r>
        <w:rPr>
          <w:color w:val="000000" w:themeColor="text1"/>
          <w14:textFill>
            <w14:solidFill>
              <w14:schemeClr w14:val="tx1"/>
            </w14:solidFill>
          </w14:textFill>
        </w:rPr>
        <w:t>米以下的山、丘岗地区。以中部丘陵地带与洞庭</w:t>
      </w:r>
      <w:r>
        <w:rPr>
          <w:color w:val="000000" w:themeColor="text1"/>
          <w:spacing w:val="-7"/>
          <w14:textFill>
            <w14:solidFill>
              <w14:schemeClr w14:val="tx1"/>
            </w14:solidFill>
          </w14:textFill>
        </w:rPr>
        <w:t>湖环湖岗地及汨罗江中下游阶地最为集中。适宜茶叶、油茶、油桐、苎麻、桃李</w:t>
      </w:r>
      <w:r>
        <w:rPr>
          <w:color w:val="000000" w:themeColor="text1"/>
          <w14:textFill>
            <w14:solidFill>
              <w14:schemeClr w14:val="tx1"/>
            </w14:solidFill>
          </w14:textFill>
        </w:rPr>
        <w:t>等经济作物生长。（</w:t>
      </w:r>
      <w:r>
        <w:rPr>
          <w:rFonts w:hint="eastAsia" w:eastAsia="宋体"/>
          <w:color w:val="000000" w:themeColor="text1"/>
          <w:lang w:val="en-US" w:eastAsia="zh-CN"/>
          <w14:textFill>
            <w14:solidFill>
              <w14:schemeClr w14:val="tx1"/>
            </w14:solidFill>
          </w14:textFill>
        </w:rPr>
        <w:t>6</w:t>
      </w:r>
      <w:r>
        <w:rPr>
          <w:color w:val="000000" w:themeColor="text1"/>
          <w14:textFill>
            <w14:solidFill>
              <w14:schemeClr w14:val="tx1"/>
            </w14:solidFill>
          </w14:textFill>
        </w:rPr>
        <w:t>）</w:t>
      </w:r>
      <w:r>
        <w:rPr>
          <w:color w:val="000000" w:themeColor="text1"/>
          <w:spacing w:val="-4"/>
          <w14:textFill>
            <w14:solidFill>
              <w14:schemeClr w14:val="tx1"/>
            </w14:solidFill>
          </w14:textFill>
        </w:rPr>
        <w:t>山地黄壤、黄棕壤、山地草甸土：共计</w:t>
      </w:r>
      <w:r>
        <w:rPr>
          <w:rFonts w:eastAsia="Times New Roman"/>
          <w:color w:val="000000" w:themeColor="text1"/>
          <w14:textFill>
            <w14:solidFill>
              <w14:schemeClr w14:val="tx1"/>
            </w14:solidFill>
          </w14:textFill>
        </w:rPr>
        <w:t>81.53</w:t>
      </w:r>
      <w:r>
        <w:rPr>
          <w:color w:val="000000" w:themeColor="text1"/>
          <w14:textFill>
            <w14:solidFill>
              <w14:schemeClr w14:val="tx1"/>
            </w14:solidFill>
          </w14:textFill>
        </w:rPr>
        <w:t>万亩，占</w:t>
      </w:r>
      <w:r>
        <w:rPr>
          <w:color w:val="000000" w:themeColor="text1"/>
          <w:spacing w:val="-9"/>
          <w14:textFill>
            <w14:solidFill>
              <w14:schemeClr w14:val="tx1"/>
            </w14:solidFill>
          </w14:textFill>
        </w:rPr>
        <w:t>土壤总面积的</w:t>
      </w:r>
      <w:r>
        <w:rPr>
          <w:rFonts w:eastAsia="Times New Roman"/>
          <w:color w:val="000000" w:themeColor="text1"/>
          <w14:textFill>
            <w14:solidFill>
              <w14:schemeClr w14:val="tx1"/>
            </w14:solidFill>
          </w14:textFill>
        </w:rPr>
        <w:t>5.31%</w:t>
      </w:r>
      <w:r>
        <w:rPr>
          <w:color w:val="000000" w:themeColor="text1"/>
          <w:spacing w:val="-3"/>
          <w14:textFill>
            <w14:solidFill>
              <w14:schemeClr w14:val="tx1"/>
            </w14:solidFill>
          </w14:textFill>
        </w:rPr>
        <w:t>，均分布于东部山区。山地黄壤一般分布于海拔</w:t>
      </w:r>
      <w:r>
        <w:rPr>
          <w:rFonts w:eastAsia="Times New Roman"/>
          <w:color w:val="000000" w:themeColor="text1"/>
          <w14:textFill>
            <w14:solidFill>
              <w14:schemeClr w14:val="tx1"/>
            </w14:solidFill>
          </w14:textFill>
        </w:rPr>
        <w:t>500</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800</w:t>
      </w:r>
      <w:r>
        <w:rPr>
          <w:color w:val="000000" w:themeColor="text1"/>
          <w:spacing w:val="-11"/>
          <w14:textFill>
            <w14:solidFill>
              <w14:schemeClr w14:val="tx1"/>
            </w14:solidFill>
          </w14:textFill>
        </w:rPr>
        <w:t>米地段，黄棕壤分布于海拔</w:t>
      </w:r>
      <w:r>
        <w:rPr>
          <w:rFonts w:eastAsia="Times New Roman"/>
          <w:color w:val="000000" w:themeColor="text1"/>
          <w14:textFill>
            <w14:solidFill>
              <w14:schemeClr w14:val="tx1"/>
            </w14:solidFill>
          </w14:textFill>
        </w:rPr>
        <w:t>800</w:t>
      </w:r>
      <w:r>
        <w:rPr>
          <w:color w:val="000000" w:themeColor="text1"/>
          <w:spacing w:val="-11"/>
          <w14:textFill>
            <w14:solidFill>
              <w14:schemeClr w14:val="tx1"/>
            </w14:solidFill>
          </w14:textFill>
        </w:rPr>
        <w:t>米以上地段，草甸土只有</w:t>
      </w:r>
      <w:r>
        <w:rPr>
          <w:rFonts w:eastAsia="Times New Roman"/>
          <w:color w:val="000000" w:themeColor="text1"/>
          <w14:textFill>
            <w14:solidFill>
              <w14:schemeClr w14:val="tx1"/>
            </w14:solidFill>
          </w14:textFill>
        </w:rPr>
        <w:t>500</w:t>
      </w:r>
      <w:r>
        <w:rPr>
          <w:color w:val="000000" w:themeColor="text1"/>
          <w:spacing w:val="-7"/>
          <w14:textFill>
            <w14:solidFill>
              <w14:schemeClr w14:val="tx1"/>
            </w14:solidFill>
          </w14:textFill>
        </w:rPr>
        <w:t>亩，位于幕阜山一</w:t>
      </w:r>
      <w:r>
        <w:rPr>
          <w:color w:val="000000" w:themeColor="text1"/>
          <w14:textFill>
            <w14:solidFill>
              <w14:schemeClr w14:val="tx1"/>
            </w14:solidFill>
          </w14:textFill>
        </w:rPr>
        <w:t>峰尖，山地黄壤、黄棕壤均呈酸性，养分含量丰富，自然植被较好。</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所在地为工业用地，四周主要分布工业生产装置，外围山体植物覆盖程度较高。区域农业以种植水稻和蔬菜为主。评价区范围内无景观资源、游览胜地和珍稀动植物。境内主要是人工栽培的雪松、桂花、玉兰等，山上自然植被繁茂。</w:t>
      </w:r>
    </w:p>
    <w:p>
      <w:pPr>
        <w:pStyle w:val="6"/>
        <w:rPr>
          <w:color w:val="000000" w:themeColor="text1"/>
          <w14:textFill>
            <w14:solidFill>
              <w14:schemeClr w14:val="tx1"/>
            </w14:solidFill>
          </w14:textFill>
        </w:rPr>
      </w:pPr>
      <w:r>
        <w:rPr>
          <w:color w:val="000000" w:themeColor="text1"/>
          <w14:textFill>
            <w14:solidFill>
              <w14:schemeClr w14:val="tx1"/>
            </w14:solidFill>
          </w14:textFill>
        </w:rPr>
        <w:t>松阳湖水生动植物现状</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松阳湖中水生植物的品种和数量较丰富。松杨湖边缘分布的沼泽化草甸主要有荻草群落、苔草群落、辣寥群落、水芹群落等；松杨湖水面上分布的水生沼泽植被主要有野菱群落、浮萍群落等；水面上分布的浮水水生植被主要有野菱群落、荇菜群落、浮萍群落等；松杨湖浅水区及沼泽区分布的挺水植物主要有香蒲群落、水烛群落、菰群落等。松杨湖水体，由于历史原因，水质较差，湖内鱼类的品种虽然仍有一些，如有青、草、鲇、鳙、鲤、鳊、鲶等。</w:t>
      </w:r>
    </w:p>
    <w:p>
      <w:pPr>
        <w:pStyle w:val="6"/>
        <w:rPr>
          <w:color w:val="000000" w:themeColor="text1"/>
          <w14:textFill>
            <w14:solidFill>
              <w14:schemeClr w14:val="tx1"/>
            </w14:solidFill>
          </w14:textFill>
        </w:rPr>
      </w:pPr>
      <w:r>
        <w:rPr>
          <w:color w:val="000000" w:themeColor="text1"/>
          <w14:textFill>
            <w14:solidFill>
              <w14:schemeClr w14:val="tx1"/>
            </w14:solidFill>
          </w14:textFill>
        </w:rPr>
        <w:t>长江水生物现状</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长江是我国水生生物资源宝库。本次环评所在道仁矶江段的主要水生生物为中国江河平原区系鱼类青、草、鲢、鳙、鳊、鲂等，第三纪区系鱼类鲤、鲫、鲶、鳜鱼等，近年来有国家一级保护动物白暨豚出没。 </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根据相关资料显示，华容集成长江故道江豚省级自然保护区、长江监利段四大家鱼国家级水产种质资源保护区、长江新螺段白鱀豚国家级自然保护区、湖南东洞庭湖国家自然保护区，临近的生态敏感区包括岳阳集成麋鹿省级湿地自然保护区、洞庭湖口铜鱼短颌鲚国家级水产种质资源保护区所在江段水生生物种类丰富，数量庞大，包括浮游植</w:t>
      </w:r>
      <w:r>
        <w:rPr>
          <w:rFonts w:hint="default" w:ascii="Times New Roman" w:hAnsi="Times New Roman" w:cs="Times New Roman"/>
          <w:color w:val="000000" w:themeColor="text1"/>
          <w14:textFill>
            <w14:solidFill>
              <w14:schemeClr w14:val="tx1"/>
            </w14:solidFill>
          </w14:textFill>
        </w:rPr>
        <w:t xml:space="preserve">物6门41种，密度46.25×106Cells/L，生物量19.45mg/L；浮游动物29属47种；密度449.5ind./L~2004.5ind./L；底栖动物20种；鱼类13目27科223种；以及江豚、胭脂鱼、鳗鲡、中华绒螯蟹等珍稀水生动物。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城陵矶江段内有铜鱼和短颌鲚保护区，鲤、大口鲇、铜鱼居渔获物重量的前3位，鲤占渔获物重量的19.15%，大口鲇占渔获物重量的9.11%，铜鱼占渔获物重量的7.04%；其次为鲢（6.37%）、鲫（4.93%）、鳊（4.84%）、草鱼（4.65%）；该江段另一主要保护对象短颌鲚占渔获物重量的0.88%，但数量占比高达8.07%。</w:t>
      </w:r>
      <w:r>
        <w:rPr>
          <w:color w:val="000000" w:themeColor="text1"/>
          <w14:textFill>
            <w14:solidFill>
              <w14:schemeClr w14:val="tx1"/>
            </w14:solidFill>
          </w14:textFill>
        </w:rPr>
        <w:t>调查江段不存在铜鱼产卵场，但由于铜鱼短颌鲚种质资源保护区处在长江和洞庭湖交汇口，该水域是铜鱼鱼苗入湖及出湖入江上溯的重要通道，也是铜鱼幼鱼索饵肥育及越冬的重要场所。在洞庭湖三江口、注滋口、擂鼓台一带存在短颌鲚产卵场，以三江口产卵场规模最大，但由于洞庭湖上游水利枢纽工程的建设及洞庭湖的整治，洞庭湖水文情势发生了较大变化，近年产卵场规模萎缩。长江是鱼类洄游的重要通道，同时在城陵矶区域的洞庭湖湖口也是</w:t>
      </w:r>
      <w:r>
        <w:rPr>
          <w:rFonts w:hint="default" w:ascii="Times New Roman" w:hAnsi="Times New Roman" w:cs="Times New Roman"/>
          <w:color w:val="000000" w:themeColor="text1"/>
          <w14:textFill>
            <w14:solidFill>
              <w14:schemeClr w14:val="tx1"/>
            </w14:solidFill>
          </w14:textFill>
        </w:rPr>
        <w:t xml:space="preserve">鱼类江、湖交流的重要通道。长江中典型的河海洄游性鱼类如中华鲟、长颌鲚、鲥鱼、日本鳗鲡、暗色东方鲀等，需要通过评价江段水域出入洞庭湖或者继续沿长江上溯与降海洄游，如长颌鲚亲鱼于4～7月通过湖口进入洞庭湖繁殖，10月后幼鱼出湖入江回海；典型的江湖洄游鱼类“四大家鱼”亲鱼在秋末退水时通过洞庭湖湖口进入长江干流深水河槽越冬，翌年5～7月洪水发生时在长江干流繁殖，繁殖后返回洞庭湖育肥；四大家鱼幼鱼于每年6～9月进入洞庭湖索饵育肥，高峰期在7～8月。 </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从浮游植物看，长江湖南各断面浮游植物种类组成均以耐污能力弱的硅藻为主，显示出水体水质的良好。五马口至洪水港江段轮虫数量最多，且是优势种群，水质相对较差，江南至瓦湾江段原生动物和轮虫数量和所占比例均较少，水质相对较优。</w:t>
      </w:r>
    </w:p>
    <w:p>
      <w:pPr>
        <w:pStyle w:val="4"/>
        <w:rPr>
          <w:color w:val="000000" w:themeColor="text1"/>
          <w14:textFill>
            <w14:solidFill>
              <w14:schemeClr w14:val="tx1"/>
            </w14:solidFill>
          </w14:textFill>
        </w:rPr>
      </w:pPr>
      <w:bookmarkStart w:id="164" w:name="_Toc532376155"/>
      <w:bookmarkStart w:id="165" w:name="_Toc29728"/>
      <w:bookmarkStart w:id="166" w:name="_Toc532763212"/>
      <w:bookmarkStart w:id="167" w:name="_Toc532497647"/>
      <w:bookmarkStart w:id="168" w:name="_Toc532498748"/>
      <w:r>
        <w:rPr>
          <w:color w:val="000000" w:themeColor="text1"/>
          <w14:textFill>
            <w14:solidFill>
              <w14:schemeClr w14:val="tx1"/>
            </w14:solidFill>
          </w14:textFill>
        </w:rPr>
        <w:t>环境质量现状监测与评价</w:t>
      </w:r>
      <w:bookmarkEnd w:id="164"/>
      <w:bookmarkEnd w:id="165"/>
      <w:bookmarkEnd w:id="166"/>
      <w:bookmarkEnd w:id="167"/>
      <w:bookmarkEnd w:id="168"/>
    </w:p>
    <w:p>
      <w:pPr>
        <w:pStyle w:val="5"/>
        <w:rPr>
          <w:color w:val="000000" w:themeColor="text1"/>
          <w14:textFill>
            <w14:solidFill>
              <w14:schemeClr w14:val="tx1"/>
            </w14:solidFill>
          </w14:textFill>
        </w:rPr>
      </w:pPr>
      <w:r>
        <w:rPr>
          <w:color w:val="000000" w:themeColor="text1"/>
          <w14:textFill>
            <w14:solidFill>
              <w14:schemeClr w14:val="tx1"/>
            </w14:solidFill>
          </w14:textFill>
        </w:rPr>
        <w:t>空气质量达标区判定</w:t>
      </w:r>
    </w:p>
    <w:p>
      <w:pPr>
        <w:pStyle w:val="17"/>
        <w:spacing w:after="0" w:line="360" w:lineRule="auto"/>
        <w:ind w:firstLine="468" w:firstLineChars="200"/>
        <w:rPr>
          <w:rFonts w:hint="default" w:ascii="Times New Roman" w:hAnsi="Times New Roman" w:eastAsia="宋体" w:cs="Times New Roman"/>
          <w:color w:val="000000" w:themeColor="text1"/>
          <w:spacing w:val="-4"/>
          <w:lang w:val="en-US" w:eastAsia="zh-CN"/>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根据《环境影响评价技术导则</w:t>
      </w:r>
      <w:r>
        <w:rPr>
          <w:rFonts w:hint="default" w:ascii="Times New Roman" w:hAnsi="Times New Roman" w:cs="Times New Roman"/>
          <w:color w:val="000000" w:themeColor="text1"/>
          <w:spacing w:val="-4"/>
          <w14:textFill>
            <w14:solidFill>
              <w14:schemeClr w14:val="tx1"/>
            </w14:solidFill>
          </w14:textFill>
        </w:rPr>
        <w:t>-大气环境》</w:t>
      </w:r>
      <w:r>
        <w:rPr>
          <w:rFonts w:hint="default" w:ascii="Times New Roman" w:hAnsi="Times New Roman" w:cs="Times New Roman"/>
          <w:color w:val="000000" w:themeColor="text1"/>
          <w14:textFill>
            <w14:solidFill>
              <w14:schemeClr w14:val="tx1"/>
            </w14:solidFill>
          </w14:textFill>
        </w:rPr>
        <w:t>（HJ2.2-2018）</w:t>
      </w:r>
      <w:r>
        <w:rPr>
          <w:rFonts w:hint="default" w:ascii="Times New Roman" w:hAnsi="Times New Roman" w:cs="Times New Roman"/>
          <w:color w:val="000000" w:themeColor="text1"/>
          <w:spacing w:val="-4"/>
          <w14:textFill>
            <w14:solidFill>
              <w14:schemeClr w14:val="tx1"/>
            </w14:solidFill>
          </w14:textFill>
        </w:rPr>
        <w:t>中“</w:t>
      </w:r>
      <w:r>
        <w:rPr>
          <w:rFonts w:hint="default" w:ascii="Times New Roman" w:hAnsi="Times New Roman" w:cs="Times New Roman"/>
          <w:color w:val="000000" w:themeColor="text1"/>
          <w14:textFill>
            <w14:solidFill>
              <w14:schemeClr w14:val="tx1"/>
            </w14:solidFill>
          </w14:textFill>
        </w:rPr>
        <w:t>6环境空气质</w:t>
      </w:r>
      <w:r>
        <w:rPr>
          <w:rFonts w:hint="default" w:ascii="Times New Roman" w:hAnsi="Times New Roman" w:cs="Times New Roman"/>
          <w:color w:val="000000" w:themeColor="text1"/>
          <w:spacing w:val="-9"/>
          <w14:textFill>
            <w14:solidFill>
              <w14:schemeClr w14:val="tx1"/>
            </w14:solidFill>
          </w14:textFill>
        </w:rPr>
        <w:t>量现状调查与评价”内容，首先需要调查项目所在区域环境质量达标情况，作为</w:t>
      </w:r>
      <w:r>
        <w:rPr>
          <w:rFonts w:hint="default" w:ascii="Times New Roman" w:hAnsi="Times New Roman" w:cs="Times New Roman"/>
          <w:color w:val="000000" w:themeColor="text1"/>
          <w14:textFill>
            <w14:solidFill>
              <w14:schemeClr w14:val="tx1"/>
            </w14:solidFill>
          </w14:textFill>
        </w:rPr>
        <w:t>项目所在区域是否为达标区的判定依据。并且根据导则“5.5依据评价所需环境</w:t>
      </w:r>
      <w:r>
        <w:rPr>
          <w:rFonts w:hint="default" w:ascii="Times New Roman" w:hAnsi="Times New Roman" w:cs="Times New Roman"/>
          <w:color w:val="000000" w:themeColor="text1"/>
          <w:spacing w:val="-8"/>
          <w14:textFill>
            <w14:solidFill>
              <w14:schemeClr w14:val="tx1"/>
            </w14:solidFill>
          </w14:textFill>
        </w:rPr>
        <w:t>空气质量现状、气象资料等数据的可获得性、数据质量、代表性等因素，选择近</w:t>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spacing w:val="-6"/>
          <w14:textFill>
            <w14:solidFill>
              <w14:schemeClr w14:val="tx1"/>
            </w14:solidFill>
          </w14:textFill>
        </w:rPr>
        <w:t>年中数据相对完整的</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spacing w:val="-4"/>
          <w14:textFill>
            <w14:solidFill>
              <w14:schemeClr w14:val="tx1"/>
            </w14:solidFill>
          </w14:textFill>
        </w:rPr>
        <w:t>个日历年作为评价</w:t>
      </w:r>
      <w:r>
        <w:rPr>
          <w:rFonts w:hint="default" w:ascii="Times New Roman" w:hAnsi="Times New Roman" w:cs="Times New Roman"/>
          <w:color w:val="000000" w:themeColor="text1"/>
          <w:spacing w:val="-4"/>
          <w:lang w:eastAsia="zh-CN"/>
          <w14:textFill>
            <w14:solidFill>
              <w14:schemeClr w14:val="tx1"/>
            </w14:solidFill>
          </w14:textFill>
        </w:rPr>
        <w:t>基准年”的内容，本项目筛选的评价基准年为</w:t>
      </w:r>
      <w:r>
        <w:rPr>
          <w:rFonts w:hint="default" w:ascii="Times New Roman" w:hAnsi="Times New Roman" w:cs="Times New Roman"/>
          <w:color w:val="000000" w:themeColor="text1"/>
          <w:spacing w:val="-4"/>
          <w:lang w:val="en-US" w:eastAsia="zh-CN"/>
          <w14:textFill>
            <w14:solidFill>
              <w14:schemeClr w14:val="tx1"/>
            </w14:solidFill>
          </w14:textFill>
        </w:rPr>
        <w:t>2019年。</w:t>
      </w:r>
    </w:p>
    <w:p>
      <w:pPr>
        <w:pStyle w:val="17"/>
        <w:spacing w:after="0" w:line="360" w:lineRule="auto"/>
        <w:ind w:firstLine="444"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9"/>
          <w14:textFill>
            <w14:solidFill>
              <w14:schemeClr w14:val="tx1"/>
            </w14:solidFill>
          </w14:textFill>
        </w:rPr>
        <w:t>由于本项目评价范围为以厂址为中心，边长为</w:t>
      </w:r>
      <w:r>
        <w:rPr>
          <w:rFonts w:hint="default" w:ascii="Times New Roman" w:hAnsi="Times New Roman" w:cs="Times New Roman"/>
          <w:color w:val="000000" w:themeColor="text1"/>
          <w14:textFill>
            <w14:solidFill>
              <w14:schemeClr w14:val="tx1"/>
            </w14:solidFill>
          </w14:textFill>
        </w:rPr>
        <w:t>5km</w:t>
      </w:r>
      <w:r>
        <w:rPr>
          <w:rFonts w:hint="default" w:ascii="Times New Roman" w:hAnsi="Times New Roman" w:cs="Times New Roman"/>
          <w:color w:val="000000" w:themeColor="text1"/>
          <w:spacing w:val="-4"/>
          <w14:textFill>
            <w14:solidFill>
              <w14:schemeClr w14:val="tx1"/>
            </w14:solidFill>
          </w14:textFill>
        </w:rPr>
        <w:t>的矩形区</w:t>
      </w:r>
      <w:r>
        <w:rPr>
          <w:rFonts w:hint="default" w:ascii="Times New Roman" w:hAnsi="Times New Roman" w:cs="Times New Roman"/>
          <w:color w:val="000000" w:themeColor="text1"/>
          <w:spacing w:val="-10"/>
          <w14:textFill>
            <w14:solidFill>
              <w14:schemeClr w14:val="tx1"/>
            </w14:solidFill>
          </w14:textFill>
        </w:rPr>
        <w:t>域，在评价范围内没有环境空气质量监测网数据，故区域达标判定所用数据引用</w:t>
      </w:r>
      <w:r>
        <w:rPr>
          <w:rFonts w:hint="default" w:ascii="Times New Roman" w:hAnsi="Times New Roman" w:cs="Times New Roman"/>
          <w:color w:val="000000" w:themeColor="text1"/>
          <w14:textFill>
            <w14:solidFill>
              <w14:schemeClr w14:val="tx1"/>
            </w14:solidFill>
          </w14:textFill>
        </w:rPr>
        <w:t>201</w:t>
      </w:r>
      <w:r>
        <w:rPr>
          <w:rFonts w:hint="default" w:ascii="Times New Roman" w:hAnsi="Times New Roman"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年岳阳市云溪区常规监测点的基本污染物环境质量现状数据。根据《环境空气质量监测点位布</w:t>
      </w:r>
      <w:r>
        <w:rPr>
          <w:rFonts w:hint="default" w:ascii="Times New Roman" w:hAnsi="Times New Roman" w:cs="Times New Roman"/>
          <w:color w:val="000000" w:themeColor="text1"/>
          <w:spacing w:val="-6"/>
          <w14:textFill>
            <w14:solidFill>
              <w14:schemeClr w14:val="tx1"/>
            </w14:solidFill>
          </w14:textFill>
        </w:rPr>
        <w:t>设技术规范</w:t>
      </w:r>
      <w:r>
        <w:rPr>
          <w:rFonts w:hint="default" w:ascii="Times New Roman" w:hAnsi="Times New Roman" w:cs="Times New Roman"/>
          <w:color w:val="000000" w:themeColor="text1"/>
          <w14:textFill>
            <w14:solidFill>
              <w14:schemeClr w14:val="tx1"/>
            </w14:solidFill>
          </w14:textFill>
        </w:rPr>
        <w:t>（实行</w:t>
      </w:r>
      <w:r>
        <w:rPr>
          <w:rFonts w:hint="default" w:ascii="Times New Roman" w:hAnsi="Times New Roman" w:cs="Times New Roman"/>
          <w:color w:val="000000" w:themeColor="text1"/>
          <w:spacing w:val="-29"/>
          <w14:textFill>
            <w14:solidFill>
              <w14:schemeClr w14:val="tx1"/>
            </w14:solidFill>
          </w14:textFill>
        </w:rPr>
        <w:t>）</w:t>
      </w:r>
      <w:r>
        <w:rPr>
          <w:rFonts w:hint="default" w:ascii="Times New Roman" w:hAnsi="Times New Roman" w:cs="Times New Roman"/>
          <w:color w:val="000000" w:themeColor="text1"/>
          <w:spacing w:val="-56"/>
          <w14:textFill>
            <w14:solidFill>
              <w14:schemeClr w14:val="tx1"/>
            </w14:solidFill>
          </w14:textFill>
        </w:rPr>
        <w:t>》</w:t>
      </w:r>
      <w:r>
        <w:rPr>
          <w:rFonts w:hint="default" w:ascii="Times New Roman" w:hAnsi="Times New Roman" w:cs="Times New Roman"/>
          <w:color w:val="000000" w:themeColor="text1"/>
          <w:spacing w:val="-3"/>
          <w14:textFill>
            <w14:solidFill>
              <w14:schemeClr w14:val="tx1"/>
            </w14:solidFill>
          </w14:textFill>
        </w:rPr>
        <w:t>（HJ664-2013）</w:t>
      </w:r>
      <w:r>
        <w:rPr>
          <w:rFonts w:hint="default" w:ascii="Times New Roman" w:hAnsi="Times New Roman" w:cs="Times New Roman"/>
          <w:color w:val="000000" w:themeColor="text1"/>
          <w:spacing w:val="-9"/>
          <w14:textFill>
            <w14:solidFill>
              <w14:schemeClr w14:val="tx1"/>
            </w14:solidFill>
          </w14:textFill>
        </w:rPr>
        <w:t>中对“环境空气质量评价区域点”的定义，</w:t>
      </w:r>
      <w:r>
        <w:rPr>
          <w:rFonts w:hint="default" w:ascii="Times New Roman" w:hAnsi="Times New Roman" w:cs="Times New Roman"/>
          <w:color w:val="000000" w:themeColor="text1"/>
          <w:spacing w:val="-5"/>
          <w14:textFill>
            <w14:solidFill>
              <w14:schemeClr w14:val="tx1"/>
            </w14:solidFill>
          </w14:textFill>
        </w:rPr>
        <w:t>其代表范围一般为半径几十千米，本项目厂界距离该监测点</w:t>
      </w:r>
      <w:r>
        <w:rPr>
          <w:rFonts w:hint="default" w:ascii="Times New Roman" w:hAnsi="Times New Roman" w:cs="Times New Roman"/>
          <w:color w:val="000000" w:themeColor="text1"/>
          <w:spacing w:val="-4"/>
          <w14:textFill>
            <w14:solidFill>
              <w14:schemeClr w14:val="tx1"/>
            </w14:solidFill>
          </w14:textFill>
        </w:rPr>
        <w:t>5.2km</w:t>
      </w:r>
      <w:r>
        <w:rPr>
          <w:rFonts w:hint="default" w:ascii="Times New Roman" w:hAnsi="Times New Roman" w:cs="Times New Roman"/>
          <w:color w:val="000000" w:themeColor="text1"/>
          <w:spacing w:val="-2"/>
          <w14:textFill>
            <w14:solidFill>
              <w14:schemeClr w14:val="tx1"/>
            </w14:solidFill>
          </w14:textFill>
        </w:rPr>
        <w:t>，并且与评价</w:t>
      </w:r>
      <w:r>
        <w:rPr>
          <w:rFonts w:hint="default" w:ascii="Times New Roman" w:hAnsi="Times New Roman" w:cs="Times New Roman"/>
          <w:color w:val="000000" w:themeColor="text1"/>
          <w:spacing w:val="-9"/>
          <w14:textFill>
            <w14:solidFill>
              <w14:schemeClr w14:val="tx1"/>
            </w14:solidFill>
          </w14:textFill>
        </w:rPr>
        <w:t>范围地理位置紧近，地形、气候条件相近，故引用数据来源可靠，有效性符合导</w:t>
      </w:r>
      <w:r>
        <w:rPr>
          <w:rFonts w:hint="default" w:ascii="Times New Roman" w:hAnsi="Times New Roman" w:cs="Times New Roman"/>
          <w:color w:val="000000" w:themeColor="text1"/>
          <w14:textFill>
            <w14:solidFill>
              <w14:schemeClr w14:val="tx1"/>
            </w14:solidFill>
          </w14:textFill>
        </w:rPr>
        <w:t>则要求。具体达标判定监测数据及评价结果见下表。</w:t>
      </w:r>
    </w:p>
    <w:p>
      <w:pPr>
        <w:pStyle w:val="14"/>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 xml:space="preserve">  岳阳市空气质量现状评价表</w:t>
      </w:r>
    </w:p>
    <w:tbl>
      <w:tblPr>
        <w:tblStyle w:val="4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996"/>
        <w:gridCol w:w="1300"/>
        <w:gridCol w:w="1300"/>
        <w:gridCol w:w="1283"/>
        <w:gridCol w:w="1283"/>
        <w:gridCol w:w="1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污染物</w:t>
            </w:r>
          </w:p>
        </w:tc>
        <w:tc>
          <w:tcPr>
            <w:tcW w:w="10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年评价指标</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2019年现状浓度（μg/m³）</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标准值（μg/m³）</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占标率</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超标率</w:t>
            </w: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w:t>
            </w:r>
          </w:p>
        </w:tc>
        <w:tc>
          <w:tcPr>
            <w:tcW w:w="694" w:type="pc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SO</w:t>
            </w:r>
            <w:r>
              <w:rPr>
                <w:rFonts w:hint="default" w:ascii="Times New Roman" w:hAnsi="Times New Roman" w:eastAsia="宋体" w:cs="Times New Roman"/>
                <w:b w:val="0"/>
                <w:bCs w:val="0"/>
                <w:color w:val="000000" w:themeColor="text1"/>
                <w:kern w:val="0"/>
                <w:sz w:val="21"/>
                <w:szCs w:val="21"/>
                <w:u w:val="none"/>
                <w:vertAlign w:val="subscript"/>
                <w14:textFill>
                  <w14:solidFill>
                    <w14:schemeClr w14:val="tx1"/>
                  </w14:solidFill>
                </w14:textFill>
              </w:rPr>
              <w:t>2</w:t>
            </w:r>
          </w:p>
        </w:tc>
        <w:tc>
          <w:tcPr>
            <w:tcW w:w="10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年平均质量浓度</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9</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60</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0.15</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w:t>
            </w:r>
          </w:p>
        </w:tc>
        <w:tc>
          <w:tcPr>
            <w:tcW w:w="694" w:type="pc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NO</w:t>
            </w:r>
            <w:r>
              <w:rPr>
                <w:rFonts w:hint="default" w:ascii="Times New Roman" w:hAnsi="Times New Roman" w:eastAsia="宋体" w:cs="Times New Roman"/>
                <w:b w:val="0"/>
                <w:bCs w:val="0"/>
                <w:color w:val="000000" w:themeColor="text1"/>
                <w:kern w:val="0"/>
                <w:sz w:val="21"/>
                <w:szCs w:val="21"/>
                <w:u w:val="none"/>
                <w:vertAlign w:val="subscript"/>
                <w14:textFill>
                  <w14:solidFill>
                    <w14:schemeClr w14:val="tx1"/>
                  </w14:solidFill>
                </w14:textFill>
              </w:rPr>
              <w:t>2</w:t>
            </w:r>
          </w:p>
        </w:tc>
        <w:tc>
          <w:tcPr>
            <w:tcW w:w="10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年平均质量浓度</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27</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40</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0.67</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w:t>
            </w:r>
          </w:p>
        </w:tc>
        <w:tc>
          <w:tcPr>
            <w:tcW w:w="694" w:type="pc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1"/>
                <w:szCs w:val="21"/>
                <w:u w:val="none"/>
                <w:vertAlign w:val="subscript"/>
                <w14:textFill>
                  <w14:solidFill>
                    <w14:schemeClr w14:val="tx1"/>
                  </w14:solidFill>
                </w14:textFill>
              </w:rPr>
              <w:t>10</w:t>
            </w:r>
          </w:p>
        </w:tc>
        <w:tc>
          <w:tcPr>
            <w:tcW w:w="10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年平均质量浓度</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68</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70</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0.97</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w:t>
            </w:r>
          </w:p>
        </w:tc>
        <w:tc>
          <w:tcPr>
            <w:tcW w:w="694" w:type="pc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PM</w:t>
            </w:r>
            <w:r>
              <w:rPr>
                <w:rFonts w:hint="default" w:ascii="Times New Roman" w:hAnsi="Times New Roman" w:eastAsia="宋体" w:cs="Times New Roman"/>
                <w:b w:val="0"/>
                <w:bCs w:val="0"/>
                <w:color w:val="000000" w:themeColor="text1"/>
                <w:kern w:val="0"/>
                <w:sz w:val="21"/>
                <w:szCs w:val="21"/>
                <w:u w:val="none"/>
                <w:vertAlign w:val="subscript"/>
                <w14:textFill>
                  <w14:solidFill>
                    <w14:schemeClr w14:val="tx1"/>
                  </w14:solidFill>
                </w14:textFill>
              </w:rPr>
              <w:t>2.5</w:t>
            </w:r>
          </w:p>
        </w:tc>
        <w:tc>
          <w:tcPr>
            <w:tcW w:w="10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年平均质量浓度</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43</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35</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1.23</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w:t>
            </w:r>
          </w:p>
        </w:tc>
        <w:tc>
          <w:tcPr>
            <w:tcW w:w="694" w:type="pc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CO</w:t>
            </w:r>
          </w:p>
        </w:tc>
        <w:tc>
          <w:tcPr>
            <w:tcW w:w="10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第95百分位数日平均质量浓度</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1400</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4000</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0.35</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w:t>
            </w:r>
          </w:p>
        </w:tc>
        <w:tc>
          <w:tcPr>
            <w:tcW w:w="694" w:type="pc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O</w:t>
            </w:r>
            <w:r>
              <w:rPr>
                <w:rFonts w:hint="default" w:ascii="Times New Roman" w:hAnsi="Times New Roman" w:eastAsia="宋体" w:cs="Times New Roman"/>
                <w:b w:val="0"/>
                <w:bCs w:val="0"/>
                <w:color w:val="000000" w:themeColor="text1"/>
                <w:kern w:val="0"/>
                <w:sz w:val="21"/>
                <w:szCs w:val="21"/>
                <w:u w:val="none"/>
                <w:vertAlign w:val="subscript"/>
                <w14:textFill>
                  <w14:solidFill>
                    <w14:schemeClr w14:val="tx1"/>
                  </w14:solidFill>
                </w14:textFill>
              </w:rPr>
              <w:t>3</w:t>
            </w:r>
          </w:p>
        </w:tc>
        <w:tc>
          <w:tcPr>
            <w:tcW w:w="108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第90百分位数最大8h平均质量浓度</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159</w:t>
            </w:r>
          </w:p>
        </w:tc>
        <w:tc>
          <w:tcPr>
            <w:tcW w:w="70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14:textFill>
                  <w14:solidFill>
                    <w14:schemeClr w14:val="tx1"/>
                  </w14:solidFill>
                </w14:textFill>
              </w:rPr>
              <w:t>160</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0.99</w:t>
            </w:r>
          </w:p>
        </w:tc>
        <w:tc>
          <w:tcPr>
            <w:tcW w:w="69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t>0</w:t>
            </w:r>
          </w:p>
        </w:tc>
        <w:tc>
          <w:tcPr>
            <w:tcW w:w="694" w:type="pc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u w:val="none"/>
                <w:lang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u w:val="none"/>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根据《环境影响评价技术导则大气环境》（HJ2.2-2018）第6.4.1.1条“城市环境空气质量达标情况评价指标为SO</w:t>
      </w:r>
      <w:r>
        <w:rPr>
          <w:rFonts w:hint="default" w:ascii="Times New Roman" w:hAnsi="Times New Roman" w:cs="Times New Roman"/>
          <w:color w:val="000000" w:themeColor="text1"/>
          <w:sz w:val="24"/>
          <w:szCs w:val="24"/>
          <w:u w:val="none"/>
          <w:vertAlign w:val="subscript"/>
          <w14:textFill>
            <w14:solidFill>
              <w14:schemeClr w14:val="tx1"/>
            </w14:solidFill>
          </w14:textFill>
        </w:rPr>
        <w:t>2</w:t>
      </w:r>
      <w:r>
        <w:rPr>
          <w:rFonts w:hint="default" w:ascii="Times New Roman" w:hAnsi="Times New Roman" w:cs="Times New Roman"/>
          <w:color w:val="000000" w:themeColor="text1"/>
          <w:sz w:val="24"/>
          <w:szCs w:val="24"/>
          <w:u w:val="none"/>
          <w14:textFill>
            <w14:solidFill>
              <w14:schemeClr w14:val="tx1"/>
            </w14:solidFill>
          </w14:textFill>
        </w:rPr>
        <w:t>、NO</w:t>
      </w:r>
      <w:r>
        <w:rPr>
          <w:rFonts w:hint="default" w:ascii="Times New Roman" w:hAnsi="Times New Roman" w:cs="Times New Roman"/>
          <w:color w:val="000000" w:themeColor="text1"/>
          <w:sz w:val="24"/>
          <w:szCs w:val="24"/>
          <w:u w:val="none"/>
          <w:vertAlign w:val="subscript"/>
          <w14:textFill>
            <w14:solidFill>
              <w14:schemeClr w14:val="tx1"/>
            </w14:solidFill>
          </w14:textFill>
        </w:rPr>
        <w:t>2</w:t>
      </w:r>
      <w:r>
        <w:rPr>
          <w:rFonts w:hint="default" w:ascii="Times New Roman" w:hAnsi="Times New Roman" w:cs="Times New Roman"/>
          <w:color w:val="000000" w:themeColor="text1"/>
          <w:sz w:val="24"/>
          <w:szCs w:val="24"/>
          <w:u w:val="none"/>
          <w14:textFill>
            <w14:solidFill>
              <w14:schemeClr w14:val="tx1"/>
            </w14:solidFill>
          </w14:textFill>
        </w:rPr>
        <w:t>、PM</w:t>
      </w:r>
      <w:r>
        <w:rPr>
          <w:rFonts w:hint="default" w:ascii="Times New Roman" w:hAnsi="Times New Roman" w:cs="Times New Roman"/>
          <w:color w:val="000000" w:themeColor="text1"/>
          <w:sz w:val="24"/>
          <w:szCs w:val="24"/>
          <w:u w:val="none"/>
          <w:vertAlign w:val="subscript"/>
          <w14:textFill>
            <w14:solidFill>
              <w14:schemeClr w14:val="tx1"/>
            </w14:solidFill>
          </w14:textFill>
        </w:rPr>
        <w:t>10</w:t>
      </w:r>
      <w:r>
        <w:rPr>
          <w:rFonts w:hint="default" w:ascii="Times New Roman" w:hAnsi="Times New Roman" w:cs="Times New Roman"/>
          <w:color w:val="000000" w:themeColor="text1"/>
          <w:sz w:val="24"/>
          <w:szCs w:val="24"/>
          <w:u w:val="none"/>
          <w14:textFill>
            <w14:solidFill>
              <w14:schemeClr w14:val="tx1"/>
            </w14:solidFill>
          </w14:textFill>
        </w:rPr>
        <w:t>、PM</w:t>
      </w:r>
      <w:r>
        <w:rPr>
          <w:rFonts w:hint="default" w:ascii="Times New Roman" w:hAnsi="Times New Roman" w:cs="Times New Roman"/>
          <w:color w:val="000000" w:themeColor="text1"/>
          <w:sz w:val="24"/>
          <w:szCs w:val="24"/>
          <w:u w:val="none"/>
          <w:vertAlign w:val="subscript"/>
          <w14:textFill>
            <w14:solidFill>
              <w14:schemeClr w14:val="tx1"/>
            </w14:solidFill>
          </w14:textFill>
        </w:rPr>
        <w:t>2.5</w:t>
      </w:r>
      <w:r>
        <w:rPr>
          <w:rFonts w:hint="default" w:ascii="Times New Roman" w:hAnsi="Times New Roman" w:cs="Times New Roman"/>
          <w:color w:val="000000" w:themeColor="text1"/>
          <w:sz w:val="24"/>
          <w:szCs w:val="24"/>
          <w:u w:val="none"/>
          <w14:textFill>
            <w14:solidFill>
              <w14:schemeClr w14:val="tx1"/>
            </w14:solidFill>
          </w14:textFill>
        </w:rPr>
        <w:t>、CO和O</w:t>
      </w:r>
      <w:r>
        <w:rPr>
          <w:rFonts w:hint="default" w:ascii="Times New Roman" w:hAnsi="Times New Roman" w:cs="Times New Roman"/>
          <w:color w:val="000000" w:themeColor="text1"/>
          <w:sz w:val="24"/>
          <w:szCs w:val="24"/>
          <w:u w:val="none"/>
          <w:vertAlign w:val="subscript"/>
          <w14:textFill>
            <w14:solidFill>
              <w14:schemeClr w14:val="tx1"/>
            </w14:solidFill>
          </w14:textFill>
        </w:rPr>
        <w:t>3</w:t>
      </w:r>
      <w:r>
        <w:rPr>
          <w:rFonts w:hint="default" w:ascii="Times New Roman" w:hAnsi="Times New Roman" w:cs="Times New Roman"/>
          <w:color w:val="000000" w:themeColor="text1"/>
          <w:sz w:val="24"/>
          <w:szCs w:val="24"/>
          <w:u w:val="none"/>
          <w14:textFill>
            <w14:solidFill>
              <w14:schemeClr w14:val="tx1"/>
            </w14:solidFill>
          </w14:textFill>
        </w:rPr>
        <w:t>，六项污染物全部达标即为城市环境空气质量达标”。根据上表可知</w:t>
      </w:r>
      <w:r>
        <w:rPr>
          <w:rFonts w:hint="default" w:ascii="Times New Roman" w:hAnsi="Times New Roman" w:cs="Times New Roman"/>
          <w:color w:val="000000" w:themeColor="text1"/>
          <w:sz w:val="24"/>
          <w:szCs w:val="24"/>
          <w:u w:val="none"/>
          <w:lang w:eastAsia="zh-CN"/>
          <w14:textFill>
            <w14:solidFill>
              <w14:schemeClr w14:val="tx1"/>
            </w14:solidFill>
          </w14:textFill>
        </w:rPr>
        <w:t>，</w:t>
      </w:r>
      <w:r>
        <w:rPr>
          <w:rFonts w:hint="default" w:ascii="Times New Roman" w:hAnsi="Times New Roman" w:cs="Times New Roman"/>
          <w:color w:val="000000" w:themeColor="text1"/>
          <w:sz w:val="24"/>
          <w:szCs w:val="24"/>
          <w:u w:val="none"/>
          <w14:textFill>
            <w14:solidFill>
              <w14:schemeClr w14:val="tx1"/>
            </w14:solidFill>
          </w14:textFill>
        </w:rPr>
        <w:t>2019年PM</w:t>
      </w:r>
      <w:r>
        <w:rPr>
          <w:rFonts w:hint="default" w:ascii="Times New Roman" w:hAnsi="Times New Roman" w:cs="Times New Roman"/>
          <w:color w:val="000000" w:themeColor="text1"/>
          <w:sz w:val="24"/>
          <w:szCs w:val="24"/>
          <w:u w:val="none"/>
          <w:vertAlign w:val="subscript"/>
          <w14:textFill>
            <w14:solidFill>
              <w14:schemeClr w14:val="tx1"/>
            </w14:solidFill>
          </w14:textFill>
        </w:rPr>
        <w:t>2.5</w:t>
      </w:r>
      <w:r>
        <w:rPr>
          <w:rFonts w:hint="default" w:ascii="Times New Roman" w:hAnsi="Times New Roman" w:cs="Times New Roman"/>
          <w:color w:val="000000" w:themeColor="text1"/>
          <w:sz w:val="24"/>
          <w:szCs w:val="24"/>
          <w:u w:val="none"/>
          <w14:textFill>
            <w14:solidFill>
              <w14:schemeClr w14:val="tx1"/>
            </w14:solidFill>
          </w14:textFill>
        </w:rPr>
        <w:t>不满足《环境空气质量标准》（GB3095-2012）中的二级标准，属于不达标区。</w:t>
      </w:r>
    </w:p>
    <w:p>
      <w:pPr>
        <w:pStyle w:val="5"/>
        <w:rPr>
          <w:color w:val="000000" w:themeColor="text1"/>
          <w14:textFill>
            <w14:solidFill>
              <w14:schemeClr w14:val="tx1"/>
            </w14:solidFill>
          </w14:textFill>
        </w:rPr>
      </w:pPr>
      <w:bookmarkStart w:id="169" w:name="_Toc532497649"/>
      <w:r>
        <w:rPr>
          <w:color w:val="000000" w:themeColor="text1"/>
          <w14:textFill>
            <w14:solidFill>
              <w14:schemeClr w14:val="tx1"/>
            </w14:solidFill>
          </w14:textFill>
        </w:rPr>
        <w:t>特征因子监测数据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u w:val="single"/>
          <w14:textFill>
            <w14:solidFill>
              <w14:schemeClr w14:val="tx1"/>
            </w14:solidFill>
          </w14:textFill>
        </w:rPr>
      </w:pPr>
      <w:r>
        <w:rPr>
          <w:rFonts w:hint="default" w:ascii="Times New Roman" w:hAnsi="Times New Roman" w:cs="Times New Roman"/>
          <w:color w:val="000000" w:themeColor="text1"/>
          <w:sz w:val="24"/>
          <w:szCs w:val="24"/>
          <w:u w:val="single"/>
          <w14:textFill>
            <w14:solidFill>
              <w14:schemeClr w14:val="tx1"/>
            </w14:solidFill>
          </w14:textFill>
        </w:rPr>
        <w:t>为了解项目拟建地特征污染物TVOC的背景值，根据《环境影响评价技术导则—大气环境》（HJ2.2-2018）中 6.2.2.2要求：“评价范围内没有环境空气质量监测网数据或公开发布的环境空气质量现状监测数据的，可收集评价范围内近3年与项目排放的其他污染物有关的历史监测资料”。因此本项目委托宇相津准（湖南）环境检测有限公司于2020.08.20~2020.08.26对项目的附近的特征因子TVOC、非甲烷总烃进行监测，</w:t>
      </w:r>
      <w:r>
        <w:rPr>
          <w:rFonts w:hint="default" w:ascii="Times New Roman" w:hAnsi="Times New Roman" w:cs="Times New Roman"/>
          <w:color w:val="000000" w:themeColor="text1"/>
          <w:sz w:val="24"/>
          <w:szCs w:val="24"/>
          <w:u w:val="single"/>
          <w:lang w:eastAsia="zh-CN"/>
          <w14:textFill>
            <w14:solidFill>
              <w14:schemeClr w14:val="tx1"/>
            </w14:solidFill>
          </w14:textFill>
        </w:rPr>
        <w:t>于</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2020.12.21~2020.12.27对项目的附近的特征因子硫化氢和氨进行了监测，</w:t>
      </w:r>
      <w:r>
        <w:rPr>
          <w:rFonts w:hint="default" w:ascii="Times New Roman" w:hAnsi="Times New Roman" w:cs="Times New Roman"/>
          <w:color w:val="000000" w:themeColor="text1"/>
          <w:sz w:val="24"/>
          <w:szCs w:val="24"/>
          <w:u w:val="single"/>
          <w14:textFill>
            <w14:solidFill>
              <w14:schemeClr w14:val="tx1"/>
            </w14:solidFill>
          </w14:textFill>
        </w:rPr>
        <w:t>具体情况见下列所示。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000000" w:themeColor="text1"/>
          <w:sz w:val="24"/>
          <w:szCs w:val="24"/>
          <w:u w:val="single"/>
          <w14:textFill>
            <w14:solidFill>
              <w14:schemeClr w14:val="tx1"/>
            </w14:solidFill>
          </w14:textFill>
        </w:rPr>
      </w:pPr>
      <w:r>
        <w:rPr>
          <w:rFonts w:hint="eastAsia" w:cs="Times New Roman"/>
          <w:color w:val="000000" w:themeColor="text1"/>
          <w:sz w:val="24"/>
          <w:szCs w:val="24"/>
          <w:u w:val="single"/>
          <w:lang w:eastAsia="zh-CN"/>
          <w14:textFill>
            <w14:solidFill>
              <w14:schemeClr w14:val="tx1"/>
            </w14:solidFill>
          </w14:textFill>
        </w:rPr>
        <w:t>（</w:t>
      </w:r>
      <w:r>
        <w:rPr>
          <w:rFonts w:hint="eastAsia" w:cs="Times New Roman"/>
          <w:color w:val="000000" w:themeColor="text1"/>
          <w:sz w:val="24"/>
          <w:szCs w:val="24"/>
          <w:u w:val="single"/>
          <w:lang w:val="en-US" w:eastAsia="zh-CN"/>
          <w14:textFill>
            <w14:solidFill>
              <w14:schemeClr w14:val="tx1"/>
            </w14:solidFill>
          </w14:textFill>
        </w:rPr>
        <w:t>1</w:t>
      </w:r>
      <w:r>
        <w:rPr>
          <w:rFonts w:hint="eastAsia" w:cs="Times New Roman"/>
          <w:color w:val="000000" w:themeColor="text1"/>
          <w:sz w:val="24"/>
          <w:szCs w:val="24"/>
          <w:u w:val="single"/>
          <w:lang w:eastAsia="zh-CN"/>
          <w14:textFill>
            <w14:solidFill>
              <w14:schemeClr w14:val="tx1"/>
            </w14:solidFill>
          </w14:textFill>
        </w:rPr>
        <w:t>）</w:t>
      </w:r>
      <w:r>
        <w:rPr>
          <w:rFonts w:hint="default" w:ascii="Times New Roman" w:hAnsi="Times New Roman" w:cs="Times New Roman"/>
          <w:color w:val="000000" w:themeColor="text1"/>
          <w:sz w:val="24"/>
          <w:szCs w:val="24"/>
          <w:u w:val="single"/>
          <w14:textFill>
            <w14:solidFill>
              <w14:schemeClr w14:val="tx1"/>
            </w14:solidFill>
          </w14:textFill>
        </w:rPr>
        <w:t>监测布点：根据区域风频特征、综合考虑本地区环境功能、保护目标位置等因素共布置2个环境监测点，大气监测点的具体布设位置详见下表所示。由于本项目地厂区内接电有易燃易爆的风险，本次评价将位于项目厂区内的监测点移至上风向东北方向1.8km。</w:t>
      </w:r>
    </w:p>
    <w:p>
      <w:pPr>
        <w:pStyle w:val="14"/>
        <w:adjustRightInd w:val="0"/>
        <w:snapToGrid w:val="0"/>
        <w:spacing w:line="240" w:lineRule="auto"/>
        <w:rPr>
          <w:color w:val="000000" w:themeColor="text1"/>
          <w:u w:val="single"/>
          <w14:textFill>
            <w14:solidFill>
              <w14:schemeClr w14:val="tx1"/>
            </w14:solidFill>
          </w14:textFill>
        </w:rPr>
      </w:pPr>
      <w:r>
        <w:rPr>
          <w:color w:val="000000" w:themeColor="text1"/>
          <w:u w:val="single"/>
          <w14:textFill>
            <w14:solidFill>
              <w14:schemeClr w14:val="tx1"/>
            </w14:solidFill>
          </w14:textFill>
        </w:rPr>
        <w:t>表</w:t>
      </w:r>
      <w:r>
        <w:rPr>
          <w:color w:val="000000" w:themeColor="text1"/>
          <w:u w:val="single"/>
          <w14:textFill>
            <w14:solidFill>
              <w14:schemeClr w14:val="tx1"/>
            </w14:solidFill>
          </w14:textFill>
        </w:rPr>
        <w:fldChar w:fldCharType="begin"/>
      </w:r>
      <w:r>
        <w:rPr>
          <w:color w:val="000000" w:themeColor="text1"/>
          <w:u w:val="single"/>
          <w14:textFill>
            <w14:solidFill>
              <w14:schemeClr w14:val="tx1"/>
            </w14:solidFill>
          </w14:textFill>
        </w:rPr>
        <w:instrText xml:space="preserve"> STYLEREF 2 \s </w:instrText>
      </w:r>
      <w:r>
        <w:rPr>
          <w:color w:val="000000" w:themeColor="text1"/>
          <w:u w:val="single"/>
          <w14:textFill>
            <w14:solidFill>
              <w14:schemeClr w14:val="tx1"/>
            </w14:solidFill>
          </w14:textFill>
        </w:rPr>
        <w:fldChar w:fldCharType="separate"/>
      </w:r>
      <w:r>
        <w:rPr>
          <w:color w:val="000000" w:themeColor="text1"/>
          <w:u w:val="single"/>
          <w14:textFill>
            <w14:solidFill>
              <w14:schemeClr w14:val="tx1"/>
            </w14:solidFill>
          </w14:textFill>
        </w:rPr>
        <w:t>6</w:t>
      </w:r>
      <w:r>
        <w:rPr>
          <w:rFonts w:hint="eastAsia"/>
          <w:color w:val="000000" w:themeColor="text1"/>
          <w:u w:val="single"/>
          <w:lang w:val="en-US" w:eastAsia="zh-CN"/>
          <w14:textFill>
            <w14:solidFill>
              <w14:schemeClr w14:val="tx1"/>
            </w14:solidFill>
          </w14:textFill>
        </w:rPr>
        <w:t>.</w:t>
      </w:r>
      <w:r>
        <w:rPr>
          <w:color w:val="000000" w:themeColor="text1"/>
          <w:u w:val="single"/>
          <w14:textFill>
            <w14:solidFill>
              <w14:schemeClr w14:val="tx1"/>
            </w14:solidFill>
          </w14:textFill>
        </w:rPr>
        <w:t>2</w:t>
      </w:r>
      <w:r>
        <w:rPr>
          <w:color w:val="000000" w:themeColor="text1"/>
          <w:u w:val="single"/>
          <w14:textFill>
            <w14:solidFill>
              <w14:schemeClr w14:val="tx1"/>
            </w14:solidFill>
          </w14:textFill>
        </w:rPr>
        <w:fldChar w:fldCharType="end"/>
      </w:r>
      <w:r>
        <w:rPr>
          <w:color w:val="000000" w:themeColor="text1"/>
          <w:u w:val="single"/>
          <w14:textFill>
            <w14:solidFill>
              <w14:schemeClr w14:val="tx1"/>
            </w14:solidFill>
          </w14:textFill>
        </w:rPr>
        <w:noBreakHyphen/>
      </w:r>
      <w:r>
        <w:rPr>
          <w:color w:val="000000" w:themeColor="text1"/>
          <w:u w:val="single"/>
          <w14:textFill>
            <w14:solidFill>
              <w14:schemeClr w14:val="tx1"/>
            </w14:solidFill>
          </w14:textFill>
        </w:rPr>
        <w:fldChar w:fldCharType="begin"/>
      </w:r>
      <w:r>
        <w:rPr>
          <w:color w:val="000000" w:themeColor="text1"/>
          <w:u w:val="single"/>
          <w14:textFill>
            <w14:solidFill>
              <w14:schemeClr w14:val="tx1"/>
            </w14:solidFill>
          </w14:textFill>
        </w:rPr>
        <w:instrText xml:space="preserve"> SEQ 表 \* ARABIC \s 2 </w:instrText>
      </w:r>
      <w:r>
        <w:rPr>
          <w:color w:val="000000" w:themeColor="text1"/>
          <w:u w:val="single"/>
          <w14:textFill>
            <w14:solidFill>
              <w14:schemeClr w14:val="tx1"/>
            </w14:solidFill>
          </w14:textFill>
        </w:rPr>
        <w:fldChar w:fldCharType="separate"/>
      </w:r>
      <w:r>
        <w:rPr>
          <w:color w:val="000000" w:themeColor="text1"/>
          <w:u w:val="single"/>
          <w14:textFill>
            <w14:solidFill>
              <w14:schemeClr w14:val="tx1"/>
            </w14:solidFill>
          </w14:textFill>
        </w:rPr>
        <w:t>2</w:t>
      </w:r>
      <w:r>
        <w:rPr>
          <w:color w:val="000000" w:themeColor="text1"/>
          <w:u w:val="single"/>
          <w14:textFill>
            <w14:solidFill>
              <w14:schemeClr w14:val="tx1"/>
            </w14:solidFill>
          </w14:textFill>
        </w:rPr>
        <w:fldChar w:fldCharType="end"/>
      </w:r>
      <w:r>
        <w:rPr>
          <w:color w:val="000000" w:themeColor="text1"/>
          <w:u w:val="single"/>
          <w14:textFill>
            <w14:solidFill>
              <w14:schemeClr w14:val="tx1"/>
            </w14:solidFill>
          </w14:textFill>
        </w:rPr>
        <w:t xml:space="preserve">  大气环境现状监测布点</w:t>
      </w:r>
    </w:p>
    <w:tbl>
      <w:tblPr>
        <w:tblStyle w:val="41"/>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94"/>
        <w:gridCol w:w="1789"/>
        <w:gridCol w:w="3545"/>
        <w:gridCol w:w="25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606" w:type="pct"/>
            <w:tcBorders>
              <w:top w:val="single" w:color="000000" w:sz="12" w:space="0"/>
              <w:left w:val="nil"/>
              <w:bottom w:val="single" w:color="000000" w:sz="6" w:space="0"/>
              <w:right w:val="single" w:color="000000" w:sz="6" w:space="0"/>
            </w:tcBorders>
            <w:noWrap w:val="0"/>
            <w:vAlign w:val="center"/>
          </w:tcPr>
          <w:p>
            <w:pPr>
              <w:pStyle w:val="112"/>
              <w:keepNext w:val="0"/>
              <w:keepLines w:val="0"/>
              <w:suppressLineNumbers w:val="0"/>
              <w:adjustRightInd w:val="0"/>
              <w:snapToGrid w:val="0"/>
              <w:spacing w:before="21" w:beforeAutospacing="0" w:after="0" w:afterAutospacing="0" w:line="268" w:lineRule="exact"/>
              <w:ind w:left="281" w:right="254"/>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序号</w:t>
            </w:r>
          </w:p>
        </w:tc>
        <w:tc>
          <w:tcPr>
            <w:tcW w:w="991" w:type="pct"/>
            <w:tcBorders>
              <w:top w:val="single" w:color="000000" w:sz="12" w:space="0"/>
              <w:left w:val="nil"/>
              <w:bottom w:val="single" w:color="000000" w:sz="6" w:space="0"/>
              <w:right w:val="single" w:color="000000" w:sz="6" w:space="0"/>
            </w:tcBorders>
            <w:noWrap w:val="0"/>
            <w:vAlign w:val="center"/>
          </w:tcPr>
          <w:p>
            <w:pPr>
              <w:pStyle w:val="112"/>
              <w:keepNext w:val="0"/>
              <w:keepLines w:val="0"/>
              <w:suppressLineNumbers w:val="0"/>
              <w:adjustRightInd w:val="0"/>
              <w:snapToGrid w:val="0"/>
              <w:spacing w:before="21" w:beforeAutospacing="0" w:after="0" w:afterAutospacing="0" w:line="268" w:lineRule="exact"/>
              <w:ind w:left="0" w:right="509"/>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监测点位置</w:t>
            </w:r>
          </w:p>
        </w:tc>
        <w:tc>
          <w:tcPr>
            <w:tcW w:w="1964" w:type="pct"/>
            <w:tcBorders>
              <w:top w:val="single" w:color="000000" w:sz="12" w:space="0"/>
              <w:left w:val="nil"/>
              <w:bottom w:val="single" w:color="000000" w:sz="6" w:space="0"/>
              <w:right w:val="single" w:color="000000" w:sz="6" w:space="0"/>
            </w:tcBorders>
            <w:noWrap w:val="0"/>
            <w:vAlign w:val="center"/>
          </w:tcPr>
          <w:p>
            <w:pPr>
              <w:pStyle w:val="112"/>
              <w:keepNext w:val="0"/>
              <w:keepLines w:val="0"/>
              <w:suppressLineNumbers w:val="0"/>
              <w:adjustRightInd w:val="0"/>
              <w:snapToGrid w:val="0"/>
              <w:spacing w:before="21" w:beforeAutospacing="0" w:after="0" w:afterAutospacing="0" w:line="268" w:lineRule="exact"/>
              <w:ind w:left="192" w:right="160"/>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监测点方位、距离</w:t>
            </w:r>
          </w:p>
        </w:tc>
        <w:tc>
          <w:tcPr>
            <w:tcW w:w="1439" w:type="pct"/>
            <w:tcBorders>
              <w:top w:val="single" w:color="000000" w:sz="12" w:space="0"/>
              <w:left w:val="nil"/>
              <w:bottom w:val="single" w:color="000000" w:sz="6" w:space="0"/>
              <w:right w:val="nil"/>
            </w:tcBorders>
            <w:noWrap w:val="0"/>
            <w:vAlign w:val="center"/>
          </w:tcPr>
          <w:p>
            <w:pPr>
              <w:pStyle w:val="112"/>
              <w:keepNext w:val="0"/>
              <w:keepLines w:val="0"/>
              <w:suppressLineNumbers w:val="0"/>
              <w:adjustRightInd w:val="0"/>
              <w:snapToGrid w:val="0"/>
              <w:spacing w:before="21" w:beforeAutospacing="0" w:after="0" w:afterAutospacing="0" w:line="268" w:lineRule="exact"/>
              <w:ind w:left="210" w:right="177"/>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3" w:hRule="atLeast"/>
        </w:trPr>
        <w:tc>
          <w:tcPr>
            <w:tcW w:w="606" w:type="pct"/>
            <w:tcBorders>
              <w:top w:val="single" w:color="000000" w:sz="6" w:space="0"/>
              <w:left w:val="nil"/>
              <w:bottom w:val="single" w:color="000000" w:sz="6" w:space="0"/>
              <w:right w:val="single" w:color="000000" w:sz="6" w:space="0"/>
            </w:tcBorders>
            <w:noWrap w:val="0"/>
            <w:vAlign w:val="center"/>
          </w:tcPr>
          <w:p>
            <w:pPr>
              <w:pStyle w:val="112"/>
              <w:keepNext w:val="0"/>
              <w:keepLines w:val="0"/>
              <w:suppressLineNumbers w:val="0"/>
              <w:adjustRightInd w:val="0"/>
              <w:snapToGrid w:val="0"/>
              <w:spacing w:before="34" w:beforeAutospacing="0" w:after="0" w:afterAutospacing="0"/>
              <w:ind w:left="274" w:right="254"/>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G1</w:t>
            </w:r>
          </w:p>
        </w:tc>
        <w:tc>
          <w:tcPr>
            <w:tcW w:w="991" w:type="pct"/>
            <w:tcBorders>
              <w:top w:val="single" w:color="000000" w:sz="6" w:space="0"/>
              <w:left w:val="nil"/>
              <w:bottom w:val="single" w:color="000000" w:sz="6" w:space="0"/>
              <w:right w:val="single" w:color="000000" w:sz="6"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项目的上风向</w:t>
            </w:r>
          </w:p>
        </w:tc>
        <w:tc>
          <w:tcPr>
            <w:tcW w:w="1964" w:type="pct"/>
            <w:tcBorders>
              <w:top w:val="single" w:color="000000" w:sz="6" w:space="0"/>
              <w:left w:val="nil"/>
              <w:bottom w:val="single" w:color="000000" w:sz="6" w:space="0"/>
              <w:right w:val="single" w:color="000000" w:sz="6"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距离项目地上风向东北方向1.8km</w:t>
            </w:r>
          </w:p>
        </w:tc>
        <w:tc>
          <w:tcPr>
            <w:tcW w:w="1439" w:type="pct"/>
            <w:tcBorders>
              <w:top w:val="single" w:color="000000" w:sz="6" w:space="0"/>
              <w:left w:val="nil"/>
              <w:bottom w:val="single" w:color="000000" w:sz="6" w:space="0"/>
              <w:right w:val="nil"/>
            </w:tcBorders>
            <w:noWrap w:val="0"/>
            <w:vAlign w:val="center"/>
          </w:tcPr>
          <w:p>
            <w:pPr>
              <w:pStyle w:val="112"/>
              <w:keepNext w:val="0"/>
              <w:keepLines w:val="0"/>
              <w:suppressLineNumbers w:val="0"/>
              <w:adjustRightInd w:val="0"/>
              <w:snapToGrid w:val="0"/>
              <w:spacing w:before="24" w:beforeAutospacing="0" w:after="0" w:afterAutospacing="0" w:line="269" w:lineRule="exact"/>
              <w:ind w:left="210" w:right="178"/>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常年主导风向上风向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606" w:type="pct"/>
            <w:tcBorders>
              <w:top w:val="single" w:color="000000" w:sz="6" w:space="0"/>
              <w:left w:val="nil"/>
              <w:bottom w:val="single" w:color="000000" w:sz="12" w:space="0"/>
              <w:right w:val="single" w:color="000000" w:sz="6" w:space="0"/>
            </w:tcBorders>
            <w:noWrap w:val="0"/>
            <w:vAlign w:val="center"/>
          </w:tcPr>
          <w:p>
            <w:pPr>
              <w:pStyle w:val="112"/>
              <w:keepNext w:val="0"/>
              <w:keepLines w:val="0"/>
              <w:suppressLineNumbers w:val="0"/>
              <w:adjustRightInd w:val="0"/>
              <w:snapToGrid w:val="0"/>
              <w:spacing w:before="35" w:beforeAutospacing="0" w:after="0" w:afterAutospacing="0"/>
              <w:ind w:left="274" w:right="254"/>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G2</w:t>
            </w:r>
          </w:p>
        </w:tc>
        <w:tc>
          <w:tcPr>
            <w:tcW w:w="991" w:type="pct"/>
            <w:tcBorders>
              <w:top w:val="single" w:color="000000" w:sz="6" w:space="0"/>
              <w:left w:val="nil"/>
              <w:bottom w:val="single" w:color="000000" w:sz="12" w:space="0"/>
              <w:right w:val="single" w:color="000000" w:sz="6"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皮匠坡居民点</w:t>
            </w:r>
          </w:p>
        </w:tc>
        <w:tc>
          <w:tcPr>
            <w:tcW w:w="1964" w:type="pct"/>
            <w:tcBorders>
              <w:top w:val="single" w:color="000000" w:sz="6" w:space="0"/>
              <w:left w:val="nil"/>
              <w:bottom w:val="single" w:color="000000" w:sz="12" w:space="0"/>
              <w:right w:val="single" w:color="000000" w:sz="6"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u w:val="single"/>
                <w14:textFill>
                  <w14:solidFill>
                    <w14:schemeClr w14:val="tx1"/>
                  </w14:solidFill>
                </w14:textFill>
              </w:rPr>
            </w:pPr>
            <w:r>
              <w:rPr>
                <w:rFonts w:eastAsia="宋体" w:cs="Times New Roman"/>
                <w:color w:val="000000" w:themeColor="text1"/>
                <w:sz w:val="21"/>
                <w:u w:val="single"/>
                <w14:textFill>
                  <w14:solidFill>
                    <w14:schemeClr w14:val="tx1"/>
                  </w14:solidFill>
                </w14:textFill>
              </w:rPr>
              <w:t>距离项目下风向西南方向1.24km</w:t>
            </w:r>
          </w:p>
        </w:tc>
        <w:tc>
          <w:tcPr>
            <w:tcW w:w="1439" w:type="pct"/>
            <w:tcBorders>
              <w:top w:val="single" w:color="000000" w:sz="6" w:space="0"/>
              <w:left w:val="nil"/>
              <w:bottom w:val="single" w:color="000000" w:sz="12" w:space="0"/>
              <w:right w:val="nil"/>
            </w:tcBorders>
            <w:noWrap w:val="0"/>
            <w:vAlign w:val="center"/>
          </w:tcPr>
          <w:p>
            <w:pPr>
              <w:pStyle w:val="112"/>
              <w:keepNext w:val="0"/>
              <w:keepLines w:val="0"/>
              <w:suppressLineNumbers w:val="0"/>
              <w:adjustRightInd w:val="0"/>
              <w:snapToGrid w:val="0"/>
              <w:spacing w:before="25" w:beforeAutospacing="0" w:after="0" w:afterAutospacing="0"/>
              <w:ind w:left="210" w:right="178"/>
              <w:rPr>
                <w:rFonts w:ascii="Times New Roman" w:hAnsi="Times New Roman" w:cs="Times New Roman"/>
                <w:color w:val="000000" w:themeColor="text1"/>
                <w:sz w:val="21"/>
                <w:szCs w:val="21"/>
                <w:u w:val="single"/>
                <w14:textFill>
                  <w14:solidFill>
                    <w14:schemeClr w14:val="tx1"/>
                  </w14:solidFill>
                </w14:textFill>
              </w:rPr>
            </w:pPr>
            <w:r>
              <w:rPr>
                <w:rFonts w:ascii="Times New Roman" w:hAnsi="Times New Roman" w:cs="Times New Roman"/>
                <w:color w:val="000000" w:themeColor="text1"/>
                <w:sz w:val="21"/>
                <w:szCs w:val="21"/>
                <w:u w:val="single"/>
                <w14:textFill>
                  <w14:solidFill>
                    <w14:schemeClr w14:val="tx1"/>
                  </w14:solidFill>
                </w14:textFill>
              </w:rPr>
              <w:t>常年主导风向下风向</w:t>
            </w:r>
          </w:p>
        </w:tc>
      </w:tr>
    </w:tbl>
    <w:p>
      <w:pPr>
        <w:pStyle w:val="101"/>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eastAsia="宋体"/>
          <w:color w:val="000000" w:themeColor="text1"/>
          <w:u w:val="single"/>
          <w:lang w:val="en-US" w:eastAsia="zh-CN"/>
          <w14:textFill>
            <w14:solidFill>
              <w14:schemeClr w14:val="tx1"/>
            </w14:solidFill>
          </w14:textFill>
        </w:rPr>
      </w:pPr>
      <w:r>
        <w:rPr>
          <w:color w:val="000000" w:themeColor="text1"/>
          <w:u w:val="single"/>
          <w14:textFill>
            <w14:solidFill>
              <w14:schemeClr w14:val="tx1"/>
            </w14:solidFill>
          </w14:textFill>
        </w:rPr>
        <w:t>（2）监测时间：TVOC</w:t>
      </w:r>
      <w:r>
        <w:rPr>
          <w:rStyle w:val="45"/>
          <w:rFonts w:hint="eastAsia"/>
          <w:color w:val="000000" w:themeColor="text1"/>
          <w:u w:val="single"/>
          <w:lang w:val="en-US" w:eastAsia="zh-CN"/>
          <w14:textFill>
            <w14:solidFill>
              <w14:schemeClr w14:val="tx1"/>
            </w14:solidFill>
          </w14:textFill>
        </w:rPr>
        <w:t>和</w:t>
      </w:r>
      <w:r>
        <w:rPr>
          <w:rStyle w:val="45"/>
          <w:color w:val="000000" w:themeColor="text1"/>
          <w:sz w:val="24"/>
          <w:szCs w:val="24"/>
          <w:u w:val="single"/>
          <w14:textFill>
            <w14:solidFill>
              <w14:schemeClr w14:val="tx1"/>
            </w14:solidFill>
          </w14:textFill>
        </w:rPr>
        <w:t>非甲烷总烃</w:t>
      </w:r>
      <w:r>
        <w:rPr>
          <w:color w:val="000000" w:themeColor="text1"/>
          <w:u w:val="single"/>
          <w14:textFill>
            <w14:solidFill>
              <w14:schemeClr w14:val="tx1"/>
            </w14:solidFill>
          </w14:textFill>
        </w:rPr>
        <w:t>2020年8月20日~2020年8月26日，连续监测7天</w:t>
      </w:r>
      <w:r>
        <w:rPr>
          <w:rFonts w:hint="eastAsia"/>
          <w:color w:val="000000" w:themeColor="text1"/>
          <w:u w:val="single"/>
          <w:lang w:eastAsia="zh-CN"/>
          <w14:textFill>
            <w14:solidFill>
              <w14:schemeClr w14:val="tx1"/>
            </w14:solidFill>
          </w14:textFill>
        </w:rPr>
        <w:t>；</w:t>
      </w:r>
      <w:r>
        <w:rPr>
          <w:rStyle w:val="45"/>
          <w:rFonts w:hint="eastAsia"/>
          <w:color w:val="000000" w:themeColor="text1"/>
          <w:sz w:val="24"/>
          <w:szCs w:val="24"/>
          <w:u w:val="single"/>
          <w:lang w:eastAsia="zh-CN"/>
          <w14:textFill>
            <w14:solidFill>
              <w14:schemeClr w14:val="tx1"/>
            </w14:solidFill>
          </w14:textFill>
        </w:rPr>
        <w:t>硫化氢</w:t>
      </w:r>
      <w:r>
        <w:rPr>
          <w:rStyle w:val="45"/>
          <w:rFonts w:hint="eastAsia"/>
          <w:color w:val="000000" w:themeColor="text1"/>
          <w:sz w:val="24"/>
          <w:szCs w:val="24"/>
          <w:u w:val="single"/>
          <w:lang w:val="en-US" w:eastAsia="zh-CN"/>
          <w14:textFill>
            <w14:solidFill>
              <w14:schemeClr w14:val="tx1"/>
            </w14:solidFill>
          </w14:textFill>
        </w:rPr>
        <w:t>和</w:t>
      </w:r>
      <w:r>
        <w:rPr>
          <w:rStyle w:val="45"/>
          <w:rFonts w:hint="eastAsia"/>
          <w:color w:val="000000" w:themeColor="text1"/>
          <w:sz w:val="24"/>
          <w:szCs w:val="24"/>
          <w:u w:val="single"/>
          <w:lang w:eastAsia="zh-CN"/>
          <w14:textFill>
            <w14:solidFill>
              <w14:schemeClr w14:val="tx1"/>
            </w14:solidFill>
          </w14:textFill>
        </w:rPr>
        <w:t>氨</w:t>
      </w:r>
      <w:r>
        <w:rPr>
          <w:rStyle w:val="45"/>
          <w:rFonts w:hint="eastAsia"/>
          <w:color w:val="000000" w:themeColor="text1"/>
          <w:sz w:val="24"/>
          <w:szCs w:val="24"/>
          <w:u w:val="single"/>
          <w:lang w:val="en-US" w:eastAsia="zh-CN"/>
          <w14:textFill>
            <w14:solidFill>
              <w14:schemeClr w14:val="tx1"/>
            </w14:solidFill>
          </w14:textFill>
        </w:rPr>
        <w:t>2020年12月21日~2020年12月27日，连续监测7天。</w:t>
      </w:r>
    </w:p>
    <w:p>
      <w:pPr>
        <w:pStyle w:val="101"/>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（3）监测因子：TVOC</w:t>
      </w:r>
      <w:r>
        <w:rPr>
          <w:rStyle w:val="45"/>
          <w:color w:val="000000" w:themeColor="text1"/>
          <w:u w:val="single"/>
          <w14:textFill>
            <w14:solidFill>
              <w14:schemeClr w14:val="tx1"/>
            </w14:solidFill>
          </w14:textFill>
        </w:rPr>
        <w:t>、</w:t>
      </w:r>
      <w:r>
        <w:rPr>
          <w:rStyle w:val="45"/>
          <w:color w:val="000000" w:themeColor="text1"/>
          <w:sz w:val="24"/>
          <w:szCs w:val="24"/>
          <w:u w:val="single"/>
          <w14:textFill>
            <w14:solidFill>
              <w14:schemeClr w14:val="tx1"/>
            </w14:solidFill>
          </w14:textFill>
        </w:rPr>
        <w:t>非甲烷总烃</w:t>
      </w:r>
      <w:r>
        <w:rPr>
          <w:rStyle w:val="45"/>
          <w:rFonts w:hint="eastAsia"/>
          <w:color w:val="000000" w:themeColor="text1"/>
          <w:sz w:val="24"/>
          <w:szCs w:val="24"/>
          <w:u w:val="single"/>
          <w:lang w:eastAsia="zh-CN"/>
          <w14:textFill>
            <w14:solidFill>
              <w14:schemeClr w14:val="tx1"/>
            </w14:solidFill>
          </w14:textFill>
        </w:rPr>
        <w:t>、硫化氢、氨</w:t>
      </w:r>
      <w:r>
        <w:rPr>
          <w:rStyle w:val="45"/>
          <w:color w:val="000000" w:themeColor="text1"/>
          <w:sz w:val="24"/>
          <w:szCs w:val="24"/>
          <w:u w:val="single"/>
          <w14:textFill>
            <w14:solidFill>
              <w14:schemeClr w14:val="tx1"/>
            </w14:solidFill>
          </w14:textFill>
        </w:rPr>
        <w:t>。</w:t>
      </w:r>
    </w:p>
    <w:p>
      <w:pPr>
        <w:pStyle w:val="101"/>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eastAsia="宋体"/>
          <w:color w:val="000000" w:themeColor="text1"/>
          <w:sz w:val="24"/>
          <w:szCs w:val="24"/>
          <w:u w:val="single"/>
          <w:lang w:val="en-US" w:eastAsia="zh-CN"/>
          <w14:textFill>
            <w14:solidFill>
              <w14:schemeClr w14:val="tx1"/>
            </w14:solidFill>
          </w14:textFill>
        </w:rPr>
      </w:pPr>
      <w:r>
        <w:rPr>
          <w:color w:val="000000" w:themeColor="text1"/>
          <w:u w:val="single"/>
          <w14:textFill>
            <w14:solidFill>
              <w14:schemeClr w14:val="tx1"/>
            </w14:solidFill>
          </w14:textFill>
        </w:rPr>
        <w:t>（4）</w:t>
      </w:r>
      <w:r>
        <w:rPr>
          <w:rFonts w:hint="eastAsia"/>
          <w:color w:val="000000" w:themeColor="text1"/>
          <w:u w:val="single"/>
          <w:lang w:eastAsia="zh-CN"/>
          <w14:textFill>
            <w14:solidFill>
              <w14:schemeClr w14:val="tx1"/>
            </w14:solidFill>
          </w14:textFill>
        </w:rPr>
        <w:t>监测方法：</w:t>
      </w:r>
      <w:r>
        <w:rPr>
          <w:rFonts w:hint="eastAsia"/>
          <w:color w:val="000000" w:themeColor="text1"/>
          <w:u w:val="single"/>
          <w:lang w:val="en-US" w:eastAsia="zh-CN"/>
          <w14:textFill>
            <w14:solidFill>
              <w14:schemeClr w14:val="tx1"/>
            </w14:solidFill>
          </w14:textFill>
        </w:rPr>
        <w:t>TVOC采用</w:t>
      </w:r>
      <w:r>
        <w:rPr>
          <w:rFonts w:hint="eastAsia"/>
          <w:color w:val="000000" w:themeColor="text1"/>
          <w:u w:val="single"/>
          <w:lang w:eastAsia="zh-CN"/>
          <w14:textFill>
            <w14:solidFill>
              <w14:schemeClr w14:val="tx1"/>
            </w14:solidFill>
          </w14:textFill>
        </w:rPr>
        <w:t>《室内空气质量标准》</w:t>
      </w:r>
      <w:r>
        <w:rPr>
          <w:rFonts w:hint="eastAsia"/>
          <w:color w:val="000000" w:themeColor="text1"/>
          <w:spacing w:val="6"/>
          <w:sz w:val="24"/>
          <w:szCs w:val="24"/>
          <w:u w:val="single"/>
          <w:lang w:val="en-US" w:eastAsia="zh-CN" w:bidi="ar"/>
          <w14:textFill>
            <w14:solidFill>
              <w14:schemeClr w14:val="tx1"/>
            </w14:solidFill>
          </w14:textFill>
        </w:rPr>
        <w:t>（附录C热解吸/毛细管气相色谱法）</w:t>
      </w:r>
      <w:r>
        <w:rPr>
          <w:rFonts w:hint="eastAsia"/>
          <w:color w:val="000000" w:themeColor="text1"/>
          <w:sz w:val="24"/>
          <w:szCs w:val="24"/>
          <w:u w:val="single"/>
          <w:lang w:val="en-US" w:eastAsia="zh-CN"/>
          <w14:textFill>
            <w14:solidFill>
              <w14:schemeClr w14:val="tx1"/>
            </w14:solidFill>
          </w14:textFill>
        </w:rPr>
        <w:t>GB/T18883-2002的相关要求的检测方法。非甲烷总烃采用《环境空气 总烃、甲烷和非甲烷总烃的测定  直接进样—气相色谱法》HJ60-2017的相关要求的检测方法。硫化氢采用《空气和废气监测分析方法》（第三篇、第一章、十一二亚甲基蓝分光光度法）（第四版—增补版）国家环境保护总局（2017年）的相关要求的检测方法。氨采用《环境空气和废气  氨的测定  纳氏试剂分光光度法》（HJ533-2009）的相关要求的检测方法。</w:t>
      </w:r>
    </w:p>
    <w:p>
      <w:pPr>
        <w:pStyle w:val="101"/>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eastAsia="宋体"/>
          <w:color w:val="000000" w:themeColor="text1"/>
          <w:u w:val="single"/>
          <w:lang w:val="en-US" w:eastAsia="zh-CN"/>
          <w14:textFill>
            <w14:solidFill>
              <w14:schemeClr w14:val="tx1"/>
            </w14:solidFill>
          </w14:textFill>
        </w:rPr>
      </w:pPr>
      <w:r>
        <w:rPr>
          <w:rFonts w:hint="eastAsia"/>
          <w:color w:val="000000" w:themeColor="text1"/>
          <w:sz w:val="24"/>
          <w:szCs w:val="24"/>
          <w:u w:val="single"/>
          <w:lang w:eastAsia="zh-CN"/>
          <w14:textFill>
            <w14:solidFill>
              <w14:schemeClr w14:val="tx1"/>
            </w14:solidFill>
          </w14:textFill>
        </w:rPr>
        <w:t>（</w:t>
      </w:r>
      <w:r>
        <w:rPr>
          <w:rFonts w:hint="eastAsia"/>
          <w:color w:val="000000" w:themeColor="text1"/>
          <w:sz w:val="24"/>
          <w:szCs w:val="24"/>
          <w:u w:val="single"/>
          <w:lang w:val="en-US" w:eastAsia="zh-CN"/>
          <w14:textFill>
            <w14:solidFill>
              <w14:schemeClr w14:val="tx1"/>
            </w14:solidFill>
          </w14:textFill>
        </w:rPr>
        <w:t>5</w:t>
      </w:r>
      <w:r>
        <w:rPr>
          <w:rFonts w:hint="eastAsia"/>
          <w:color w:val="000000" w:themeColor="text1"/>
          <w:sz w:val="24"/>
          <w:szCs w:val="24"/>
          <w:u w:val="single"/>
          <w:lang w:eastAsia="zh-CN"/>
          <w14:textFill>
            <w14:solidFill>
              <w14:schemeClr w14:val="tx1"/>
            </w14:solidFill>
          </w14:textFill>
        </w:rPr>
        <w:t>）</w:t>
      </w:r>
      <w:r>
        <w:rPr>
          <w:color w:val="000000" w:themeColor="text1"/>
          <w:sz w:val="24"/>
          <w:szCs w:val="24"/>
          <w:u w:val="single"/>
          <w14:textFill>
            <w14:solidFill>
              <w14:schemeClr w14:val="tx1"/>
            </w14:solidFill>
          </w14:textFill>
        </w:rPr>
        <w:t>评价标准：TVOC参照执行《环境影响评价技术导则—大气环境》（HJ2.2-2018）附录D中的浓度限值，非甲烷总烃参照</w:t>
      </w:r>
      <w:r>
        <w:rPr>
          <w:color w:val="000000" w:themeColor="text1"/>
          <w:spacing w:val="6"/>
          <w:sz w:val="24"/>
          <w:szCs w:val="24"/>
          <w:u w:val="single"/>
          <w:lang w:bidi="ar"/>
          <w14:textFill>
            <w14:solidFill>
              <w14:schemeClr w14:val="tx1"/>
            </w14:solidFill>
          </w14:textFill>
        </w:rPr>
        <w:t>《大气综合污染综合排放标准详解》中取值。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u w:val="single"/>
          <w14:textFill>
            <w14:solidFill>
              <w14:schemeClr w14:val="tx1"/>
            </w14:solidFill>
          </w14:textFill>
        </w:rPr>
      </w:pPr>
      <w:r>
        <w:rPr>
          <w:color w:val="000000" w:themeColor="text1"/>
          <w:u w:val="single"/>
          <w14:textFill>
            <w14:solidFill>
              <w14:schemeClr w14:val="tx1"/>
            </w14:solidFill>
          </w14:textFill>
        </w:rPr>
        <w:t>（</w:t>
      </w:r>
      <w:r>
        <w:rPr>
          <w:rFonts w:hint="eastAsia"/>
          <w:color w:val="000000" w:themeColor="text1"/>
          <w:u w:val="single"/>
          <w:lang w:val="en-US" w:eastAsia="zh-CN"/>
          <w14:textFill>
            <w14:solidFill>
              <w14:schemeClr w14:val="tx1"/>
            </w14:solidFill>
          </w14:textFill>
        </w:rPr>
        <w:t>6</w:t>
      </w:r>
      <w:r>
        <w:rPr>
          <w:color w:val="000000" w:themeColor="text1"/>
          <w:u w:val="single"/>
          <w14:textFill>
            <w14:solidFill>
              <w14:schemeClr w14:val="tx1"/>
            </w14:solidFill>
          </w14:textFill>
        </w:rPr>
        <w:t>）监测及评价结果：</w:t>
      </w:r>
    </w:p>
    <w:p>
      <w:pPr>
        <w:rPr>
          <w:b/>
          <w:color w:val="000000" w:themeColor="text1"/>
          <w:u w:val="single"/>
          <w14:textFill>
            <w14:solidFill>
              <w14:schemeClr w14:val="tx1"/>
            </w14:solidFill>
          </w14:textFill>
        </w:rPr>
      </w:pPr>
      <w:r>
        <w:rPr>
          <w:b/>
          <w:color w:val="000000" w:themeColor="text1"/>
          <w:u w:val="single"/>
          <w14:textFill>
            <w14:solidFill>
              <w14:schemeClr w14:val="tx1"/>
            </w14:solidFill>
          </w14:textFill>
        </w:rPr>
        <w:br w:type="page"/>
      </w:r>
    </w:p>
    <w:p>
      <w:pPr>
        <w:keepNext/>
        <w:jc w:val="center"/>
        <w:rPr>
          <w:b/>
          <w:color w:val="000000" w:themeColor="text1"/>
          <w:u w:val="single"/>
          <w14:textFill>
            <w14:solidFill>
              <w14:schemeClr w14:val="tx1"/>
            </w14:solidFill>
          </w14:textFill>
        </w:rPr>
      </w:pPr>
      <w:r>
        <w:rPr>
          <w:b/>
          <w:color w:val="000000" w:themeColor="text1"/>
          <w:u w:val="single"/>
          <w14:textFill>
            <w14:solidFill>
              <w14:schemeClr w14:val="tx1"/>
            </w14:solidFill>
          </w14:textFill>
        </w:rPr>
        <w:t>表</w:t>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STYLEREF 2 \s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6</w:t>
      </w:r>
      <w:r>
        <w:rPr>
          <w:rFonts w:hint="eastAsia"/>
          <w:b/>
          <w:color w:val="000000" w:themeColor="text1"/>
          <w:u w:val="single"/>
          <w:lang w:val="en-US" w:eastAsia="zh-CN"/>
          <w14:textFill>
            <w14:solidFill>
              <w14:schemeClr w14:val="tx1"/>
            </w14:solidFill>
          </w14:textFill>
        </w:rPr>
        <w:t>.</w:t>
      </w:r>
      <w:r>
        <w:rPr>
          <w:b/>
          <w:color w:val="000000" w:themeColor="text1"/>
          <w:u w:val="single"/>
          <w14:textFill>
            <w14:solidFill>
              <w14:schemeClr w14:val="tx1"/>
            </w14:solidFill>
          </w14:textFill>
        </w:rPr>
        <w:t>2</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noBreakHyphen/>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SEQ 表 \* ARABIC \s 2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3</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t xml:space="preserve">  现状调查监测统计结果</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991"/>
        <w:gridCol w:w="775"/>
        <w:gridCol w:w="1165"/>
        <w:gridCol w:w="1165"/>
        <w:gridCol w:w="1040"/>
        <w:gridCol w:w="708"/>
        <w:gridCol w:w="596"/>
        <w:gridCol w:w="931"/>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8"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采样时间</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检测项目</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单位</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G1项目地上风向</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G2皮匠坡居民点</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标准值</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标准指数</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超标率</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最大超标倍数</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Cs/>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bCs/>
                <w:color w:val="000000" w:themeColor="text1"/>
                <w:sz w:val="21"/>
                <w:szCs w:val="21"/>
                <w:u w:val="single"/>
                <w:lang w:bidi="ar"/>
                <w14:textFill>
                  <w14:solidFill>
                    <w14:schemeClr w14:val="tx1"/>
                  </w14:solidFill>
                </w14:textFill>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62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2020.08.20</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非甲烷总烃</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mg/m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1.76</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1.34</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0.88</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总挥发性有机物</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2.8</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29.0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600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0.05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628"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lang w:val="en-US" w:eastAsia="zh-CN"/>
                <w14:textFill>
                  <w14:solidFill>
                    <w14:schemeClr w14:val="tx1"/>
                  </w14:solidFill>
                </w14:textFill>
              </w:rPr>
              <w:t>2020.12.21</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硫化氢</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2</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10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0.3</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氨</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110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110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0.55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62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2020.08.21</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非甲烷总烃</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mg/m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1.93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1.95</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0.97</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1"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总挥发性有机物</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yellow"/>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16.8</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103</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600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0.17</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1" w:hRule="exact"/>
          <w:jc w:val="center"/>
        </w:trPr>
        <w:tc>
          <w:tcPr>
            <w:tcW w:w="628"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2020.12.22</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硫化氢</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2</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2</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10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0.2</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1"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氨</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110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90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0.55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7" w:hRule="exact"/>
          <w:jc w:val="center"/>
        </w:trPr>
        <w:tc>
          <w:tcPr>
            <w:tcW w:w="62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2020.08.22</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非甲烷总烃</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mg/m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0.88</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0.84</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0.44</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总挥发性有机物</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yellow"/>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62.0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28.7</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600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0.1</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628"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2020.12.23</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硫化氢</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2</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10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0.2</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氨</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140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0.7</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62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2020.08.23</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非甲烷总烃</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mg/m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0.52</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1.17</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0.56</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总挥发性有机物</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yellow"/>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27.9</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11.5</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600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0.05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exact"/>
          <w:jc w:val="center"/>
        </w:trPr>
        <w:tc>
          <w:tcPr>
            <w:tcW w:w="628"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lang w:val="en-US" w:eastAsia="zh-CN"/>
                <w14:textFill>
                  <w14:solidFill>
                    <w14:schemeClr w14:val="tx1"/>
                  </w14:solidFill>
                </w14:textFill>
              </w:rPr>
              <w:t>2020.12.24</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硫化氢</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10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0.3</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氨</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130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100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0.65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exact"/>
          <w:jc w:val="center"/>
        </w:trPr>
        <w:tc>
          <w:tcPr>
            <w:tcW w:w="62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2020.08.24</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非甲烷总烃</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mg/m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1.74</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1.80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0.9</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总挥发性有机物</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yellow"/>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7.9</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29.6</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600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0.05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628"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lang w:val="en-US" w:eastAsia="zh-CN"/>
                <w14:textFill>
                  <w14:solidFill>
                    <w14:schemeClr w14:val="tx1"/>
                  </w14:solidFill>
                </w14:textFill>
              </w:rPr>
              <w:t>2020.12.25</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硫化氢</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10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0.3</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氨</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100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190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0.95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62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2020.08.25</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非甲烷总烃</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mg/m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1.91</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1.72</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0.95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总挥发性有机物</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yellow"/>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248</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150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600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0.41</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exact"/>
          <w:jc w:val="center"/>
        </w:trPr>
        <w:tc>
          <w:tcPr>
            <w:tcW w:w="628"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lang w:val="en-US" w:eastAsia="zh-CN"/>
                <w14:textFill>
                  <w14:solidFill>
                    <w14:schemeClr w14:val="tx1"/>
                  </w14:solidFill>
                </w14:textFill>
              </w:rPr>
              <w:t>2020.12.26</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硫化氢</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2</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10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0.3</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5"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氨</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60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90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0.45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exact"/>
          <w:jc w:val="center"/>
        </w:trPr>
        <w:tc>
          <w:tcPr>
            <w:tcW w:w="628"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2020.08.26</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非甲烷总烃</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mg/m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0.87</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0.67</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2</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0.44</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9"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总挥发性有机物</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highlight w:val="yellow"/>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99.4</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17.7</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14:textFill>
                  <w14:solidFill>
                    <w14:schemeClr w14:val="tx1"/>
                  </w14:solidFill>
                </w14:textFill>
              </w:rPr>
              <w:t>60</w:t>
            </w: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0.17</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9" w:hRule="exact"/>
          <w:jc w:val="center"/>
        </w:trPr>
        <w:tc>
          <w:tcPr>
            <w:tcW w:w="628"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single"/>
                <w:lang w:val="en-US" w:eastAsia="zh-CN"/>
                <w14:textFill>
                  <w14:solidFill>
                    <w14:schemeClr w14:val="tx1"/>
                  </w14:solidFill>
                </w14:textFill>
              </w:rPr>
              <w:t>2020.12.27</w:t>
            </w: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硫化氢</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2</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10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0.3</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9" w:hRule="exact"/>
          <w:jc w:val="center"/>
        </w:trPr>
        <w:tc>
          <w:tcPr>
            <w:tcW w:w="628"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color w:val="000000" w:themeColor="text1"/>
                <w:sz w:val="21"/>
                <w:szCs w:val="21"/>
                <w:u w:val="single"/>
                <w14:textFill>
                  <w14:solidFill>
                    <w14:schemeClr w14:val="tx1"/>
                  </w14:solidFill>
                </w14:textFill>
              </w:rPr>
            </w:pPr>
          </w:p>
        </w:tc>
        <w:tc>
          <w:tcPr>
            <w:tcW w:w="53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14:textFill>
                  <w14:solidFill>
                    <w14:schemeClr w14:val="tx1"/>
                  </w14:solidFill>
                </w14:textFill>
              </w:rPr>
              <w:t>氨</w:t>
            </w:r>
          </w:p>
        </w:tc>
        <w:tc>
          <w:tcPr>
            <w:tcW w:w="41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μg/m</w:t>
            </w:r>
            <w:r>
              <w:rPr>
                <w:rFonts w:hint="default" w:ascii="Times New Roman" w:hAnsi="Times New Roman" w:eastAsia="宋体" w:cs="Times New Roman"/>
                <w:color w:val="000000" w:themeColor="text1"/>
                <w:sz w:val="21"/>
                <w:szCs w:val="21"/>
                <w:u w:val="single"/>
                <w:vertAlign w:val="superscript"/>
                <w:lang w:bidi="ar"/>
                <w14:textFill>
                  <w14:solidFill>
                    <w14:schemeClr w14:val="tx1"/>
                  </w14:solidFill>
                </w14:textFill>
              </w:rPr>
              <w:t>3</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30</w:t>
            </w:r>
          </w:p>
        </w:tc>
        <w:tc>
          <w:tcPr>
            <w:tcW w:w="630"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t>50</w:t>
            </w:r>
          </w:p>
        </w:tc>
        <w:tc>
          <w:tcPr>
            <w:tcW w:w="56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14:textFill>
                  <w14:solidFill>
                    <w14:schemeClr w14:val="tx1"/>
                  </w14:solidFill>
                </w14:textFill>
              </w:rPr>
              <w:t>200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u w:val="single"/>
                <w:lang w:val="en-US" w:eastAsia="zh-CN" w:bidi="ar"/>
                <w14:textFill>
                  <w14:solidFill>
                    <w14:schemeClr w14:val="tx1"/>
                  </w14:solidFill>
                </w14:textFill>
              </w:rPr>
              <w:t>0.25</w:t>
            </w:r>
          </w:p>
        </w:tc>
        <w:tc>
          <w:tcPr>
            <w:tcW w:w="32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50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0</w:t>
            </w:r>
          </w:p>
        </w:tc>
        <w:tc>
          <w:tcPr>
            <w:tcW w:w="38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u w:val="single"/>
                <w:lang w:bidi="ar"/>
                <w14:textFill>
                  <w14:solidFill>
                    <w14:schemeClr w14:val="tx1"/>
                  </w14:solidFill>
                </w14:textFill>
              </w:rPr>
            </w:pPr>
            <w:r>
              <w:rPr>
                <w:rFonts w:hint="default" w:ascii="Times New Roman" w:hAnsi="Times New Roman" w:eastAsia="宋体" w:cs="Times New Roman"/>
                <w:color w:val="000000" w:themeColor="text1"/>
                <w:sz w:val="21"/>
                <w:szCs w:val="21"/>
                <w:u w:val="single"/>
                <w:lang w:bidi="ar"/>
                <w14:textFill>
                  <w14:solidFill>
                    <w14:schemeClr w14:val="tx1"/>
                  </w14:solidFill>
                </w14:textFill>
              </w:rPr>
              <w:t>达标</w:t>
            </w:r>
          </w:p>
        </w:tc>
      </w:tr>
    </w:tbl>
    <w:p>
      <w:pPr>
        <w:pStyle w:val="71"/>
        <w:spacing w:line="360" w:lineRule="auto"/>
        <w:ind w:firstLine="452" w:firstLineChars="200"/>
        <w:rPr>
          <w:rFonts w:hint="default" w:ascii="Times New Roman" w:hAnsi="Times New Roman" w:cs="Times New Roman"/>
          <w:color w:val="000000" w:themeColor="text1"/>
          <w:spacing w:val="6"/>
          <w:sz w:val="24"/>
          <w:szCs w:val="24"/>
          <w:u w:val="single"/>
          <w:lang w:bidi="ar"/>
          <w14:textFill>
            <w14:solidFill>
              <w14:schemeClr w14:val="tx1"/>
            </w14:solidFill>
          </w14:textFill>
        </w:rPr>
      </w:pPr>
      <w:r>
        <w:rPr>
          <w:rFonts w:hint="default" w:ascii="Times New Roman" w:hAnsi="Times New Roman" w:cs="Times New Roman"/>
          <w:color w:val="000000" w:themeColor="text1"/>
          <w:spacing w:val="-7"/>
          <w:sz w:val="24"/>
          <w:szCs w:val="24"/>
          <w:u w:val="single"/>
          <w14:textFill>
            <w14:solidFill>
              <w14:schemeClr w14:val="tx1"/>
            </w14:solidFill>
          </w14:textFill>
        </w:rPr>
        <w:t>根据监测结果可知，监测因子</w:t>
      </w:r>
      <w:r>
        <w:rPr>
          <w:rFonts w:hint="default" w:ascii="Times New Roman" w:hAnsi="Times New Roman" w:eastAsia="Times New Roman" w:cs="Times New Roman"/>
          <w:color w:val="000000" w:themeColor="text1"/>
          <w:sz w:val="24"/>
          <w:szCs w:val="24"/>
          <w:u w:val="single"/>
          <w14:textFill>
            <w14:solidFill>
              <w14:schemeClr w14:val="tx1"/>
            </w14:solidFill>
          </w14:textFill>
        </w:rPr>
        <w:t>TVOC</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、硫化氢和氨</w:t>
      </w:r>
      <w:r>
        <w:rPr>
          <w:rFonts w:hint="default" w:ascii="Times New Roman" w:hAnsi="Times New Roman" w:cs="Times New Roman"/>
          <w:color w:val="000000" w:themeColor="text1"/>
          <w:spacing w:val="-4"/>
          <w:sz w:val="24"/>
          <w:szCs w:val="24"/>
          <w:u w:val="single"/>
          <w14:textFill>
            <w14:solidFill>
              <w14:schemeClr w14:val="tx1"/>
            </w14:solidFill>
          </w14:textFill>
        </w:rPr>
        <w:t>均符合《环境影响评价技术导则 大气环境</w:t>
      </w:r>
      <w:r>
        <w:rPr>
          <w:rFonts w:hint="default" w:ascii="Times New Roman" w:hAnsi="Times New Roman" w:cs="Times New Roman"/>
          <w:color w:val="000000" w:themeColor="text1"/>
          <w:sz w:val="24"/>
          <w:szCs w:val="24"/>
          <w:u w:val="single"/>
          <w14:textFill>
            <w14:solidFill>
              <w14:schemeClr w14:val="tx1"/>
            </w14:solidFill>
          </w14:textFill>
        </w:rPr>
        <w:t>》（</w:t>
      </w:r>
      <w:r>
        <w:rPr>
          <w:rFonts w:hint="default" w:ascii="Times New Roman" w:hAnsi="Times New Roman" w:eastAsia="Times New Roman" w:cs="Times New Roman"/>
          <w:color w:val="000000" w:themeColor="text1"/>
          <w:sz w:val="24"/>
          <w:szCs w:val="24"/>
          <w:u w:val="single"/>
          <w14:textFill>
            <w14:solidFill>
              <w14:schemeClr w14:val="tx1"/>
            </w14:solidFill>
          </w14:textFill>
        </w:rPr>
        <w:t>HJ2.2-2018</w:t>
      </w:r>
      <w:r>
        <w:rPr>
          <w:rFonts w:hint="default" w:ascii="Times New Roman" w:hAnsi="Times New Roman" w:cs="Times New Roman"/>
          <w:color w:val="000000" w:themeColor="text1"/>
          <w:sz w:val="24"/>
          <w:szCs w:val="24"/>
          <w:u w:val="single"/>
          <w14:textFill>
            <w14:solidFill>
              <w14:schemeClr w14:val="tx1"/>
            </w14:solidFill>
          </w14:textFill>
        </w:rPr>
        <w:t>）</w:t>
      </w:r>
      <w:r>
        <w:rPr>
          <w:rFonts w:hint="default" w:ascii="Times New Roman" w:hAnsi="Times New Roman" w:cs="Times New Roman"/>
          <w:color w:val="000000" w:themeColor="text1"/>
          <w:spacing w:val="-21"/>
          <w:sz w:val="24"/>
          <w:szCs w:val="24"/>
          <w:u w:val="single"/>
          <w14:textFill>
            <w14:solidFill>
              <w14:schemeClr w14:val="tx1"/>
            </w14:solidFill>
          </w14:textFill>
        </w:rPr>
        <w:t>附录</w:t>
      </w:r>
      <w:r>
        <w:rPr>
          <w:rFonts w:hint="default" w:ascii="Times New Roman" w:hAnsi="Times New Roman" w:eastAsia="Times New Roman" w:cs="Times New Roman"/>
          <w:color w:val="000000" w:themeColor="text1"/>
          <w:sz w:val="24"/>
          <w:szCs w:val="24"/>
          <w:u w:val="single"/>
          <w14:textFill>
            <w14:solidFill>
              <w14:schemeClr w14:val="tx1"/>
            </w14:solidFill>
          </w14:textFill>
        </w:rPr>
        <w:t>D</w:t>
      </w:r>
      <w:r>
        <w:rPr>
          <w:rFonts w:hint="default" w:ascii="Times New Roman" w:hAnsi="Times New Roman" w:cs="Times New Roman"/>
          <w:color w:val="000000" w:themeColor="text1"/>
          <w:sz w:val="24"/>
          <w:szCs w:val="24"/>
          <w:u w:val="single"/>
          <w14:textFill>
            <w14:solidFill>
              <w14:schemeClr w14:val="tx1"/>
            </w14:solidFill>
          </w14:textFill>
        </w:rPr>
        <w:t>中的浓度限值，非甲烷总烃</w:t>
      </w:r>
      <w:r>
        <w:rPr>
          <w:rFonts w:hint="default" w:ascii="Times New Roman" w:hAnsi="Times New Roman" w:cs="Times New Roman"/>
          <w:color w:val="000000" w:themeColor="text1"/>
          <w:spacing w:val="6"/>
          <w:sz w:val="24"/>
          <w:szCs w:val="24"/>
          <w:u w:val="single"/>
          <w:lang w:bidi="ar"/>
          <w14:textFill>
            <w14:solidFill>
              <w14:schemeClr w14:val="tx1"/>
            </w14:solidFill>
          </w14:textFill>
        </w:rPr>
        <w:t>可以满足《大气综合污染综合排放标准详解》中的建议取值。</w:t>
      </w:r>
      <w:r>
        <w:rPr>
          <w:rFonts w:hint="default" w:ascii="Times New Roman" w:hAnsi="Times New Roman" w:cs="Times New Roman"/>
          <w:color w:val="000000" w:themeColor="text1"/>
          <w:spacing w:val="6"/>
          <w:sz w:val="24"/>
          <w:szCs w:val="24"/>
          <w:u w:val="single"/>
          <w:lang w:eastAsia="zh-CN" w:bidi="ar"/>
          <w14:textFill>
            <w14:solidFill>
              <w14:schemeClr w14:val="tx1"/>
            </w14:solidFill>
          </w14:textFill>
        </w:rPr>
        <w:t>监测数据中非甲烷总烃与</w:t>
      </w:r>
      <w:r>
        <w:rPr>
          <w:rFonts w:hint="default" w:ascii="Times New Roman" w:hAnsi="Times New Roman" w:cs="Times New Roman"/>
          <w:color w:val="000000" w:themeColor="text1"/>
          <w:spacing w:val="6"/>
          <w:sz w:val="24"/>
          <w:szCs w:val="24"/>
          <w:u w:val="single"/>
          <w:lang w:val="en-US" w:eastAsia="zh-CN" w:bidi="ar"/>
          <w14:textFill>
            <w14:solidFill>
              <w14:schemeClr w14:val="tx1"/>
            </w14:solidFill>
          </w14:textFill>
        </w:rPr>
        <w:t>TVOC的差距较大的原因是TVOC是采用的《室内空气质量标准》（附录C热解吸/毛细管气相色谱法）</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GB/T18883-2002中的方法进行监测，而不是采用的《环境空气 挥发性有机物的测定吸附管采样—热脱附/气相色谱—质谱法》HJ644-2013，所以TVOC主要测的是C6以上的烃类。所以非甲烷总烃的监测数据与TVOC的监测数据相差较大。</w:t>
      </w:r>
    </w:p>
    <w:p>
      <w:pPr>
        <w:pStyle w:val="5"/>
        <w:rPr>
          <w:color w:val="000000" w:themeColor="text1"/>
          <w14:textFill>
            <w14:solidFill>
              <w14:schemeClr w14:val="tx1"/>
            </w14:solidFill>
          </w14:textFill>
        </w:rPr>
      </w:pPr>
      <w:r>
        <w:rPr>
          <w:color w:val="000000" w:themeColor="text1"/>
          <w14:textFill>
            <w14:solidFill>
              <w14:schemeClr w14:val="tx1"/>
            </w14:solidFill>
          </w14:textFill>
        </w:rPr>
        <w:t>地表水环境现状调查及评价</w:t>
      </w:r>
    </w:p>
    <w:p>
      <w:pPr>
        <w:spacing w:line="360" w:lineRule="auto"/>
        <w:ind w:firstLine="480" w:firstLineChars="200"/>
        <w:rPr>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本项目地表水评价等级为三级B，本项目废水经炼油部预处理站处理之后，排入巴陵石化水务部云溪生化装置处理，处理达标的废水排入长江道仁矶，项目区雨水通过管道排入松阳湖。因此本评价收集了2019年省站对长江城陵矶断面及陆城断面的常规监测数据说明地表水环境质量现状。</w:t>
      </w:r>
    </w:p>
    <w:p>
      <w:pPr>
        <w:numPr>
          <w:ilvl w:val="0"/>
          <w:numId w:val="6"/>
        </w:numPr>
        <w:spacing w:line="360" w:lineRule="auto"/>
        <w:ind w:firstLine="480" w:firstLineChars="200"/>
        <w:rPr>
          <w:color w:val="000000" w:themeColor="text1"/>
          <w:u w:val="single"/>
          <w14:textFill>
            <w14:solidFill>
              <w14:schemeClr w14:val="tx1"/>
            </w14:solidFill>
          </w14:textFill>
        </w:rPr>
        <w:sectPr>
          <w:pgSz w:w="11906" w:h="16838"/>
          <w:pgMar w:top="1440" w:right="1440" w:bottom="1440" w:left="1440" w:header="720" w:footer="720" w:gutter="0"/>
          <w:pgBorders>
            <w:top w:val="none" w:sz="0" w:space="0"/>
            <w:left w:val="none" w:sz="0" w:space="0"/>
            <w:bottom w:val="none" w:sz="0" w:space="0"/>
            <w:right w:val="none" w:sz="0" w:space="0"/>
          </w:pgBorders>
          <w:cols w:space="720" w:num="1"/>
          <w:docGrid w:linePitch="326" w:charSpace="0"/>
        </w:sectPr>
      </w:pPr>
      <w:r>
        <w:rPr>
          <w:color w:val="000000" w:themeColor="text1"/>
          <w:u w:val="single"/>
          <w14:textFill>
            <w14:solidFill>
              <w14:schemeClr w14:val="tx1"/>
            </w14:solidFill>
          </w14:textFill>
        </w:rPr>
        <w:t>长江段水质</w:t>
      </w:r>
    </w:p>
    <w:p>
      <w:pPr>
        <w:pStyle w:val="71"/>
        <w:jc w:val="center"/>
        <w:rPr>
          <w:rFonts w:hint="default" w:ascii="Times New Roman" w:hAnsi="Times New Roman" w:cs="Times New Roman"/>
          <w:b/>
          <w:color w:val="000000" w:themeColor="text1"/>
          <w:sz w:val="24"/>
          <w:szCs w:val="24"/>
          <w:u w:val="single"/>
          <w14:textFill>
            <w14:solidFill>
              <w14:schemeClr w14:val="tx1"/>
            </w14:solidFill>
          </w14:textFill>
        </w:rPr>
      </w:pPr>
      <w:r>
        <w:rPr>
          <w:rFonts w:hint="default" w:ascii="Times New Roman" w:hAnsi="Times New Roman" w:cs="Times New Roman"/>
          <w:b/>
          <w:color w:val="000000" w:themeColor="text1"/>
          <w:sz w:val="24"/>
          <w:szCs w:val="24"/>
          <w:u w:val="single"/>
          <w14:textFill>
            <w14:solidFill>
              <w14:schemeClr w14:val="tx1"/>
            </w14:solidFill>
          </w14:textFill>
        </w:rPr>
        <w:t>表</w:t>
      </w:r>
      <w:r>
        <w:rPr>
          <w:rFonts w:hint="default" w:ascii="Times New Roman" w:hAnsi="Times New Roman" w:cs="Times New Roman"/>
          <w:b/>
          <w:color w:val="000000" w:themeColor="text1"/>
          <w:sz w:val="24"/>
          <w:szCs w:val="24"/>
          <w:u w:val="single"/>
          <w14:textFill>
            <w14:solidFill>
              <w14:schemeClr w14:val="tx1"/>
            </w14:solidFill>
          </w14:textFill>
        </w:rPr>
        <w:fldChar w:fldCharType="begin"/>
      </w:r>
      <w:r>
        <w:rPr>
          <w:rFonts w:hint="default" w:ascii="Times New Roman" w:hAnsi="Times New Roman" w:cs="Times New Roman"/>
          <w:b/>
          <w:color w:val="000000" w:themeColor="text1"/>
          <w:sz w:val="24"/>
          <w:szCs w:val="24"/>
          <w:u w:val="single"/>
          <w14:textFill>
            <w14:solidFill>
              <w14:schemeClr w14:val="tx1"/>
            </w14:solidFill>
          </w14:textFill>
        </w:rPr>
        <w:instrText xml:space="preserve"> STYLEREF 2 \s </w:instrText>
      </w:r>
      <w:r>
        <w:rPr>
          <w:rFonts w:hint="default" w:ascii="Times New Roman" w:hAnsi="Times New Roman" w:cs="Times New Roman"/>
          <w:b/>
          <w:color w:val="000000" w:themeColor="text1"/>
          <w:sz w:val="24"/>
          <w:szCs w:val="24"/>
          <w:u w:val="single"/>
          <w14:textFill>
            <w14:solidFill>
              <w14:schemeClr w14:val="tx1"/>
            </w14:solidFill>
          </w14:textFill>
        </w:rPr>
        <w:fldChar w:fldCharType="separate"/>
      </w:r>
      <w:r>
        <w:rPr>
          <w:rFonts w:hint="default" w:ascii="Times New Roman" w:hAnsi="Times New Roman" w:cs="Times New Roman"/>
          <w:b/>
          <w:color w:val="000000" w:themeColor="text1"/>
          <w:sz w:val="24"/>
          <w:szCs w:val="24"/>
          <w:u w:val="single"/>
          <w14:textFill>
            <w14:solidFill>
              <w14:schemeClr w14:val="tx1"/>
            </w14:solidFill>
          </w14:textFill>
        </w:rPr>
        <w:t>6</w:t>
      </w:r>
      <w:r>
        <w:rPr>
          <w:rFonts w:hint="default" w:ascii="Times New Roman" w:hAnsi="Times New Roman" w:cs="Times New Roman"/>
          <w:b/>
          <w:color w:val="000000" w:themeColor="text1"/>
          <w:sz w:val="24"/>
          <w:szCs w:val="24"/>
          <w:u w:val="single"/>
          <w:lang w:val="en-US" w:eastAsia="zh-CN"/>
          <w14:textFill>
            <w14:solidFill>
              <w14:schemeClr w14:val="tx1"/>
            </w14:solidFill>
          </w14:textFill>
        </w:rPr>
        <w:t>.</w:t>
      </w:r>
      <w:r>
        <w:rPr>
          <w:rFonts w:hint="default" w:ascii="Times New Roman" w:hAnsi="Times New Roman" w:cs="Times New Roman"/>
          <w:b/>
          <w:color w:val="000000" w:themeColor="text1"/>
          <w:sz w:val="24"/>
          <w:szCs w:val="24"/>
          <w:u w:val="single"/>
          <w14:textFill>
            <w14:solidFill>
              <w14:schemeClr w14:val="tx1"/>
            </w14:solidFill>
          </w14:textFill>
        </w:rPr>
        <w:t>2</w:t>
      </w:r>
      <w:r>
        <w:rPr>
          <w:rFonts w:hint="default" w:ascii="Times New Roman" w:hAnsi="Times New Roman" w:cs="Times New Roman"/>
          <w:b/>
          <w:color w:val="000000" w:themeColor="text1"/>
          <w:sz w:val="24"/>
          <w:szCs w:val="24"/>
          <w:u w:val="single"/>
          <w14:textFill>
            <w14:solidFill>
              <w14:schemeClr w14:val="tx1"/>
            </w14:solidFill>
          </w14:textFill>
        </w:rPr>
        <w:fldChar w:fldCharType="end"/>
      </w:r>
      <w:r>
        <w:rPr>
          <w:rFonts w:hint="default" w:ascii="Times New Roman" w:hAnsi="Times New Roman" w:cs="Times New Roman"/>
          <w:b/>
          <w:color w:val="000000" w:themeColor="text1"/>
          <w:sz w:val="24"/>
          <w:szCs w:val="24"/>
          <w:u w:val="single"/>
          <w14:textFill>
            <w14:solidFill>
              <w14:schemeClr w14:val="tx1"/>
            </w14:solidFill>
          </w14:textFill>
        </w:rPr>
        <w:noBreakHyphen/>
      </w:r>
      <w:r>
        <w:rPr>
          <w:rFonts w:hint="default" w:ascii="Times New Roman" w:hAnsi="Times New Roman" w:cs="Times New Roman"/>
          <w:b/>
          <w:color w:val="000000" w:themeColor="text1"/>
          <w:sz w:val="24"/>
          <w:szCs w:val="24"/>
          <w:u w:val="single"/>
          <w14:textFill>
            <w14:solidFill>
              <w14:schemeClr w14:val="tx1"/>
            </w14:solidFill>
          </w14:textFill>
        </w:rPr>
        <w:fldChar w:fldCharType="begin"/>
      </w:r>
      <w:r>
        <w:rPr>
          <w:rFonts w:hint="default" w:ascii="Times New Roman" w:hAnsi="Times New Roman" w:cs="Times New Roman"/>
          <w:b/>
          <w:color w:val="000000" w:themeColor="text1"/>
          <w:sz w:val="24"/>
          <w:szCs w:val="24"/>
          <w:u w:val="single"/>
          <w14:textFill>
            <w14:solidFill>
              <w14:schemeClr w14:val="tx1"/>
            </w14:solidFill>
          </w14:textFill>
        </w:rPr>
        <w:instrText xml:space="preserve"> SEQ 表 \* ARABIC \s 2 </w:instrText>
      </w:r>
      <w:r>
        <w:rPr>
          <w:rFonts w:hint="default" w:ascii="Times New Roman" w:hAnsi="Times New Roman" w:cs="Times New Roman"/>
          <w:b/>
          <w:color w:val="000000" w:themeColor="text1"/>
          <w:sz w:val="24"/>
          <w:szCs w:val="24"/>
          <w:u w:val="single"/>
          <w14:textFill>
            <w14:solidFill>
              <w14:schemeClr w14:val="tx1"/>
            </w14:solidFill>
          </w14:textFill>
        </w:rPr>
        <w:fldChar w:fldCharType="separate"/>
      </w:r>
      <w:r>
        <w:rPr>
          <w:rFonts w:hint="default" w:ascii="Times New Roman" w:hAnsi="Times New Roman" w:cs="Times New Roman"/>
          <w:b/>
          <w:color w:val="000000" w:themeColor="text1"/>
          <w:sz w:val="24"/>
          <w:szCs w:val="24"/>
          <w:u w:val="single"/>
          <w14:textFill>
            <w14:solidFill>
              <w14:schemeClr w14:val="tx1"/>
            </w14:solidFill>
          </w14:textFill>
        </w:rPr>
        <w:t>4</w:t>
      </w:r>
      <w:r>
        <w:rPr>
          <w:rFonts w:hint="default" w:ascii="Times New Roman" w:hAnsi="Times New Roman" w:cs="Times New Roman"/>
          <w:b/>
          <w:color w:val="000000" w:themeColor="text1"/>
          <w:sz w:val="24"/>
          <w:szCs w:val="24"/>
          <w:u w:val="single"/>
          <w14:textFill>
            <w14:solidFill>
              <w14:schemeClr w14:val="tx1"/>
            </w14:solidFill>
          </w14:textFill>
        </w:rPr>
        <w:fldChar w:fldCharType="end"/>
      </w:r>
      <w:r>
        <w:rPr>
          <w:rFonts w:hint="default" w:ascii="Times New Roman" w:hAnsi="Times New Roman" w:cs="Times New Roman"/>
          <w:b/>
          <w:color w:val="000000" w:themeColor="text1"/>
          <w:sz w:val="24"/>
          <w:szCs w:val="24"/>
          <w:u w:val="single"/>
          <w14:textFill>
            <w14:solidFill>
              <w14:schemeClr w14:val="tx1"/>
            </w14:solidFill>
          </w14:textFill>
        </w:rPr>
        <w:t xml:space="preserve">  长江环境质量现状监测评价结果统计表 （单位：mg/L，pH除外）</w:t>
      </w:r>
    </w:p>
    <w:tbl>
      <w:tblPr>
        <w:tblStyle w:val="4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114"/>
        <w:gridCol w:w="1161"/>
        <w:gridCol w:w="1065"/>
        <w:gridCol w:w="1525"/>
        <w:gridCol w:w="1049"/>
        <w:gridCol w:w="1065"/>
        <w:gridCol w:w="1065"/>
        <w:gridCol w:w="1026"/>
        <w:gridCol w:w="1275"/>
        <w:gridCol w:w="1052"/>
        <w:gridCol w:w="1052"/>
        <w:gridCol w:w="1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序号</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断面名称</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采样时间</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pH</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高锰酸盐指数</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COD</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BOD</w:t>
            </w:r>
            <w:r>
              <w:rPr>
                <w:rFonts w:hint="default" w:ascii="Times New Roman" w:hAnsi="Times New Roman" w:eastAsia="Times New Roman" w:cs="Times New Roman"/>
                <w:b w:val="0"/>
                <w:bCs/>
                <w:color w:val="000000" w:themeColor="text1"/>
                <w:sz w:val="21"/>
                <w:szCs w:val="21"/>
                <w:u w:val="single"/>
                <w:vertAlign w:val="subscript"/>
                <w14:textFill>
                  <w14:solidFill>
                    <w14:schemeClr w14:val="tx1"/>
                  </w14:solidFill>
                </w14:textFill>
              </w:rPr>
              <w:t>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NH</w:t>
            </w:r>
            <w:r>
              <w:rPr>
                <w:rFonts w:hint="default" w:ascii="Times New Roman" w:hAnsi="Times New Roman" w:eastAsia="Times New Roman" w:cs="Times New Roman"/>
                <w:b w:val="0"/>
                <w:bCs/>
                <w:color w:val="000000" w:themeColor="text1"/>
                <w:sz w:val="21"/>
                <w:szCs w:val="21"/>
                <w:u w:val="single"/>
                <w:vertAlign w:val="subscript"/>
                <w14:textFill>
                  <w14:solidFill>
                    <w14:schemeClr w14:val="tx1"/>
                  </w14:solidFill>
                </w14:textFill>
              </w:rPr>
              <w:t>3</w:t>
            </w: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-N</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TP</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挥发酚</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石油类</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阴离子表面活性剂</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pPr>
            <w:r>
              <w:rPr>
                <w:rFonts w:hint="default" w:ascii="Times New Roman" w:hAnsi="Times New Roman" w:eastAsia="Times New Roman" w:cs="Times New Roman"/>
                <w:b w:val="0"/>
                <w:bCs/>
                <w:color w:val="000000" w:themeColor="text1"/>
                <w:sz w:val="21"/>
                <w:szCs w:val="21"/>
                <w:u w:val="single"/>
                <w14:textFill>
                  <w14:solidFill>
                    <w14:schemeClr w14:val="tx1"/>
                  </w14:solidFill>
                </w14:textFill>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2019.1.1</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8.03</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1.7</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2019.2.5</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8.08</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1.5</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3</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2019.3.5</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8.08</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1.4</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4</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2019.4.2</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8.28</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1.4</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5</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2019.5.7</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8.25</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1.8</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2019.6.4</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8.17</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2.2</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2019.7.1</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7.79</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2.3</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11</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2019.8.1</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7.76</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2.6</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9</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2019.9.2</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7.91</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2.3</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10</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2019.10.15</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8.01</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2.4</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4L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11</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2019.11.4</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7.60</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2.7</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12</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城陵矶</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2019.12.9</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8.08</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13</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2019.1.1</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7.59</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11</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0.11</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14</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2019.2.5</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7.57</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2.2</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15</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2019.3.5</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6.95</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2.1</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0.11</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16</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2019.4.2</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6.86</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2.4</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17</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2019.5.7</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6.77</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2.2</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18</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2019.6.4</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6.78</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2.2</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19</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2019.7.1</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6.90</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2.3</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2019.8.1</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6.93</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2.3</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21</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2019.9.2</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6.90</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2.4</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22</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2019.10.15</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6.94</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2.5</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0.13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23</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2019.11.4</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7.10</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2.7</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9</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9"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24</w:t>
            </w:r>
          </w:p>
        </w:tc>
        <w:tc>
          <w:tcPr>
            <w:tcW w:w="407"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陆城</w:t>
            </w:r>
          </w:p>
        </w:tc>
        <w:tc>
          <w:tcPr>
            <w:tcW w:w="408"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2019.12.9</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7.06</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2.8</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8</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0.0003L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0.01L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0.05L</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0.005L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4"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标准值</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6-9</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6</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20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4</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1</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0.05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4"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标准指数范围</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0.23~0.64</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0.23~0.47</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0.1~0.7</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0.05~0.55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0.04~0.23</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0.3~0.6</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0.004~0.012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0.025</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0.1~0.2</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4"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超标率</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4"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最大超标倍数</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4" w:type="pct"/>
            <w:gridSpan w:val="3"/>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是否达标</w:t>
            </w:r>
          </w:p>
        </w:tc>
        <w:tc>
          <w:tcPr>
            <w:tcW w:w="30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552"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4"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c>
          <w:tcPr>
            <w:tcW w:w="385" w:type="pc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Times New Roman" w:cs="Times New Roman"/>
                <w:color w:val="000000" w:themeColor="text1"/>
                <w:sz w:val="21"/>
                <w:szCs w:val="21"/>
                <w:u w:val="single"/>
                <w14:textFill>
                  <w14:solidFill>
                    <w14:schemeClr w14:val="tx1"/>
                  </w14:solidFill>
                </w14:textFill>
              </w:rPr>
            </w:pPr>
            <w:r>
              <w:rPr>
                <w:rFonts w:hint="default" w:ascii="Times New Roman" w:hAnsi="Times New Roman" w:eastAsia="Times New Roman" w:cs="Times New Roman"/>
                <w:color w:val="000000" w:themeColor="text1"/>
                <w:sz w:val="21"/>
                <w:szCs w:val="21"/>
                <w:u w:val="single"/>
                <w14:textFill>
                  <w14:solidFill>
                    <w14:schemeClr w14:val="tx1"/>
                  </w14:solidFill>
                </w14:textFill>
              </w:rPr>
              <w:t>达标</w:t>
            </w:r>
          </w:p>
        </w:tc>
      </w:tr>
    </w:tbl>
    <w:p>
      <w:pPr>
        <w:pStyle w:val="82"/>
        <w:snapToGrid w:val="0"/>
        <w:spacing w:line="360" w:lineRule="auto"/>
        <w:ind w:firstLine="480" w:firstLineChars="200"/>
        <w:rPr>
          <w:rFonts w:hint="default" w:ascii="Times New Roman" w:hAnsi="Times New Roman" w:eastAsia="宋体" w:cs="Times New Roman"/>
          <w:b/>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4"/>
          <w:szCs w:val="24"/>
          <w:u w:val="single"/>
          <w14:textFill>
            <w14:solidFill>
              <w14:schemeClr w14:val="tx1"/>
            </w14:solidFill>
          </w14:textFill>
        </w:rPr>
        <w:t>根据监测结果可知，监测因子能满足《地表水环境质量标准》（GB3838-2002）中的Ⅲ类标准要求。</w:t>
      </w:r>
    </w:p>
    <w:p>
      <w:pPr>
        <w:pStyle w:val="82"/>
        <w:snapToGrid w:val="0"/>
        <w:spacing w:line="360" w:lineRule="auto"/>
        <w:ind w:firstLine="480" w:firstLineChars="200"/>
        <w:rPr>
          <w:rFonts w:ascii="Times New Roman" w:hAnsi="Times New Roman" w:eastAsia="宋体" w:cs="Times New Roman"/>
          <w:color w:val="000000" w:themeColor="text1"/>
          <w:sz w:val="24"/>
          <w:szCs w:val="24"/>
          <w:u w:val="single"/>
          <w14:textFill>
            <w14:solidFill>
              <w14:schemeClr w14:val="tx1"/>
            </w14:solidFill>
          </w14:textFill>
        </w:rPr>
        <w:sectPr>
          <w:pgSz w:w="16838" w:h="11906" w:orient="landscape"/>
          <w:pgMar w:top="1440" w:right="1440" w:bottom="1440" w:left="1440" w:header="720" w:footer="720" w:gutter="0"/>
          <w:pgBorders>
            <w:top w:val="none" w:sz="0" w:space="0"/>
            <w:left w:val="none" w:sz="0" w:space="0"/>
            <w:bottom w:val="none" w:sz="0" w:space="0"/>
            <w:right w:val="none" w:sz="0" w:space="0"/>
          </w:pgBorders>
          <w:cols w:space="720" w:num="1"/>
          <w:rtlGutter w:val="0"/>
          <w:docGrid w:linePitch="326" w:charSpace="0"/>
        </w:sectPr>
      </w:pPr>
    </w:p>
    <w:p>
      <w:pPr>
        <w:pStyle w:val="101"/>
        <w:numPr>
          <w:ilvl w:val="0"/>
          <w:numId w:val="6"/>
        </w:numPr>
        <w:spacing w:line="360" w:lineRule="auto"/>
        <w:ind w:firstLine="480"/>
        <w:rPr>
          <w:rFonts w:hint="default" w:ascii="Times New Roman" w:hAnsi="Times New Roman" w:cs="Times New Roman"/>
          <w:color w:val="000000" w:themeColor="text1"/>
          <w:szCs w:val="24"/>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松阳湖水质</w:t>
      </w:r>
    </w:p>
    <w:p>
      <w:pPr>
        <w:pStyle w:val="14"/>
        <w:spacing w:line="360" w:lineRule="auto"/>
        <w:ind w:firstLine="480" w:firstLineChars="200"/>
        <w:jc w:val="both"/>
        <w:rPr>
          <w:rFonts w:hint="default" w:ascii="Times New Roman" w:hAnsi="Times New Roman" w:eastAsia="宋体" w:cs="Times New Roman"/>
          <w:b w:val="0"/>
          <w:bCs/>
          <w:color w:val="000000" w:themeColor="text1"/>
          <w:sz w:val="24"/>
          <w:szCs w:val="24"/>
          <w:u w:val="single"/>
          <w14:textFill>
            <w14:solidFill>
              <w14:schemeClr w14:val="tx1"/>
            </w14:solidFill>
          </w14:textFill>
        </w:rPr>
      </w:pPr>
      <w:r>
        <w:rPr>
          <w:rFonts w:hint="default" w:ascii="Times New Roman" w:hAnsi="Times New Roman" w:eastAsia="宋体" w:cs="Times New Roman"/>
          <w:b w:val="0"/>
          <w:bCs/>
          <w:color w:val="000000" w:themeColor="text1"/>
          <w:sz w:val="24"/>
          <w:szCs w:val="24"/>
          <w:u w:val="single"/>
          <w:lang w:eastAsia="zh-CN"/>
          <w14:textFill>
            <w14:solidFill>
              <w14:schemeClr w14:val="tx1"/>
            </w14:solidFill>
          </w14:textFill>
        </w:rPr>
        <w:t>项目区域内雨水通过明沟汇至松阳湖，其水域功能属于一般景观用水，执行《地表水环境质量标准》</w:t>
      </w:r>
      <w:r>
        <w:rPr>
          <w:rFonts w:hint="default" w:ascii="Times New Roman" w:hAnsi="Times New Roman" w:eastAsia="宋体" w:cs="Times New Roman"/>
          <w:b w:val="0"/>
          <w:bCs/>
          <w:color w:val="000000" w:themeColor="text1"/>
          <w:sz w:val="24"/>
          <w:szCs w:val="24"/>
          <w:u w:val="single"/>
          <w:lang w:val="en-US" w:eastAsia="zh-CN"/>
          <w14:textFill>
            <w14:solidFill>
              <w14:schemeClr w14:val="tx1"/>
            </w14:solidFill>
          </w14:textFill>
        </w:rPr>
        <w:t>（GB3838-2002）Ⅳ类，</w:t>
      </w:r>
      <w:r>
        <w:rPr>
          <w:rFonts w:hint="default" w:ascii="Times New Roman" w:hAnsi="Times New Roman" w:eastAsia="宋体" w:cs="Times New Roman"/>
          <w:b w:val="0"/>
          <w:bCs/>
          <w:color w:val="000000" w:themeColor="text1"/>
          <w:sz w:val="24"/>
          <w:szCs w:val="24"/>
          <w:u w:val="single"/>
          <w14:textFill>
            <w14:solidFill>
              <w14:schemeClr w14:val="tx1"/>
            </w14:solidFill>
          </w14:textFill>
        </w:rPr>
        <w:t>本项目收集了监测站对松阳湖2019年1月和</w:t>
      </w:r>
      <w:r>
        <w:rPr>
          <w:rFonts w:hint="default" w:ascii="Times New Roman" w:hAnsi="Times New Roman" w:cs="Times New Roman"/>
          <w:b w:val="0"/>
          <w:bCs/>
          <w:color w:val="000000" w:themeColor="text1"/>
          <w:sz w:val="24"/>
          <w:szCs w:val="24"/>
          <w:u w:val="singl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u w:val="single"/>
          <w14:textFill>
            <w14:solidFill>
              <w14:schemeClr w14:val="tx1"/>
            </w14:solidFill>
          </w14:textFill>
        </w:rPr>
        <w:t>2月的常规监测数据，具体监测结果见下表所示。</w:t>
      </w:r>
    </w:p>
    <w:p>
      <w:pPr>
        <w:keepNext/>
        <w:jc w:val="center"/>
        <w:rPr>
          <w:b/>
          <w:color w:val="000000" w:themeColor="text1"/>
          <w:u w:val="single"/>
          <w14:textFill>
            <w14:solidFill>
              <w14:schemeClr w14:val="tx1"/>
            </w14:solidFill>
          </w14:textFill>
        </w:rPr>
      </w:pPr>
      <w:r>
        <w:rPr>
          <w:b/>
          <w:color w:val="000000" w:themeColor="text1"/>
          <w:u w:val="single"/>
          <w14:textFill>
            <w14:solidFill>
              <w14:schemeClr w14:val="tx1"/>
            </w14:solidFill>
          </w14:textFill>
        </w:rPr>
        <w:t>表</w:t>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STYLEREF 2 \s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6</w:t>
      </w:r>
      <w:r>
        <w:rPr>
          <w:rFonts w:hint="eastAsia"/>
          <w:b/>
          <w:color w:val="000000" w:themeColor="text1"/>
          <w:u w:val="single"/>
          <w:lang w:val="en-US" w:eastAsia="zh-CN"/>
          <w14:textFill>
            <w14:solidFill>
              <w14:schemeClr w14:val="tx1"/>
            </w14:solidFill>
          </w14:textFill>
        </w:rPr>
        <w:t>.</w:t>
      </w:r>
      <w:r>
        <w:rPr>
          <w:b/>
          <w:color w:val="000000" w:themeColor="text1"/>
          <w:u w:val="single"/>
          <w14:textFill>
            <w14:solidFill>
              <w14:schemeClr w14:val="tx1"/>
            </w14:solidFill>
          </w14:textFill>
        </w:rPr>
        <w:t>2</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noBreakHyphen/>
      </w:r>
      <w:r>
        <w:rPr>
          <w:b/>
          <w:color w:val="000000" w:themeColor="text1"/>
          <w:u w:val="single"/>
          <w14:textFill>
            <w14:solidFill>
              <w14:schemeClr w14:val="tx1"/>
            </w14:solidFill>
          </w14:textFill>
        </w:rPr>
        <w:fldChar w:fldCharType="begin"/>
      </w:r>
      <w:r>
        <w:rPr>
          <w:b/>
          <w:color w:val="000000" w:themeColor="text1"/>
          <w:u w:val="single"/>
          <w14:textFill>
            <w14:solidFill>
              <w14:schemeClr w14:val="tx1"/>
            </w14:solidFill>
          </w14:textFill>
        </w:rPr>
        <w:instrText xml:space="preserve"> SEQ 表 \* ARABIC \s 2 </w:instrText>
      </w:r>
      <w:r>
        <w:rPr>
          <w:b/>
          <w:color w:val="000000" w:themeColor="text1"/>
          <w:u w:val="single"/>
          <w14:textFill>
            <w14:solidFill>
              <w14:schemeClr w14:val="tx1"/>
            </w14:solidFill>
          </w14:textFill>
        </w:rPr>
        <w:fldChar w:fldCharType="separate"/>
      </w:r>
      <w:r>
        <w:rPr>
          <w:b/>
          <w:color w:val="000000" w:themeColor="text1"/>
          <w:u w:val="single"/>
          <w14:textFill>
            <w14:solidFill>
              <w14:schemeClr w14:val="tx1"/>
            </w14:solidFill>
          </w14:textFill>
        </w:rPr>
        <w:t>5</w:t>
      </w:r>
      <w:r>
        <w:rPr>
          <w:b/>
          <w:color w:val="000000" w:themeColor="text1"/>
          <w:u w:val="single"/>
          <w14:textFill>
            <w14:solidFill>
              <w14:schemeClr w14:val="tx1"/>
            </w14:solidFill>
          </w14:textFill>
        </w:rPr>
        <w:fldChar w:fldCharType="end"/>
      </w:r>
      <w:r>
        <w:rPr>
          <w:b/>
          <w:color w:val="000000" w:themeColor="text1"/>
          <w:u w:val="single"/>
          <w14:textFill>
            <w14:solidFill>
              <w14:schemeClr w14:val="tx1"/>
            </w14:solidFill>
          </w14:textFill>
        </w:rPr>
        <w:t xml:space="preserve">  松阳湖水环境质量现状监测结果统计表</w:t>
      </w:r>
    </w:p>
    <w:tbl>
      <w:tblPr>
        <w:tblStyle w:val="41"/>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38"/>
        <w:gridCol w:w="269"/>
        <w:gridCol w:w="918"/>
        <w:gridCol w:w="859"/>
        <w:gridCol w:w="754"/>
        <w:gridCol w:w="1095"/>
        <w:gridCol w:w="785"/>
        <w:gridCol w:w="704"/>
        <w:gridCol w:w="1126"/>
        <w:gridCol w:w="1020"/>
        <w:gridCol w:w="878"/>
        <w:gridCol w:w="1252"/>
        <w:gridCol w:w="836"/>
        <w:gridCol w:w="883"/>
        <w:gridCol w:w="590"/>
        <w:gridCol w:w="662"/>
        <w:gridCol w:w="8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253" w:type="pct"/>
            <w:gridSpan w:val="2"/>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指标</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pH</w:t>
            </w:r>
          </w:p>
        </w:tc>
        <w:tc>
          <w:tcPr>
            <w:tcW w:w="307"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高锰酸盐指数</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COD</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position w:val="2"/>
                <w:sz w:val="21"/>
                <w:u w:val="single"/>
                <w14:textFill>
                  <w14:solidFill>
                    <w14:schemeClr w14:val="tx1"/>
                  </w14:solidFill>
                </w14:textFill>
              </w:rPr>
              <w:t>BOD</w:t>
            </w:r>
            <w:r>
              <w:rPr>
                <w:rFonts w:hint="default" w:ascii="Times New Roman" w:hAnsi="Times New Roman" w:eastAsia="宋体" w:cs="Times New Roman"/>
                <w:b w:val="0"/>
                <w:bCs/>
                <w:color w:val="000000" w:themeColor="text1"/>
                <w:position w:val="2"/>
                <w:sz w:val="21"/>
                <w:u w:val="single"/>
                <w:vertAlign w:val="subscript"/>
                <w14:textFill>
                  <w14:solidFill>
                    <w14:schemeClr w14:val="tx1"/>
                  </w14:solidFill>
                </w14:textFill>
              </w:rPr>
              <w:t>5</w:t>
            </w:r>
          </w:p>
        </w:tc>
        <w:tc>
          <w:tcPr>
            <w:tcW w:w="281"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position w:val="2"/>
                <w:sz w:val="21"/>
                <w:u w:val="single"/>
                <w14:textFill>
                  <w14:solidFill>
                    <w14:schemeClr w14:val="tx1"/>
                  </w14:solidFill>
                </w14:textFill>
              </w:rPr>
              <w:t>NH</w:t>
            </w:r>
            <w:r>
              <w:rPr>
                <w:rFonts w:hint="default" w:ascii="Times New Roman" w:hAnsi="Times New Roman" w:eastAsia="宋体" w:cs="Times New Roman"/>
                <w:b w:val="0"/>
                <w:bCs/>
                <w:color w:val="000000" w:themeColor="text1"/>
                <w:position w:val="2"/>
                <w:sz w:val="21"/>
                <w:u w:val="single"/>
                <w:vertAlign w:val="subscript"/>
                <w14:textFill>
                  <w14:solidFill>
                    <w14:schemeClr w14:val="tx1"/>
                  </w14:solidFill>
                </w14:textFill>
              </w:rPr>
              <w:t>3</w:t>
            </w:r>
            <w:r>
              <w:rPr>
                <w:rFonts w:hint="default" w:ascii="Times New Roman" w:hAnsi="Times New Roman" w:eastAsia="宋体" w:cs="Times New Roman"/>
                <w:b w:val="0"/>
                <w:bCs/>
                <w:color w:val="000000" w:themeColor="text1"/>
                <w:position w:val="2"/>
                <w:sz w:val="21"/>
                <w:u w:val="single"/>
                <w:vertAlign w:val="baseline"/>
                <w14:textFill>
                  <w14:solidFill>
                    <w14:schemeClr w14:val="tx1"/>
                  </w14:solidFill>
                </w14:textFill>
              </w:rPr>
              <w:t>-N</w:t>
            </w:r>
          </w:p>
        </w:tc>
        <w:tc>
          <w:tcPr>
            <w:tcW w:w="25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TP</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hanging="106"/>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铜</w:t>
            </w:r>
          </w:p>
        </w:tc>
        <w:tc>
          <w:tcPr>
            <w:tcW w:w="365"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hanging="106"/>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锌</w:t>
            </w:r>
          </w:p>
        </w:tc>
        <w:tc>
          <w:tcPr>
            <w:tcW w:w="314"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hanging="106"/>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硒</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hanging="106"/>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砷</w:t>
            </w:r>
          </w:p>
        </w:tc>
        <w:tc>
          <w:tcPr>
            <w:tcW w:w="299"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hanging="106"/>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六价铬</w:t>
            </w:r>
          </w:p>
        </w:tc>
        <w:tc>
          <w:tcPr>
            <w:tcW w:w="31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hanging="106"/>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挥发酚</w:t>
            </w:r>
          </w:p>
        </w:tc>
        <w:tc>
          <w:tcPr>
            <w:tcW w:w="211"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石油类</w:t>
            </w:r>
          </w:p>
        </w:tc>
        <w:tc>
          <w:tcPr>
            <w:tcW w:w="237"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阴离子表面活性剂</w:t>
            </w:r>
          </w:p>
        </w:tc>
        <w:tc>
          <w:tcPr>
            <w:tcW w:w="317"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hanging="104"/>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硫化物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57" w:type="pct"/>
            <w:vMerge w:val="restar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2"/>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2"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17"/>
                <w:u w:val="single"/>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7" w:beforeAutospacing="0" w:after="0" w:afterAutospacing="0" w:line="240" w:lineRule="auto"/>
              <w:ind w:left="9"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2019</w:t>
            </w:r>
            <w:r>
              <w:rPr>
                <w:rFonts w:hint="default" w:ascii="Times New Roman" w:hAnsi="Times New Roman" w:eastAsia="宋体" w:cs="Times New Roman"/>
                <w:b w:val="0"/>
                <w:bCs/>
                <w:color w:val="000000" w:themeColor="text1"/>
                <w:w w:val="99"/>
                <w:sz w:val="21"/>
                <w:u w:val="single"/>
                <w14:textFill>
                  <w14:solidFill>
                    <w14:schemeClr w14:val="tx1"/>
                  </w14:solidFill>
                </w14:textFill>
              </w:rPr>
              <w:t>年</w:t>
            </w: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7.65</w:t>
            </w:r>
          </w:p>
        </w:tc>
        <w:tc>
          <w:tcPr>
            <w:tcW w:w="307"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3.5</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16</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7.2</w:t>
            </w:r>
          </w:p>
        </w:tc>
        <w:tc>
          <w:tcPr>
            <w:tcW w:w="281"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0.15</w:t>
            </w:r>
          </w:p>
        </w:tc>
        <w:tc>
          <w:tcPr>
            <w:tcW w:w="25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0.006</w:t>
            </w:r>
          </w:p>
        </w:tc>
        <w:tc>
          <w:tcPr>
            <w:tcW w:w="365"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0.003</w:t>
            </w:r>
          </w:p>
        </w:tc>
        <w:tc>
          <w:tcPr>
            <w:tcW w:w="299"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11"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5"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2月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7.45</w:t>
            </w:r>
          </w:p>
        </w:tc>
        <w:tc>
          <w:tcPr>
            <w:tcW w:w="307"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3.6</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13</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3.7</w:t>
            </w:r>
          </w:p>
        </w:tc>
        <w:tc>
          <w:tcPr>
            <w:tcW w:w="281"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0.27</w:t>
            </w:r>
          </w:p>
        </w:tc>
        <w:tc>
          <w:tcPr>
            <w:tcW w:w="25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0.08</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0.001</w:t>
            </w:r>
          </w:p>
        </w:tc>
        <w:tc>
          <w:tcPr>
            <w:tcW w:w="365"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0.0005</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3月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7.12</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3.5</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25</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4.4</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0.15</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0.10</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0.001</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4月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7.14</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3.6</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20</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2.9</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0.19</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0.13</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0.015</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5"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5月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6.74</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4.5</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16</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4.4</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0.39</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0.16</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0.0009</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6.75</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4.3</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29</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1.7</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0.51</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0.10</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0.0026</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7月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6.93</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4.2</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16</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5.9</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0.19</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0.20</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0.009</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0.041</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5"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8月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6.96</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4.0</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33</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5.3</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0.42</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0.28</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0.014</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0.0088</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9月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6.95</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4.0</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20</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1.8</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0.17</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0.21</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0.001</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0.0063</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top"/>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0.0005</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10月</w:t>
            </w:r>
          </w:p>
        </w:tc>
        <w:tc>
          <w:tcPr>
            <w:tcW w:w="32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34" w:right="25"/>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6.80</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3.8</w:t>
            </w:r>
          </w:p>
        </w:tc>
        <w:tc>
          <w:tcPr>
            <w:tcW w:w="270"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32</w:t>
            </w:r>
          </w:p>
        </w:tc>
        <w:tc>
          <w:tcPr>
            <w:tcW w:w="392"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5.9</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0.21</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0.16</w:t>
            </w:r>
          </w:p>
        </w:tc>
        <w:tc>
          <w:tcPr>
            <w:tcW w:w="403"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0.001</w:t>
            </w:r>
          </w:p>
        </w:tc>
        <w:tc>
          <w:tcPr>
            <w:tcW w:w="365"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0.0026</w:t>
            </w:r>
          </w:p>
        </w:tc>
        <w:tc>
          <w:tcPr>
            <w:tcW w:w="299"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top"/>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211"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11月</w:t>
            </w:r>
          </w:p>
        </w:tc>
        <w:tc>
          <w:tcPr>
            <w:tcW w:w="32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34" w:leftChars="0" w:right="25"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7.17</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4.0</w:t>
            </w:r>
          </w:p>
        </w:tc>
        <w:tc>
          <w:tcPr>
            <w:tcW w:w="270"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27</w:t>
            </w:r>
          </w:p>
        </w:tc>
        <w:tc>
          <w:tcPr>
            <w:tcW w:w="392"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176" w:leftChars="0" w:right="164"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5.7</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0.32</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0.14</w:t>
            </w:r>
          </w:p>
        </w:tc>
        <w:tc>
          <w:tcPr>
            <w:tcW w:w="403"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0.001</w:t>
            </w:r>
          </w:p>
        </w:tc>
        <w:tc>
          <w:tcPr>
            <w:tcW w:w="365"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7" w:leftChars="0" w:right="1"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29"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29"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0.0011</w:t>
            </w:r>
          </w:p>
        </w:tc>
        <w:tc>
          <w:tcPr>
            <w:tcW w:w="299"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57" w:leftChars="0" w:right="47"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top"/>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1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57" w:leftChars="0" w:right="48"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136"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83"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57" w:type="pct"/>
            <w:vMerge w:val="continue"/>
            <w:tcBorders>
              <w:tl2br w:val="nil"/>
              <w:tr2bl w:val="nil"/>
            </w:tcBorders>
            <w:noWrap w:val="0"/>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
                <w:szCs w:val="2"/>
                <w:u w:val="single"/>
                <w14:textFill>
                  <w14:solidFill>
                    <w14:schemeClr w14:val="tx1"/>
                  </w14:solidFill>
                </w14:textFill>
              </w:rPr>
            </w:pPr>
          </w:p>
        </w:tc>
        <w:tc>
          <w:tcPr>
            <w:tcW w:w="96" w:type="pct"/>
            <w:tcBorders>
              <w:tl2br w:val="nil"/>
              <w:tr2bl w:val="nil"/>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56" w:beforeAutospacing="0" w:after="0" w:afterAutospacing="0" w:line="240" w:lineRule="auto"/>
              <w:ind w:left="49"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12月</w:t>
            </w:r>
          </w:p>
        </w:tc>
        <w:tc>
          <w:tcPr>
            <w:tcW w:w="32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34" w:leftChars="0" w:right="25"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6.98</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ind w:left="69" w:leftChars="0" w:right="57" w:rightChars="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4.1</w:t>
            </w:r>
          </w:p>
        </w:tc>
        <w:tc>
          <w:tcPr>
            <w:tcW w:w="270"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26</w:t>
            </w:r>
          </w:p>
        </w:tc>
        <w:tc>
          <w:tcPr>
            <w:tcW w:w="392"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76" w:leftChars="0" w:right="164"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3.5</w:t>
            </w:r>
          </w:p>
        </w:tc>
        <w:tc>
          <w:tcPr>
            <w:tcW w:w="281"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0.04</w:t>
            </w:r>
          </w:p>
        </w:tc>
        <w:tc>
          <w:tcPr>
            <w:tcW w:w="252" w:type="pct"/>
            <w:tcBorders>
              <w:tl2br w:val="nil"/>
              <w:tr2bl w:val="nil"/>
            </w:tcBorders>
            <w:noWrap w:val="0"/>
            <w:vAlign w:val="top"/>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0.08</w:t>
            </w:r>
          </w:p>
        </w:tc>
        <w:tc>
          <w:tcPr>
            <w:tcW w:w="403"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0.001</w:t>
            </w:r>
          </w:p>
        </w:tc>
        <w:tc>
          <w:tcPr>
            <w:tcW w:w="365"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 w:leftChars="0" w:right="1"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0.05</w:t>
            </w:r>
          </w:p>
        </w:tc>
        <w:tc>
          <w:tcPr>
            <w:tcW w:w="314"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29"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0.0004</w:t>
            </w:r>
          </w:p>
        </w:tc>
        <w:tc>
          <w:tcPr>
            <w:tcW w:w="44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29"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0.0007</w:t>
            </w:r>
          </w:p>
        </w:tc>
        <w:tc>
          <w:tcPr>
            <w:tcW w:w="299"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7"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0.004</w:t>
            </w:r>
          </w:p>
        </w:tc>
        <w:tc>
          <w:tcPr>
            <w:tcW w:w="316" w:type="pct"/>
            <w:tcBorders>
              <w:tl2br w:val="nil"/>
              <w:tr2bl w:val="nil"/>
            </w:tcBorders>
            <w:noWrap w:val="0"/>
            <w:vAlign w:val="top"/>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0.0003</w:t>
            </w:r>
          </w:p>
        </w:tc>
        <w:tc>
          <w:tcPr>
            <w:tcW w:w="21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8"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0.01</w:t>
            </w:r>
          </w:p>
        </w:tc>
        <w:tc>
          <w:tcPr>
            <w:tcW w:w="23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6"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color w:val="000000" w:themeColor="text1"/>
                <w:sz w:val="21"/>
                <w:u w:val="single"/>
                <w14:textFill>
                  <w14:solidFill>
                    <w14:schemeClr w14:val="tx1"/>
                  </w14:solidFill>
                </w14:textFill>
              </w:rPr>
              <w:t>0.05</w:t>
            </w:r>
          </w:p>
        </w:tc>
        <w:tc>
          <w:tcPr>
            <w:tcW w:w="31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3"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253" w:type="pct"/>
            <w:gridSpan w:val="2"/>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t>执行标准</w:t>
            </w:r>
          </w:p>
        </w:tc>
        <w:tc>
          <w:tcPr>
            <w:tcW w:w="328"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t>6~9</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w:t>
            </w: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10</w:t>
            </w:r>
          </w:p>
        </w:tc>
        <w:tc>
          <w:tcPr>
            <w:tcW w:w="270"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14:textFill>
                  <w14:solidFill>
                    <w14:schemeClr w14:val="tx1"/>
                  </w14:solidFill>
                </w14:textFill>
              </w:rPr>
              <w:t>≤</w:t>
            </w: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30</w:t>
            </w:r>
          </w:p>
        </w:tc>
        <w:tc>
          <w:tcPr>
            <w:tcW w:w="392"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74" w:leftChars="0" w:right="167" w:rightChars="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6</w:t>
            </w:r>
          </w:p>
        </w:tc>
        <w:tc>
          <w:tcPr>
            <w:tcW w:w="281"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9"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1.5</w:t>
            </w:r>
          </w:p>
        </w:tc>
        <w:tc>
          <w:tcPr>
            <w:tcW w:w="252"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≤0.</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w:t>
            </w:r>
          </w:p>
        </w:tc>
        <w:tc>
          <w:tcPr>
            <w:tcW w:w="403"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6"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≤1</w:t>
            </w:r>
          </w:p>
        </w:tc>
        <w:tc>
          <w:tcPr>
            <w:tcW w:w="365"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≤2.0</w:t>
            </w:r>
          </w:p>
        </w:tc>
        <w:tc>
          <w:tcPr>
            <w:tcW w:w="314"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≤0.0</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2</w:t>
            </w:r>
          </w:p>
        </w:tc>
        <w:tc>
          <w:tcPr>
            <w:tcW w:w="44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≤0.</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w:t>
            </w:r>
          </w:p>
        </w:tc>
        <w:tc>
          <w:tcPr>
            <w:tcW w:w="299"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7"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0.05</w:t>
            </w:r>
          </w:p>
        </w:tc>
        <w:tc>
          <w:tcPr>
            <w:tcW w:w="316"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24"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≤0.0</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w:t>
            </w:r>
          </w:p>
        </w:tc>
        <w:tc>
          <w:tcPr>
            <w:tcW w:w="211"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8" w:rightChars="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≤0.</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5</w:t>
            </w:r>
          </w:p>
        </w:tc>
        <w:tc>
          <w:tcPr>
            <w:tcW w:w="23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≤0.</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3</w:t>
            </w:r>
          </w:p>
        </w:tc>
        <w:tc>
          <w:tcPr>
            <w:tcW w:w="31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14:textFill>
                  <w14:solidFill>
                    <w14:schemeClr w14:val="tx1"/>
                  </w14:solidFill>
                </w14:textFill>
              </w:rPr>
              <w:t>≤0.</w:t>
            </w: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253" w:type="pct"/>
            <w:gridSpan w:val="2"/>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t>标准指数范围</w:t>
            </w:r>
          </w:p>
        </w:tc>
        <w:tc>
          <w:tcPr>
            <w:tcW w:w="32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34" w:leftChars="0" w:right="25"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0.26~0.38</w:t>
            </w:r>
          </w:p>
        </w:tc>
        <w:tc>
          <w:tcPr>
            <w:tcW w:w="30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0.35~0.45</w:t>
            </w:r>
          </w:p>
        </w:tc>
        <w:tc>
          <w:tcPr>
            <w:tcW w:w="270"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0.43~1.1</w:t>
            </w:r>
          </w:p>
        </w:tc>
        <w:tc>
          <w:tcPr>
            <w:tcW w:w="392"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74" w:leftChars="0" w:right="167"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0.28~1.2</w:t>
            </w:r>
          </w:p>
        </w:tc>
        <w:tc>
          <w:tcPr>
            <w:tcW w:w="281"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9"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0.1~0.34</w:t>
            </w:r>
          </w:p>
        </w:tc>
        <w:tc>
          <w:tcPr>
            <w:tcW w:w="252"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0.5~2.8</w:t>
            </w:r>
          </w:p>
        </w:tc>
        <w:tc>
          <w:tcPr>
            <w:tcW w:w="403"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6"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0.001~0.015</w:t>
            </w:r>
          </w:p>
        </w:tc>
        <w:tc>
          <w:tcPr>
            <w:tcW w:w="365"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0.025</w:t>
            </w:r>
          </w:p>
        </w:tc>
        <w:tc>
          <w:tcPr>
            <w:tcW w:w="314"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0.02</w:t>
            </w:r>
          </w:p>
        </w:tc>
        <w:tc>
          <w:tcPr>
            <w:tcW w:w="44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0.009~0.0088</w:t>
            </w:r>
          </w:p>
        </w:tc>
        <w:tc>
          <w:tcPr>
            <w:tcW w:w="299"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7"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0.08</w:t>
            </w:r>
          </w:p>
        </w:tc>
        <w:tc>
          <w:tcPr>
            <w:tcW w:w="316"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24"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0.03~0.05</w:t>
            </w:r>
          </w:p>
        </w:tc>
        <w:tc>
          <w:tcPr>
            <w:tcW w:w="211"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8"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0.02</w:t>
            </w:r>
          </w:p>
        </w:tc>
        <w:tc>
          <w:tcPr>
            <w:tcW w:w="23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0.17</w:t>
            </w:r>
          </w:p>
        </w:tc>
        <w:tc>
          <w:tcPr>
            <w:tcW w:w="317"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253" w:type="pct"/>
            <w:gridSpan w:val="2"/>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t>超标率</w:t>
            </w:r>
          </w:p>
        </w:tc>
        <w:tc>
          <w:tcPr>
            <w:tcW w:w="32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34" w:leftChars="0" w:right="25"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0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val="en-US" w:eastAsia="zh-CN"/>
                <w14:textFill>
                  <w14:solidFill>
                    <w14:schemeClr w14:val="tx1"/>
                  </w14:solidFill>
                </w14:textFill>
              </w:rPr>
              <w:t>0</w:t>
            </w:r>
          </w:p>
        </w:tc>
        <w:tc>
          <w:tcPr>
            <w:tcW w:w="270"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16.7%</w:t>
            </w:r>
          </w:p>
        </w:tc>
        <w:tc>
          <w:tcPr>
            <w:tcW w:w="392"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74" w:leftChars="0" w:right="167"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8.3%</w:t>
            </w:r>
          </w:p>
        </w:tc>
        <w:tc>
          <w:tcPr>
            <w:tcW w:w="28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9"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52"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lang w:val="en-US"/>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75%</w:t>
            </w:r>
          </w:p>
        </w:tc>
        <w:tc>
          <w:tcPr>
            <w:tcW w:w="403"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6"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65"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14"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448"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99"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7"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16"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24"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1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8"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3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1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253" w:type="pct"/>
            <w:gridSpan w:val="2"/>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t>最大超标倍数</w:t>
            </w:r>
          </w:p>
        </w:tc>
        <w:tc>
          <w:tcPr>
            <w:tcW w:w="32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34" w:leftChars="0" w:right="25" w:rightChars="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0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70"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val="en-US"/>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0.1</w:t>
            </w:r>
          </w:p>
        </w:tc>
        <w:tc>
          <w:tcPr>
            <w:tcW w:w="392"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74" w:leftChars="0" w:right="167" w:rightChars="0"/>
              <w:jc w:val="center"/>
              <w:textAlignment w:val="auto"/>
              <w:rPr>
                <w:rFonts w:hint="default" w:ascii="Times New Roman" w:hAnsi="Times New Roman" w:eastAsia="宋体" w:cs="Times New Roman"/>
                <w:b w:val="0"/>
                <w:bCs/>
                <w:color w:val="000000" w:themeColor="text1"/>
                <w:sz w:val="21"/>
                <w:u w:val="single"/>
                <w:lang w:val="en-US"/>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0.2</w:t>
            </w:r>
          </w:p>
        </w:tc>
        <w:tc>
          <w:tcPr>
            <w:tcW w:w="28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9"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52"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0.64</w:t>
            </w:r>
          </w:p>
        </w:tc>
        <w:tc>
          <w:tcPr>
            <w:tcW w:w="403"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6"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65"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14"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448"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99"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7"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16"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24"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1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8"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23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c>
          <w:tcPr>
            <w:tcW w:w="31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2" w:hRule="atLeast"/>
        </w:trPr>
        <w:tc>
          <w:tcPr>
            <w:tcW w:w="253" w:type="pct"/>
            <w:gridSpan w:val="2"/>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u w:val="single"/>
                <w:lang w:val="en-US" w:eastAsia="zh-CN" w:bidi="ar-SA"/>
                <w14:textFill>
                  <w14:solidFill>
                    <w14:schemeClr w14:val="tx1"/>
                  </w14:solidFill>
                </w14:textFill>
              </w:rPr>
              <w:t>是否达标</w:t>
            </w:r>
          </w:p>
        </w:tc>
        <w:tc>
          <w:tcPr>
            <w:tcW w:w="328" w:type="pct"/>
            <w:tcBorders>
              <w:tl2br w:val="nil"/>
              <w:tr2bl w:val="nil"/>
            </w:tcBorders>
            <w:noWrap w:val="0"/>
            <w:vAlign w:val="center"/>
          </w:tcPr>
          <w:p>
            <w:pPr>
              <w:pStyle w:val="112"/>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34" w:leftChars="0" w:right="25" w:rightChars="0"/>
              <w:jc w:val="center"/>
              <w:textAlignment w:val="auto"/>
              <w:rPr>
                <w:rFonts w:hint="default" w:ascii="Times New Roman" w:hAnsi="Times New Roman" w:eastAsia="宋体" w:cs="Times New Roman"/>
                <w:b w:val="0"/>
                <w:bCs/>
                <w:color w:val="000000" w:themeColor="text1"/>
                <w:sz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30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270"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1"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u w:val="singl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eastAsia="zh-CN"/>
                <w14:textFill>
                  <w14:solidFill>
                    <w14:schemeClr w14:val="tx1"/>
                  </w14:solidFill>
                </w14:textFill>
              </w:rPr>
              <w:t>超标</w:t>
            </w:r>
          </w:p>
        </w:tc>
        <w:tc>
          <w:tcPr>
            <w:tcW w:w="392"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74" w:leftChars="0" w:right="167"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eastAsia="zh-CN"/>
                <w14:textFill>
                  <w14:solidFill>
                    <w14:schemeClr w14:val="tx1"/>
                  </w14:solidFill>
                </w14:textFill>
              </w:rPr>
              <w:t>超标</w:t>
            </w:r>
          </w:p>
        </w:tc>
        <w:tc>
          <w:tcPr>
            <w:tcW w:w="28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9"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252"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lang w:eastAsia="zh-CN"/>
                <w14:textFill>
                  <w14:solidFill>
                    <w14:schemeClr w14:val="tx1"/>
                  </w14:solidFill>
                </w14:textFill>
              </w:rPr>
              <w:t>超标</w:t>
            </w:r>
          </w:p>
        </w:tc>
        <w:tc>
          <w:tcPr>
            <w:tcW w:w="403"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6"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365"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8"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314"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448"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77"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299"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7"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316"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24"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211"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57" w:leftChars="0" w:right="48" w:rightChars="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23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c>
          <w:tcPr>
            <w:tcW w:w="317" w:type="pct"/>
            <w:tcBorders>
              <w:tl2br w:val="nil"/>
              <w:tr2bl w:val="nil"/>
            </w:tcBorders>
            <w:noWrap w:val="0"/>
            <w:vAlign w:val="center"/>
          </w:tcPr>
          <w:p>
            <w:pPr>
              <w:keepNext w:val="0"/>
              <w:keepLines w:val="0"/>
              <w:pageBreakBefore w:val="0"/>
              <w:widowControl w:val="0"/>
              <w:suppressLineNumbers w:val="0"/>
              <w:wordWrap/>
              <w:topLinePunct w:val="0"/>
              <w:autoSpaceDE w:val="0"/>
              <w:autoSpaceDN w:val="0"/>
              <w:bidi w:val="0"/>
              <w:adjustRightInd w:val="0"/>
              <w:snapToGrid w:val="0"/>
              <w:spacing w:before="0" w:beforeAutospacing="0" w:after="0" w:afterAutospacing="0" w:line="240" w:lineRule="auto"/>
              <w:ind w:left="131" w:leftChars="0" w:right="0"/>
              <w:jc w:val="center"/>
              <w:textAlignment w:val="auto"/>
              <w:rPr>
                <w:rFonts w:hint="default" w:ascii="Times New Roman" w:hAnsi="Times New Roman" w:eastAsia="宋体" w:cs="Times New Roman"/>
                <w:b w:val="0"/>
                <w:bCs/>
                <w:color w:val="000000" w:themeColor="text1"/>
                <w:sz w:val="21"/>
                <w:u w:val="single"/>
                <w14:textFill>
                  <w14:solidFill>
                    <w14:schemeClr w14:val="tx1"/>
                  </w14:solidFill>
                </w14:textFill>
              </w:rPr>
            </w:pPr>
            <w:r>
              <w:rPr>
                <w:rFonts w:hint="default" w:ascii="Times New Roman" w:hAnsi="Times New Roman" w:eastAsia="宋体" w:cs="Times New Roman"/>
                <w:b w:val="0"/>
                <w:bCs/>
                <w:color w:val="000000" w:themeColor="text1"/>
                <w:sz w:val="21"/>
                <w:u w:val="single"/>
                <w:lang w:eastAsia="zh-CN"/>
                <w14:textFill>
                  <w14:solidFill>
                    <w14:schemeClr w14:val="tx1"/>
                  </w14:solidFill>
                </w14:textFill>
              </w:rPr>
              <w:t>达标</w:t>
            </w:r>
          </w:p>
        </w:tc>
      </w:tr>
    </w:tbl>
    <w:p>
      <w:pPr>
        <w:pStyle w:val="14"/>
        <w:ind w:firstLine="480" w:firstLineChars="200"/>
        <w:jc w:val="both"/>
        <w:rPr>
          <w:rFonts w:hint="default" w:ascii="Times New Roman" w:hAnsi="Times New Roman" w:cs="Times New Roman"/>
          <w:b w:val="0"/>
          <w:bCs/>
          <w:color w:val="000000" w:themeColor="text1"/>
          <w:u w:val="single"/>
          <w14:textFill>
            <w14:solidFill>
              <w14:schemeClr w14:val="tx1"/>
            </w14:solidFill>
          </w14:textFill>
        </w:rPr>
        <w:sectPr>
          <w:pgSz w:w="16838" w:h="11906" w:orient="landscape"/>
          <w:pgMar w:top="1440" w:right="1440" w:bottom="1440" w:left="1440" w:header="720" w:footer="720" w:gutter="0"/>
          <w:pgBorders>
            <w:top w:val="none" w:sz="0" w:space="0"/>
            <w:left w:val="none" w:sz="0" w:space="0"/>
            <w:bottom w:val="none" w:sz="0" w:space="0"/>
            <w:right w:val="none" w:sz="0" w:space="0"/>
          </w:pgBorders>
          <w:cols w:space="720" w:num="1"/>
          <w:rtlGutter w:val="0"/>
          <w:docGrid w:linePitch="326" w:charSpace="0"/>
        </w:sectPr>
      </w:pPr>
      <w:r>
        <w:rPr>
          <w:rFonts w:hint="default" w:ascii="Times New Roman" w:hAnsi="Times New Roman" w:cs="Times New Roman"/>
          <w:b w:val="0"/>
          <w:bCs/>
          <w:color w:val="000000" w:themeColor="text1"/>
          <w:u w:val="single"/>
          <w14:textFill>
            <w14:solidFill>
              <w14:schemeClr w14:val="tx1"/>
            </w14:solidFill>
          </w14:textFill>
        </w:rPr>
        <w:t xml:space="preserve"> 根据监测结果可知，松阳湖BOD</w:t>
      </w:r>
      <w:r>
        <w:rPr>
          <w:rFonts w:hint="default" w:ascii="Times New Roman" w:hAnsi="Times New Roman" w:cs="Times New Roman"/>
          <w:b w:val="0"/>
          <w:bCs/>
          <w:color w:val="000000" w:themeColor="text1"/>
          <w:u w:val="single"/>
          <w:vertAlign w:val="subscript"/>
          <w14:textFill>
            <w14:solidFill>
              <w14:schemeClr w14:val="tx1"/>
            </w14:solidFill>
          </w14:textFill>
        </w:rPr>
        <w:t>5</w:t>
      </w:r>
      <w:r>
        <w:rPr>
          <w:rFonts w:hint="default" w:ascii="Times New Roman" w:hAnsi="Times New Roman" w:cs="Times New Roman"/>
          <w:b w:val="0"/>
          <w:bCs/>
          <w:color w:val="000000" w:themeColor="text1"/>
          <w:u w:val="single"/>
          <w:lang w:eastAsia="zh-CN"/>
          <w14:textFill>
            <w14:solidFill>
              <w14:schemeClr w14:val="tx1"/>
            </w14:solidFill>
          </w14:textFill>
        </w:rPr>
        <w:t>、COD、NH</w:t>
      </w:r>
      <w:r>
        <w:rPr>
          <w:rFonts w:hint="default" w:ascii="Times New Roman" w:hAnsi="Times New Roman" w:cs="Times New Roman"/>
          <w:b w:val="0"/>
          <w:bCs/>
          <w:color w:val="000000" w:themeColor="text1"/>
          <w:u w:val="single"/>
          <w:vertAlign w:val="subscript"/>
          <w:lang w:eastAsia="zh-CN"/>
          <w14:textFill>
            <w14:solidFill>
              <w14:schemeClr w14:val="tx1"/>
            </w14:solidFill>
          </w14:textFill>
        </w:rPr>
        <w:t>3</w:t>
      </w:r>
      <w:r>
        <w:rPr>
          <w:rFonts w:hint="default" w:ascii="Times New Roman" w:hAnsi="Times New Roman" w:cs="Times New Roman"/>
          <w:b w:val="0"/>
          <w:bCs/>
          <w:color w:val="000000" w:themeColor="text1"/>
          <w:u w:val="single"/>
          <w:lang w:eastAsia="zh-CN"/>
          <w14:textFill>
            <w14:solidFill>
              <w14:schemeClr w14:val="tx1"/>
            </w14:solidFill>
          </w14:textFill>
        </w:rPr>
        <w:t>-N</w:t>
      </w:r>
      <w:r>
        <w:rPr>
          <w:rFonts w:hint="default" w:ascii="Times New Roman" w:hAnsi="Times New Roman" w:cs="Times New Roman"/>
          <w:b w:val="0"/>
          <w:bCs/>
          <w:color w:val="000000" w:themeColor="text1"/>
          <w:u w:val="single"/>
          <w14:textFill>
            <w14:solidFill>
              <w14:schemeClr w14:val="tx1"/>
            </w14:solidFill>
          </w14:textFill>
        </w:rPr>
        <w:t>存在超标现象，其余指标满足《地表水环境质量标准》（GB3838-2002）中的Ⅳ类标准要求。待区域配套雨污管网全面建成后，松阳湖水质将得到改善。</w:t>
      </w:r>
    </w:p>
    <w:p>
      <w:pPr>
        <w:pStyle w:val="5"/>
        <w:rPr>
          <w:color w:val="000000" w:themeColor="text1"/>
          <w14:textFill>
            <w14:solidFill>
              <w14:schemeClr w14:val="tx1"/>
            </w14:solidFill>
          </w14:textFill>
        </w:rPr>
      </w:pPr>
      <w:r>
        <w:rPr>
          <w:color w:val="000000" w:themeColor="text1"/>
          <w14:textFill>
            <w14:solidFill>
              <w14:schemeClr w14:val="tx1"/>
            </w14:solidFill>
          </w14:textFill>
        </w:rPr>
        <w:t>地下水环境现状调查及评价</w:t>
      </w:r>
      <w:bookmarkEnd w:id="169"/>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u w:val="single"/>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根据《环境影响评价技术导则  地下水环境》（HJ610-2016）相关要求：“地下水环境影响评价应充分利用已有资料和数据，二级评价项目</w:t>
      </w:r>
      <w:r>
        <w:rPr>
          <w:rFonts w:hint="eastAsia" w:cs="Times New Roman"/>
          <w:color w:val="000000" w:themeColor="text1"/>
          <w:u w:val="single"/>
          <w:lang w:val="en-US" w:eastAsia="zh-CN"/>
          <w14:textFill>
            <w14:solidFill>
              <w14:schemeClr w14:val="tx1"/>
            </w14:solidFill>
          </w14:textFill>
        </w:rPr>
        <w:t>评价范围在6~20km</w:t>
      </w:r>
      <w:r>
        <w:rPr>
          <w:rFonts w:hint="eastAsia" w:cs="Times New Roman"/>
          <w:color w:val="000000" w:themeColor="text1"/>
          <w:u w:val="single"/>
          <w:vertAlign w:val="superscript"/>
          <w:lang w:val="en-US" w:eastAsia="zh-CN"/>
          <w14:textFill>
            <w14:solidFill>
              <w14:schemeClr w14:val="tx1"/>
            </w14:solidFill>
          </w14:textFill>
        </w:rPr>
        <w:t>2</w:t>
      </w:r>
      <w:r>
        <w:rPr>
          <w:rFonts w:hint="eastAsia" w:cs="Times New Roman"/>
          <w:color w:val="000000" w:themeColor="text1"/>
          <w:u w:val="single"/>
          <w:vertAlign w:val="baseline"/>
          <w:lang w:val="en-US" w:eastAsia="zh-CN"/>
          <w14:textFill>
            <w14:solidFill>
              <w14:schemeClr w14:val="tx1"/>
            </w14:solidFill>
          </w14:textFill>
        </w:rPr>
        <w:t>（本项目地下水引用数据在6km</w:t>
      </w:r>
      <w:r>
        <w:rPr>
          <w:rFonts w:hint="eastAsia" w:cs="Times New Roman"/>
          <w:color w:val="000000" w:themeColor="text1"/>
          <w:u w:val="single"/>
          <w:vertAlign w:val="superscript"/>
          <w:lang w:val="en-US" w:eastAsia="zh-CN"/>
          <w14:textFill>
            <w14:solidFill>
              <w14:schemeClr w14:val="tx1"/>
            </w14:solidFill>
          </w14:textFill>
        </w:rPr>
        <w:t>2</w:t>
      </w:r>
      <w:r>
        <w:rPr>
          <w:rFonts w:hint="eastAsia" w:cs="Times New Roman"/>
          <w:color w:val="000000" w:themeColor="text1"/>
          <w:u w:val="single"/>
          <w:vertAlign w:val="baseline"/>
          <w:lang w:val="en-US" w:eastAsia="zh-CN"/>
          <w14:textFill>
            <w14:solidFill>
              <w14:schemeClr w14:val="tx1"/>
            </w14:solidFill>
          </w14:textFill>
        </w:rPr>
        <w:t>范围内，引用数据点位图具体见附图），并且</w:t>
      </w:r>
      <w:r>
        <w:rPr>
          <w:rFonts w:hint="default" w:ascii="Times New Roman" w:hAnsi="Times New Roman" w:cs="Times New Roman"/>
          <w:color w:val="000000" w:themeColor="text1"/>
          <w:u w:val="single"/>
          <w14:textFill>
            <w14:solidFill>
              <w14:schemeClr w14:val="tx1"/>
            </w14:solidFill>
          </w14:textFill>
        </w:rPr>
        <w:t>潜水含水层水质监测点不少于5个，原则上上游及下游影响区域的地下水水质监测点不得少于一个”因此，为了解项目评价区域地下水环境质量现状，本次环评收集了《</w:t>
      </w:r>
      <w:r>
        <w:rPr>
          <w:rFonts w:hint="default" w:ascii="Times New Roman" w:hAnsi="Times New Roman" w:cs="Times New Roman"/>
          <w:color w:val="000000" w:themeColor="text1"/>
          <w:u w:val="single"/>
          <w:lang w:eastAsia="zh-CN"/>
          <w14:textFill>
            <w14:solidFill>
              <w14:schemeClr w14:val="tx1"/>
            </w14:solidFill>
          </w14:textFill>
        </w:rPr>
        <w:t>岳阳隆兴实业公司合成化工厂氯丁烷装置扩能改造及新建原料产品罐区项目</w:t>
      </w:r>
      <w:r>
        <w:rPr>
          <w:rFonts w:hint="default" w:ascii="Times New Roman" w:hAnsi="Times New Roman" w:cs="Times New Roman"/>
          <w:color w:val="000000" w:themeColor="text1"/>
          <w:u w:val="single"/>
          <w14:textFill>
            <w14:solidFill>
              <w14:schemeClr w14:val="tx1"/>
            </w14:solidFill>
          </w14:textFill>
        </w:rPr>
        <w:t>》</w:t>
      </w:r>
      <w:r>
        <w:rPr>
          <w:rFonts w:hint="default" w:ascii="Times New Roman" w:hAnsi="Times New Roman" w:cs="Times New Roman"/>
          <w:color w:val="000000" w:themeColor="text1"/>
          <w:u w:val="single"/>
          <w:lang w:val="en-US" w:eastAsia="zh-CN"/>
          <w14:textFill>
            <w14:solidFill>
              <w14:schemeClr w14:val="tx1"/>
            </w14:solidFill>
          </w14:textFill>
        </w:rPr>
        <w:t>和《</w:t>
      </w:r>
      <w:r>
        <w:rPr>
          <w:rFonts w:hint="eastAsia" w:cs="Times New Roman"/>
          <w:color w:val="000000" w:themeColor="text1"/>
          <w:u w:val="single"/>
          <w:lang w:val="en-US" w:eastAsia="zh-CN"/>
          <w14:textFill>
            <w14:solidFill>
              <w14:schemeClr w14:val="tx1"/>
            </w14:solidFill>
          </w14:textFill>
        </w:rPr>
        <w:t>岳阳市云溪区云溪加油站建设项目</w:t>
      </w:r>
      <w:r>
        <w:rPr>
          <w:rFonts w:hint="default" w:ascii="Times New Roman" w:hAnsi="Times New Roman" w:cs="Times New Roman"/>
          <w:color w:val="000000" w:themeColor="text1"/>
          <w:u w:val="single"/>
          <w:lang w:val="en-US" w:eastAsia="zh-CN"/>
          <w14:textFill>
            <w14:solidFill>
              <w14:schemeClr w14:val="tx1"/>
            </w14:solidFill>
          </w14:textFill>
        </w:rPr>
        <w:t>》地下水环境质量监测数据</w:t>
      </w:r>
      <w:r>
        <w:rPr>
          <w:rFonts w:hint="default" w:ascii="Times New Roman" w:hAnsi="Times New Roman" w:cs="Times New Roman"/>
          <w:color w:val="000000" w:themeColor="text1"/>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（1）监测布点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u w:val="single"/>
          <w:lang w:val="en-US" w:eastAsia="zh-CN"/>
          <w14:textFill>
            <w14:solidFill>
              <w14:schemeClr w14:val="tx1"/>
            </w14:solidFill>
          </w14:textFill>
        </w:rPr>
      </w:pPr>
      <w:r>
        <w:rPr>
          <w:rFonts w:hint="default" w:ascii="Times New Roman" w:hAnsi="Times New Roman" w:cs="Times New Roman"/>
          <w:color w:val="000000" w:themeColor="text1"/>
          <w:u w:val="single"/>
          <w:lang w:eastAsia="zh-CN"/>
          <w14:textFill>
            <w14:solidFill>
              <w14:schemeClr w14:val="tx1"/>
            </w14:solidFill>
          </w14:textFill>
        </w:rPr>
        <w:t>引用《岳阳隆兴实业公司合成化工厂氯丁烷装置扩能改造及新建原料产品罐区项目</w:t>
      </w:r>
      <w:r>
        <w:rPr>
          <w:rFonts w:hint="default" w:ascii="Times New Roman" w:hAnsi="Times New Roman" w:cs="Times New Roman"/>
          <w:color w:val="000000" w:themeColor="text1"/>
          <w:u w:val="single"/>
          <w14:textFill>
            <w14:solidFill>
              <w14:schemeClr w14:val="tx1"/>
            </w14:solidFill>
          </w14:textFill>
        </w:rPr>
        <w:t xml:space="preserve">》 </w:t>
      </w:r>
      <w:r>
        <w:rPr>
          <w:rFonts w:hint="default" w:ascii="Times New Roman" w:hAnsi="Times New Roman" w:cs="Times New Roman"/>
          <w:color w:val="000000" w:themeColor="text1"/>
          <w:u w:val="single"/>
          <w:lang w:eastAsia="zh-CN"/>
          <w14:textFill>
            <w14:solidFill>
              <w14:schemeClr w14:val="tx1"/>
            </w14:solidFill>
          </w14:textFill>
        </w:rPr>
        <w:t>周边居民水井</w:t>
      </w:r>
      <w:r>
        <w:rPr>
          <w:rFonts w:hint="default" w:ascii="Times New Roman" w:hAnsi="Times New Roman" w:cs="Times New Roman"/>
          <w:color w:val="000000" w:themeColor="text1"/>
          <w:u w:val="single"/>
          <w:lang w:val="en-US" w:eastAsia="zh-CN"/>
          <w14:textFill>
            <w14:solidFill>
              <w14:schemeClr w14:val="tx1"/>
            </w14:solidFill>
          </w14:textFill>
        </w:rPr>
        <w:t>3个点位数据，引用《</w:t>
      </w:r>
      <w:r>
        <w:rPr>
          <w:rFonts w:hint="eastAsia" w:cs="Times New Roman"/>
          <w:color w:val="000000" w:themeColor="text1"/>
          <w:u w:val="single"/>
          <w:lang w:val="en-US" w:eastAsia="zh-CN"/>
          <w14:textFill>
            <w14:solidFill>
              <w14:schemeClr w14:val="tx1"/>
            </w14:solidFill>
          </w14:textFill>
        </w:rPr>
        <w:t>岳阳市云溪区云溪加油站建设项目</w:t>
      </w:r>
      <w:r>
        <w:rPr>
          <w:rFonts w:hint="default" w:ascii="Times New Roman" w:hAnsi="Times New Roman" w:cs="Times New Roman"/>
          <w:color w:val="000000" w:themeColor="text1"/>
          <w:u w:val="single"/>
          <w:lang w:val="en-US" w:eastAsia="zh-CN"/>
          <w14:textFill>
            <w14:solidFill>
              <w14:schemeClr w14:val="tx1"/>
            </w14:solidFill>
          </w14:textFill>
        </w:rPr>
        <w:t>》中</w:t>
      </w:r>
      <w:r>
        <w:rPr>
          <w:rFonts w:hint="eastAsia" w:cs="Times New Roman"/>
          <w:color w:val="000000" w:themeColor="text1"/>
          <w:u w:val="single"/>
          <w:lang w:val="en-US" w:eastAsia="zh-CN"/>
          <w14:textFill>
            <w14:solidFill>
              <w14:schemeClr w14:val="tx1"/>
            </w14:solidFill>
          </w14:textFill>
        </w:rPr>
        <w:t>1</w:t>
      </w:r>
      <w:r>
        <w:rPr>
          <w:rFonts w:hint="default" w:ascii="Times New Roman" w:hAnsi="Times New Roman" w:cs="Times New Roman"/>
          <w:color w:val="000000" w:themeColor="text1"/>
          <w:u w:val="single"/>
          <w:lang w:val="en-US" w:eastAsia="zh-CN"/>
          <w14:textFill>
            <w14:solidFill>
              <w14:schemeClr w14:val="tx1"/>
            </w14:solidFill>
          </w14:textFill>
        </w:rPr>
        <w:t>个点位，</w:t>
      </w:r>
      <w:r>
        <w:rPr>
          <w:rFonts w:hint="eastAsia" w:cs="Times New Roman"/>
          <w:color w:val="000000" w:themeColor="text1"/>
          <w:u w:val="single"/>
          <w:lang w:val="en-US" w:eastAsia="zh-CN"/>
          <w14:textFill>
            <w14:solidFill>
              <w14:schemeClr w14:val="tx1"/>
            </w14:solidFill>
          </w14:textFill>
        </w:rPr>
        <w:t>还引用了《云溪区工业固体废弃物处置（一期工程）项目》中的1个点位。总</w:t>
      </w:r>
      <w:r>
        <w:rPr>
          <w:rFonts w:hint="default" w:ascii="Times New Roman" w:hAnsi="Times New Roman" w:cs="Times New Roman"/>
          <w:color w:val="000000" w:themeColor="text1"/>
          <w:u w:val="single"/>
          <w:lang w:val="en-US" w:eastAsia="zh-CN"/>
          <w14:textFill>
            <w14:solidFill>
              <w14:schemeClr w14:val="tx1"/>
            </w14:solidFill>
          </w14:textFill>
        </w:rPr>
        <w:t>的引用数据</w:t>
      </w:r>
      <w:r>
        <w:rPr>
          <w:rFonts w:hint="default" w:ascii="Times New Roman" w:hAnsi="Times New Roman" w:cs="Times New Roman"/>
          <w:color w:val="000000" w:themeColor="text1"/>
          <w:sz w:val="24"/>
          <w:u w:val="single"/>
          <w14:textFill>
            <w14:solidFill>
              <w14:schemeClr w14:val="tx1"/>
            </w14:solidFill>
          </w14:textFill>
        </w:rPr>
        <w:t>位于上游和下游两侧，共</w:t>
      </w:r>
      <w:r>
        <w:rPr>
          <w:rFonts w:hint="default" w:ascii="Times New Roman" w:hAnsi="Times New Roman" w:cs="Times New Roman"/>
          <w:color w:val="000000" w:themeColor="text1"/>
          <w:sz w:val="24"/>
          <w:u w:val="single"/>
          <w:lang w:val="en-US" w:eastAsia="zh-CN"/>
          <w14:textFill>
            <w14:solidFill>
              <w14:schemeClr w14:val="tx1"/>
            </w14:solidFill>
          </w14:textFill>
        </w:rPr>
        <w:t>5</w:t>
      </w:r>
      <w:r>
        <w:rPr>
          <w:rFonts w:hint="default" w:ascii="Times New Roman" w:hAnsi="Times New Roman" w:cs="Times New Roman"/>
          <w:color w:val="000000" w:themeColor="text1"/>
          <w:sz w:val="24"/>
          <w:u w:val="single"/>
          <w14:textFill>
            <w14:solidFill>
              <w14:schemeClr w14:val="tx1"/>
            </w14:solidFill>
          </w14:textFill>
        </w:rPr>
        <w:t>个监测点，符合导则要求（详细监测点位见附图）</w:t>
      </w:r>
      <w:r>
        <w:rPr>
          <w:rFonts w:hint="default" w:ascii="Times New Roman" w:hAnsi="Times New Roman" w:cs="Times New Roman"/>
          <w:color w:val="000000" w:themeColor="text1"/>
          <w:szCs w:val="20"/>
          <w:u w:val="single"/>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监测因子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cs="Times New Roman"/>
          <w:b w:val="0"/>
          <w:bCs/>
          <w:color w:val="000000" w:themeColor="text1"/>
          <w:sz w:val="24"/>
          <w:szCs w:val="24"/>
          <w:u w:val="single"/>
          <w:vertAlign w:val="baseline"/>
          <w:lang w:val="en-US" w:eastAsia="zh-CN"/>
          <w14:textFill>
            <w14:solidFill>
              <w14:schemeClr w14:val="tx1"/>
            </w14:solidFill>
          </w14:textFill>
        </w:rPr>
        <w:t>PH、COD、氨氮、</w:t>
      </w:r>
      <w:r>
        <w:rPr>
          <w:rFonts w:hint="default" w:ascii="Times New Roman" w:hAnsi="Times New Roman" w:cs="Times New Roman"/>
          <w:b w:val="0"/>
          <w:bCs/>
          <w:color w:val="000000" w:themeColor="text1"/>
          <w:sz w:val="24"/>
          <w:szCs w:val="24"/>
          <w:u w:val="single"/>
          <w:vertAlign w:val="baseline"/>
          <w:lang w:eastAsia="zh-CN"/>
          <w14:textFill>
            <w14:solidFill>
              <w14:schemeClr w14:val="tx1"/>
            </w14:solidFill>
          </w14:textFill>
        </w:rPr>
        <w:t>总硬度、硫酸盐、氟化物、挥发性酚类、硝酸盐、亚硝酸盐、菌落总数、</w:t>
      </w:r>
      <w:r>
        <w:rPr>
          <w:rFonts w:hint="eastAsia" w:cs="Times New Roman"/>
          <w:b w:val="0"/>
          <w:bCs/>
          <w:color w:val="000000" w:themeColor="text1"/>
          <w:sz w:val="24"/>
          <w:szCs w:val="24"/>
          <w:u w:val="single"/>
          <w:vertAlign w:val="baseline"/>
          <w:lang w:val="en-US" w:eastAsia="zh-CN"/>
          <w14:textFill>
            <w14:solidFill>
              <w14:schemeClr w14:val="tx1"/>
            </w14:solidFill>
          </w14:textFill>
        </w:rPr>
        <w:t>石油类、总大肠菌群、高锰酸盐指数、苯、甲苯、乙苯、色、氯化物、铬（六价）、总硬度、耗氧量、硫化物、阴离子表面活性剂</w:t>
      </w:r>
      <w:r>
        <w:rPr>
          <w:rFonts w:hint="default" w:ascii="Times New Roman" w:hAnsi="Times New Roman" w:cs="Times New Roman"/>
          <w:color w:val="000000" w:themeColor="text1"/>
          <w:szCs w:val="21"/>
          <w:u w:val="singl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（3）监测分析方法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采样及分析方法按《地下水环境监测技术规范》(HJ/T 164-2004)的要求进行。</w:t>
      </w:r>
    </w:p>
    <w:p>
      <w:pPr>
        <w:pStyle w:val="20"/>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（4）监测时间与频次</w:t>
      </w:r>
    </w:p>
    <w:p>
      <w:pPr>
        <w:spacing w:line="360" w:lineRule="auto"/>
        <w:ind w:firstLine="480" w:firstLineChars="200"/>
        <w:rPr>
          <w:rFonts w:hint="default" w:ascii="Times New Roman" w:hAnsi="Times New Roman" w:eastAsia="宋体" w:cs="Times New Roman"/>
          <w:color w:val="000000" w:themeColor="text1"/>
          <w:szCs w:val="20"/>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《岳阳隆兴实业公司合成化工厂氯丁烷装置扩能改造及新建原料产品罐区项目</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中地下水的</w:t>
      </w:r>
      <w:r>
        <w:rPr>
          <w:rFonts w:hint="default" w:ascii="Times New Roman" w:hAnsi="Times New Roman" w:cs="Times New Roman"/>
          <w:color w:val="000000" w:themeColor="text1"/>
          <w:lang w:eastAsia="zh-CN"/>
          <w14:textFill>
            <w14:solidFill>
              <w14:schemeClr w14:val="tx1"/>
            </w14:solidFill>
          </w14:textFill>
        </w:rPr>
        <w:t>监测日期是</w:t>
      </w:r>
      <w:r>
        <w:rPr>
          <w:rFonts w:hint="default" w:ascii="Times New Roman" w:hAnsi="Times New Roman" w:cs="Times New Roman"/>
          <w:color w:val="000000" w:themeColor="text1"/>
          <w:lang w:val="en-US" w:eastAsia="zh-CN"/>
          <w14:textFill>
            <w14:solidFill>
              <w14:schemeClr w14:val="tx1"/>
            </w14:solidFill>
          </w14:textFill>
        </w:rPr>
        <w:t>2019年7月13日~14日，连续监测2天</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岳阳市云溪区云溪加油站建设项目</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中地下水的</w:t>
      </w:r>
      <w:r>
        <w:rPr>
          <w:rFonts w:hint="default" w:ascii="Times New Roman" w:hAnsi="Times New Roman" w:cs="Times New Roman"/>
          <w:color w:val="000000" w:themeColor="text1"/>
          <w:lang w:val="en-US" w:eastAsia="zh-CN"/>
          <w14:textFill>
            <w14:solidFill>
              <w14:schemeClr w14:val="tx1"/>
            </w14:solidFill>
          </w14:textFill>
        </w:rPr>
        <w:t>监测日期是</w:t>
      </w:r>
      <w:r>
        <w:rPr>
          <w:rFonts w:hint="eastAsia" w:cs="Times New Roman"/>
          <w:color w:val="000000" w:themeColor="text1"/>
          <w:sz w:val="24"/>
          <w:u w:val="single"/>
          <w:lang w:val="en-US" w:eastAsia="zh-CN"/>
          <w14:textFill>
            <w14:solidFill>
              <w14:schemeClr w14:val="tx1"/>
            </w14:solidFill>
          </w14:textFill>
        </w:rPr>
        <w:t>2020</w:t>
      </w:r>
      <w:r>
        <w:rPr>
          <w:rFonts w:hint="default" w:ascii="Times New Roman" w:hAnsi="Times New Roman" w:cs="Times New Roman"/>
          <w:color w:val="000000" w:themeColor="text1"/>
          <w:sz w:val="24"/>
          <w:u w:val="single"/>
          <w14:textFill>
            <w14:solidFill>
              <w14:schemeClr w14:val="tx1"/>
            </w14:solidFill>
          </w14:textFill>
        </w:rPr>
        <w:t>年</w:t>
      </w:r>
      <w:r>
        <w:rPr>
          <w:rFonts w:hint="eastAsia" w:cs="Times New Roman"/>
          <w:color w:val="000000" w:themeColor="text1"/>
          <w:sz w:val="24"/>
          <w:u w:val="single"/>
          <w:lang w:val="en-US" w:eastAsia="zh-CN"/>
          <w14:textFill>
            <w14:solidFill>
              <w14:schemeClr w14:val="tx1"/>
            </w14:solidFill>
          </w14:textFill>
        </w:rPr>
        <w:t>8</w:t>
      </w:r>
      <w:r>
        <w:rPr>
          <w:rFonts w:hint="default" w:ascii="Times New Roman" w:hAnsi="Times New Roman" w:cs="Times New Roman"/>
          <w:color w:val="000000" w:themeColor="text1"/>
          <w:sz w:val="24"/>
          <w:u w:val="single"/>
          <w14:textFill>
            <w14:solidFill>
              <w14:schemeClr w14:val="tx1"/>
            </w14:solidFill>
          </w14:textFill>
        </w:rPr>
        <w:t>月</w:t>
      </w:r>
      <w:r>
        <w:rPr>
          <w:rFonts w:hint="default" w:ascii="Times New Roman" w:hAnsi="Times New Roman" w:cs="Times New Roman"/>
          <w:color w:val="000000" w:themeColor="text1"/>
          <w:sz w:val="24"/>
          <w:u w:val="single"/>
          <w:lang w:val="en-US" w:eastAsia="zh-CN"/>
          <w14:textFill>
            <w14:solidFill>
              <w14:schemeClr w14:val="tx1"/>
            </w14:solidFill>
          </w14:textFill>
        </w:rPr>
        <w:t>1</w:t>
      </w:r>
      <w:r>
        <w:rPr>
          <w:rFonts w:hint="eastAsia" w:cs="Times New Roman"/>
          <w:color w:val="000000" w:themeColor="text1"/>
          <w:sz w:val="24"/>
          <w:u w:val="single"/>
          <w:lang w:val="en-US" w:eastAsia="zh-CN"/>
          <w14:textFill>
            <w14:solidFill>
              <w14:schemeClr w14:val="tx1"/>
            </w14:solidFill>
          </w14:textFill>
        </w:rPr>
        <w:t>2</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u w:val="single"/>
          <w:lang w:val="en-US" w:eastAsia="zh-CN"/>
          <w14:textFill>
            <w14:solidFill>
              <w14:schemeClr w14:val="tx1"/>
            </w14:solidFill>
          </w14:textFill>
        </w:rPr>
        <w:t>1</w:t>
      </w:r>
      <w:r>
        <w:rPr>
          <w:rFonts w:hint="eastAsia" w:cs="Times New Roman"/>
          <w:color w:val="000000" w:themeColor="text1"/>
          <w:sz w:val="24"/>
          <w:u w:val="single"/>
          <w:lang w:val="en-US" w:eastAsia="zh-CN"/>
          <w14:textFill>
            <w14:solidFill>
              <w14:schemeClr w14:val="tx1"/>
            </w14:solidFill>
          </w14:textFill>
        </w:rPr>
        <w:t>3</w:t>
      </w:r>
      <w:r>
        <w:rPr>
          <w:rFonts w:hint="default" w:ascii="Times New Roman" w:hAnsi="Times New Roman" w:cs="Times New Roman"/>
          <w:color w:val="000000" w:themeColor="text1"/>
          <w:sz w:val="24"/>
          <w:u w:val="single"/>
          <w14:textFill>
            <w14:solidFill>
              <w14:schemeClr w14:val="tx1"/>
            </w14:solidFill>
          </w14:textFill>
        </w:rPr>
        <w:t>日</w:t>
      </w:r>
      <w:r>
        <w:rPr>
          <w:rFonts w:hint="eastAsia" w:cs="Times New Roman"/>
          <w:color w:val="000000" w:themeColor="text1"/>
          <w:sz w:val="24"/>
          <w:u w:val="single"/>
          <w:lang w:eastAsia="zh-CN"/>
          <w14:textFill>
            <w14:solidFill>
              <w14:schemeClr w14:val="tx1"/>
            </w14:solidFill>
          </w14:textFill>
        </w:rPr>
        <w:t>，</w:t>
      </w:r>
      <w:r>
        <w:rPr>
          <w:rFonts w:hint="eastAsia" w:cs="Times New Roman"/>
          <w:color w:val="000000" w:themeColor="text1"/>
          <w:szCs w:val="20"/>
          <w:lang w:val="en-US" w:eastAsia="zh-CN"/>
          <w14:textFill>
            <w14:solidFill>
              <w14:schemeClr w14:val="tx1"/>
            </w14:solidFill>
          </w14:textFill>
        </w:rPr>
        <w:t>连续监测2天</w:t>
      </w:r>
      <w:r>
        <w:rPr>
          <w:rFonts w:hint="default" w:ascii="Times New Roman" w:hAnsi="Times New Roman" w:cs="Times New Roman"/>
          <w:color w:val="000000" w:themeColor="text1"/>
          <w:szCs w:val="20"/>
          <w14:textFill>
            <w14:solidFill>
              <w14:schemeClr w14:val="tx1"/>
            </w14:solidFill>
          </w14:textFill>
        </w:rPr>
        <w:t>。</w:t>
      </w:r>
      <w:r>
        <w:rPr>
          <w:rFonts w:hint="eastAsia" w:cs="Times New Roman"/>
          <w:color w:val="000000" w:themeColor="text1"/>
          <w:szCs w:val="20"/>
          <w:lang w:eastAsia="zh-CN"/>
          <w14:textFill>
            <w14:solidFill>
              <w14:schemeClr w14:val="tx1"/>
            </w14:solidFill>
          </w14:textFill>
        </w:rPr>
        <w:t>《云溪区工业固体废弃物处置</w:t>
      </w:r>
      <w:r>
        <w:rPr>
          <w:rFonts w:hint="eastAsia" w:cs="Times New Roman"/>
          <w:color w:val="000000" w:themeColor="text1"/>
          <w:szCs w:val="20"/>
          <w:lang w:val="en-US" w:eastAsia="zh-CN"/>
          <w14:textFill>
            <w14:solidFill>
              <w14:schemeClr w14:val="tx1"/>
            </w14:solidFill>
          </w14:textFill>
        </w:rPr>
        <w:t>（一期工程）</w:t>
      </w:r>
      <w:r>
        <w:rPr>
          <w:rFonts w:hint="eastAsia" w:cs="Times New Roman"/>
          <w:color w:val="000000" w:themeColor="text1"/>
          <w:szCs w:val="20"/>
          <w:lang w:eastAsia="zh-CN"/>
          <w14:textFill>
            <w14:solidFill>
              <w14:schemeClr w14:val="tx1"/>
            </w14:solidFill>
          </w14:textFill>
        </w:rPr>
        <w:t>》中地下水的监测日期是</w:t>
      </w:r>
      <w:r>
        <w:rPr>
          <w:rFonts w:hint="eastAsia" w:cs="Times New Roman"/>
          <w:color w:val="000000" w:themeColor="text1"/>
          <w:szCs w:val="20"/>
          <w:lang w:val="en-US" w:eastAsia="zh-CN"/>
          <w14:textFill>
            <w14:solidFill>
              <w14:schemeClr w14:val="tx1"/>
            </w14:solidFill>
          </w14:textFill>
        </w:rPr>
        <w:t>2020年1月6日，监测了1天。</w:t>
      </w:r>
    </w:p>
    <w:p>
      <w:pPr>
        <w:pStyle w:val="20"/>
        <w:adjustRightInd w:val="0"/>
        <w:snapToGrid w:val="0"/>
        <w:spacing w:after="0"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（5）评价标准</w:t>
      </w:r>
    </w:p>
    <w:p>
      <w:pPr>
        <w:pStyle w:val="20"/>
        <w:adjustRightInd w:val="0"/>
        <w:snapToGrid w:val="0"/>
        <w:spacing w:after="0"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项目区地下水评价采用《地下水环境质量标准》（GB/T14848-2017）中Ⅲ类标准。</w:t>
      </w:r>
    </w:p>
    <w:p>
      <w:pPr>
        <w:pStyle w:val="20"/>
        <w:adjustRightInd w:val="0"/>
        <w:snapToGrid w:val="0"/>
        <w:spacing w:after="0"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（6）评价方法</w:t>
      </w:r>
    </w:p>
    <w:p>
      <w:pPr>
        <w:adjustRightInd w:val="0"/>
        <w:snapToGrid w:val="0"/>
        <w:spacing w:line="360" w:lineRule="auto"/>
        <w:ind w:firstLine="480" w:firstLineChars="200"/>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根据地下水环境质量现状监测结果，采用单因子污染指数，对照评价标准对地下水质量现状进行评价，其计算公式与地表水一致。</w:t>
      </w:r>
      <w:r>
        <w:rPr>
          <w:rFonts w:hint="default" w:ascii="Times New Roman" w:hAnsi="Times New Roman" w:cs="Times New Roman"/>
          <w:b w:val="0"/>
          <w:bCs/>
          <w:color w:val="000000" w:themeColor="text1"/>
          <w14:textFill>
            <w14:solidFill>
              <w14:schemeClr w14:val="tx1"/>
            </w14:solidFill>
          </w14:textFill>
        </w:rPr>
        <w:t>监测点位信息见下</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_Ref51014581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 w:val="0"/>
          <w:color w:val="000000" w:themeColor="text1"/>
          <w14:textFill>
            <w14:solidFill>
              <w14:schemeClr w14:val="tx1"/>
            </w14:solidFill>
          </w14:textFill>
        </w:rPr>
        <w:t>表</w:t>
      </w:r>
      <w:r>
        <w:rPr>
          <w:rFonts w:hint="default" w:ascii="Times New Roman" w:hAnsi="Times New Roman" w:cs="Times New Roman"/>
          <w:b w:val="0"/>
          <w:color w:val="000000" w:themeColor="text1"/>
          <w14:textFill>
            <w14:solidFill>
              <w14:schemeClr w14:val="tx1"/>
            </w14:solidFill>
          </w14:textFill>
        </w:rPr>
        <w:fldChar w:fldCharType="begin"/>
      </w:r>
      <w:r>
        <w:rPr>
          <w:rFonts w:hint="default" w:ascii="Times New Roman" w:hAnsi="Times New Roman" w:cs="Times New Roman"/>
          <w:b w:val="0"/>
          <w:color w:val="000000" w:themeColor="text1"/>
          <w14:textFill>
            <w14:solidFill>
              <w14:schemeClr w14:val="tx1"/>
            </w14:solidFill>
          </w14:textFill>
        </w:rPr>
        <w:instrText xml:space="preserve"> STYLEREF 2 \s </w:instrText>
      </w:r>
      <w:r>
        <w:rPr>
          <w:rFonts w:hint="default" w:ascii="Times New Roman" w:hAnsi="Times New Roman" w:cs="Times New Roman"/>
          <w:b w:val="0"/>
          <w:color w:val="000000" w:themeColor="text1"/>
          <w14:textFill>
            <w14:solidFill>
              <w14:schemeClr w14:val="tx1"/>
            </w14:solidFill>
          </w14:textFill>
        </w:rPr>
        <w:fldChar w:fldCharType="separate"/>
      </w:r>
      <w:r>
        <w:rPr>
          <w:rFonts w:hint="default" w:ascii="Times New Roman" w:hAnsi="Times New Roman" w:cs="Times New Roman"/>
          <w:b w:val="0"/>
          <w:color w:val="000000" w:themeColor="text1"/>
          <w14:textFill>
            <w14:solidFill>
              <w14:schemeClr w14:val="tx1"/>
            </w14:solidFill>
          </w14:textFill>
        </w:rPr>
        <w:t>6</w:t>
      </w:r>
      <w:r>
        <w:rPr>
          <w:rFonts w:hint="default" w:ascii="Times New Roman" w:hAnsi="Times New Roman" w:cs="Times New Roman"/>
          <w:b w:val="0"/>
          <w:color w:val="000000" w:themeColor="text1"/>
          <w:lang w:val="en-US" w:eastAsia="zh-CN"/>
          <w14:textFill>
            <w14:solidFill>
              <w14:schemeClr w14:val="tx1"/>
            </w14:solidFill>
          </w14:textFill>
        </w:rPr>
        <w:t>.</w:t>
      </w:r>
      <w:r>
        <w:rPr>
          <w:rFonts w:hint="default" w:ascii="Times New Roman" w:hAnsi="Times New Roman" w:cs="Times New Roman"/>
          <w:b w:val="0"/>
          <w:color w:val="000000" w:themeColor="text1"/>
          <w14:textFill>
            <w14:solidFill>
              <w14:schemeClr w14:val="tx1"/>
            </w14:solidFill>
          </w14:textFill>
        </w:rPr>
        <w:t>2</w:t>
      </w:r>
      <w:r>
        <w:rPr>
          <w:rFonts w:hint="default" w:ascii="Times New Roman" w:hAnsi="Times New Roman" w:cs="Times New Roman"/>
          <w:b w:val="0"/>
          <w:color w:val="000000" w:themeColor="text1"/>
          <w14:textFill>
            <w14:solidFill>
              <w14:schemeClr w14:val="tx1"/>
            </w14:solidFill>
          </w14:textFill>
        </w:rPr>
        <w:fldChar w:fldCharType="end"/>
      </w:r>
      <w:r>
        <w:rPr>
          <w:rFonts w:hint="default" w:ascii="Times New Roman" w:hAnsi="Times New Roman" w:cs="Times New Roman"/>
          <w:b w:val="0"/>
          <w:color w:val="000000" w:themeColor="text1"/>
          <w14:textFill>
            <w14:solidFill>
              <w14:schemeClr w14:val="tx1"/>
            </w14:solidFill>
          </w14:textFill>
        </w:rPr>
        <w:noBreakHyphen/>
      </w:r>
      <w:r>
        <w:rPr>
          <w:rFonts w:hint="default" w:ascii="Times New Roman" w:hAnsi="Times New Roman" w:cs="Times New Roman"/>
          <w:b w:val="0"/>
          <w:color w:val="000000" w:themeColor="text1"/>
          <w14:textFill>
            <w14:solidFill>
              <w14:schemeClr w14:val="tx1"/>
            </w14:solidFill>
          </w14:textFill>
        </w:rPr>
        <w:t>6</w:t>
      </w:r>
      <w:r>
        <w:rPr>
          <w:rFonts w:hint="default" w:ascii="Times New Roman" w:hAnsi="Times New Roman" w:cs="Times New Roman"/>
          <w:b w:val="0"/>
          <w:color w:val="000000" w:themeColor="text1"/>
          <w14:textFill>
            <w14:solidFill>
              <w14:schemeClr w14:val="tx1"/>
            </w14:solidFill>
          </w14:textFill>
        </w:rPr>
        <w:fldChar w:fldCharType="end"/>
      </w:r>
      <w:r>
        <w:rPr>
          <w:rFonts w:hint="eastAsia" w:cs="Times New Roman"/>
          <w:b w:val="0"/>
          <w:color w:val="000000" w:themeColor="text1"/>
          <w:lang w:val="en-US" w:eastAsia="zh-CN"/>
          <w14:textFill>
            <w14:solidFill>
              <w14:schemeClr w14:val="tx1"/>
            </w14:solidFill>
          </w14:textFill>
        </w:rPr>
        <w:t>~6.2-8</w:t>
      </w:r>
      <w:r>
        <w:rPr>
          <w:rFonts w:hint="default" w:ascii="Times New Roman" w:hAnsi="Times New Roman" w:cs="Times New Roman"/>
          <w:b w:val="0"/>
          <w:color w:val="000000" w:themeColor="text1"/>
          <w14:textFill>
            <w14:solidFill>
              <w14:schemeClr w14:val="tx1"/>
            </w14:solidFill>
          </w14:textFill>
        </w:rPr>
        <w:t>。</w:t>
      </w:r>
    </w:p>
    <w:p>
      <w:pPr>
        <w:pStyle w:val="14"/>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color w:val="000000" w:themeColor="text1"/>
          <w14:textFill>
            <w14:solidFill>
              <w14:schemeClr w14:val="tx1"/>
            </w14:solidFill>
          </w14:textFill>
        </w:rPr>
      </w:pPr>
      <w:bookmarkStart w:id="170" w:name="_Ref51014581"/>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bookmarkEnd w:id="170"/>
      <w:r>
        <w:rPr>
          <w:color w:val="000000" w:themeColor="text1"/>
          <w14:textFill>
            <w14:solidFill>
              <w14:schemeClr w14:val="tx1"/>
            </w14:solidFill>
          </w14:textFill>
        </w:rPr>
        <w:t xml:space="preserve">  </w:t>
      </w:r>
      <w:r>
        <w:rPr>
          <w:rFonts w:hint="eastAsia" w:ascii="Times New Roman" w:hAnsi="Times New Roman" w:cs="Times New Roman"/>
          <w:b/>
          <w:color w:val="000000" w:themeColor="text1"/>
          <w:sz w:val="24"/>
          <w:szCs w:val="24"/>
          <w:lang w:eastAsia="zh-CN"/>
          <w14:textFill>
            <w14:solidFill>
              <w14:schemeClr w14:val="tx1"/>
            </w14:solidFill>
          </w14:textFill>
        </w:rPr>
        <w:t>地下水水质现状监测与评价结果</w:t>
      </w:r>
      <w:r>
        <w:rPr>
          <w:rFonts w:hint="default" w:ascii="Times New Roman" w:hAnsi="Times New Roman" w:cs="Times New Roman"/>
          <w:b/>
          <w:color w:val="000000" w:themeColor="text1"/>
          <w:sz w:val="24"/>
          <w:szCs w:val="24"/>
          <w14:textFill>
            <w14:solidFill>
              <w14:schemeClr w14:val="tx1"/>
            </w14:solidFill>
          </w14:textFill>
        </w:rPr>
        <w:t>mg/L（PH除外）</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78"/>
        <w:gridCol w:w="687"/>
        <w:gridCol w:w="726"/>
        <w:gridCol w:w="759"/>
        <w:gridCol w:w="1593"/>
        <w:gridCol w:w="1336"/>
        <w:gridCol w:w="891"/>
        <w:gridCol w:w="568"/>
        <w:gridCol w:w="5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数据引用报告</w:t>
            </w:r>
            <w:r>
              <w:rPr>
                <w:rFonts w:hint="eastAsia"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的名称</w:t>
            </w:r>
          </w:p>
        </w:tc>
        <w:tc>
          <w:tcPr>
            <w:tcW w:w="1478"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监测日期</w:t>
            </w:r>
          </w:p>
        </w:tc>
        <w:tc>
          <w:tcPr>
            <w:tcW w:w="687"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监测点位</w:t>
            </w: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监测项目</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计量单位</w:t>
            </w:r>
          </w:p>
        </w:tc>
        <w:tc>
          <w:tcPr>
            <w:tcW w:w="1593"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监测值范围</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标准指数范围</w:t>
            </w:r>
          </w:p>
        </w:tc>
        <w:tc>
          <w:tcPr>
            <w:tcW w:w="891"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Ⅲ类</w:t>
            </w:r>
          </w:p>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标准</w:t>
            </w:r>
          </w:p>
        </w:tc>
        <w:tc>
          <w:tcPr>
            <w:tcW w:w="568"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超标率</w:t>
            </w:r>
          </w:p>
        </w:tc>
        <w:tc>
          <w:tcPr>
            <w:tcW w:w="568"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restart"/>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岳阳隆兴实业公司合成化工厂氯丁烷装置扩能改造及新建原料产品罐区项目</w:t>
            </w:r>
          </w:p>
        </w:tc>
        <w:tc>
          <w:tcPr>
            <w:tcW w:w="1478" w:type="dxa"/>
            <w:vMerge w:val="restart"/>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2019.7.13~14</w:t>
            </w:r>
          </w:p>
        </w:tc>
        <w:tc>
          <w:tcPr>
            <w:tcW w:w="687" w:type="dxa"/>
            <w:vMerge w:val="restart"/>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镇龙村居民水井1</w:t>
            </w:r>
            <w:r>
              <w:rPr>
                <w:rFonts w:hint="default" w:ascii="Times New Roman" w:hAnsi="Times New Roman" w:eastAsia="宋体" w:cs="Times New Roman"/>
                <w:b w:val="0"/>
                <w:bCs/>
                <w:color w:val="000000" w:themeColor="text1"/>
                <w:kern w:val="0"/>
                <w:sz w:val="21"/>
                <w:szCs w:val="21"/>
                <w:u w:val="single"/>
                <w:lang w:val="en-US" w:eastAsia="zh-CN" w:bidi="ar"/>
                <w14:textFill>
                  <w14:solidFill>
                    <w14:schemeClr w14:val="tx1"/>
                  </w14:solidFill>
                </w14:textFill>
              </w:rPr>
              <w:t>#</w:t>
            </w: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PH</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无量纲</w:t>
            </w:r>
          </w:p>
        </w:tc>
        <w:tc>
          <w:tcPr>
            <w:tcW w:w="1593"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6.53-6.80</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0.4-0.86</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6.5-8.5</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COD</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0.184-0.347</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0.061-0.116</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≤3.0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氨氮</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0.194-0.196</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0.388-0.395</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≤0.5</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总硬度</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114-116</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0.253-0.258</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≤450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硫酸盐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6.56-6.97</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0.026-0.028</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≤250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氟化物</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0.117-0.128</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0.117-0.128</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挥发性酚类</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0.0003ND</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p>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≤0.002</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硝酸盐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2.20-2.38</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0.11-0.119</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亚硝酸盐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0.016ND</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菌落总数</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个</w:t>
            </w: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46-86</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0.46-0.86</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restart"/>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荷塘月色饭店水井</w:t>
            </w: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u w:val="single"/>
                <w:lang w:val="en-US" w:eastAsia="zh-CN" w:bidi="ar"/>
                <w14:textFill>
                  <w14:solidFill>
                    <w14:schemeClr w14:val="tx1"/>
                  </w14:solidFill>
                </w14:textFill>
              </w:rPr>
              <w:t>#</w:t>
            </w: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PH</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无量纲</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6.62-6.76</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0.48-0.76</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6.5-8.5</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COD</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1.7-2.0</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0.57-0.67</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≤3.0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氨氮</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0.196-0.212</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0.392-0.424</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≤0.5</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总硬度</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29-30</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0.064-0.067</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≤450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硫酸盐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6.56-7.01</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0.026-0.028</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≤250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氟化物</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0.110-0.120</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0.110-0.120</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挥发性酚类</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0.0003ND</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≤0.002</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硝酸盐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1.92-2.09</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0.096-0.105</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亚硝酸盐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0.016ND</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菌落总数</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个</w:t>
            </w: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65-83</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0.65-0.83</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restart"/>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新屋吴家居民水井</w:t>
            </w: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3</w:t>
            </w:r>
            <w:r>
              <w:rPr>
                <w:rFonts w:hint="default" w:ascii="Times New Roman" w:hAnsi="Times New Roman" w:eastAsia="宋体" w:cs="Times New Roman"/>
                <w:b w:val="0"/>
                <w:bCs/>
                <w:color w:val="000000" w:themeColor="text1"/>
                <w:kern w:val="0"/>
                <w:sz w:val="21"/>
                <w:szCs w:val="21"/>
                <w:u w:val="single"/>
                <w:lang w:val="en-US" w:eastAsia="zh-CN" w:bidi="ar"/>
                <w14:textFill>
                  <w14:solidFill>
                    <w14:schemeClr w14:val="tx1"/>
                  </w14:solidFill>
                </w14:textFill>
              </w:rPr>
              <w:t>#</w:t>
            </w: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PH</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无量纲</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6.6-6.8</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0.4-0.8</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6.5-8.5</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COD</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1.6-1.8</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0.53-0.6</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≤3.0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氨氮</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0.204-0.207</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0.408-0.414</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≤0.5</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总硬度</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24-26</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0.053-0.058</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≤450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硫酸盐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9.28-9.38</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0.037-0.0375</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≤250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氟化物</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0.118-0.136</w:t>
            </w:r>
          </w:p>
        </w:tc>
        <w:tc>
          <w:tcPr>
            <w:tcW w:w="1336"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0.118-0.136</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挥发性酚类</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0.0003ND</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≤0.002</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硝酸盐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2.12-2.12</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0.16</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≤20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亚硝酸盐</w:t>
            </w:r>
          </w:p>
        </w:tc>
        <w:tc>
          <w:tcPr>
            <w:tcW w:w="75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0.016ND</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1478"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687" w:type="dxa"/>
            <w:vMerge w:val="continue"/>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p>
        </w:tc>
        <w:tc>
          <w:tcPr>
            <w:tcW w:w="72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菌落总数</w:t>
            </w:r>
          </w:p>
        </w:tc>
        <w:tc>
          <w:tcPr>
            <w:tcW w:w="759"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个</w:t>
            </w: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/L</w:t>
            </w:r>
          </w:p>
        </w:tc>
        <w:tc>
          <w:tcPr>
            <w:tcW w:w="159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64-82</w:t>
            </w:r>
          </w:p>
        </w:tc>
        <w:tc>
          <w:tcPr>
            <w:tcW w:w="1336" w:type="dxa"/>
            <w:tcBorders>
              <w:tl2br w:val="nil"/>
              <w:tr2bl w:val="nil"/>
            </w:tcBorders>
            <w:noWrap w:val="0"/>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0.64-0.82</w:t>
            </w:r>
          </w:p>
        </w:tc>
        <w:tc>
          <w:tcPr>
            <w:tcW w:w="891"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≤100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0</w:t>
            </w:r>
          </w:p>
        </w:tc>
        <w:tc>
          <w:tcPr>
            <w:tcW w:w="56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达标</w:t>
            </w:r>
          </w:p>
        </w:tc>
      </w:tr>
    </w:tbl>
    <w:p>
      <w:pPr>
        <w:pStyle w:val="14"/>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color w:val="000000" w:themeColor="text1"/>
          <w:vertAlign w:val="baseline"/>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eastAsia" w:ascii="Times New Roman" w:hAnsi="Times New Roman" w:cs="Times New Roman"/>
          <w:b/>
          <w:color w:val="000000" w:themeColor="text1"/>
          <w:sz w:val="24"/>
          <w:szCs w:val="24"/>
          <w:lang w:eastAsia="zh-CN"/>
          <w14:textFill>
            <w14:solidFill>
              <w14:schemeClr w14:val="tx1"/>
            </w14:solidFill>
          </w14:textFill>
        </w:rPr>
        <w:t>地下水水质现状监测与评价结果</w:t>
      </w:r>
      <w:r>
        <w:rPr>
          <w:rFonts w:hint="default" w:ascii="Times New Roman" w:hAnsi="Times New Roman" w:cs="Times New Roman"/>
          <w:b/>
          <w:color w:val="000000" w:themeColor="text1"/>
          <w:sz w:val="24"/>
          <w:szCs w:val="24"/>
          <w14:textFill>
            <w14:solidFill>
              <w14:schemeClr w14:val="tx1"/>
            </w14:solidFill>
          </w14:textFill>
        </w:rPr>
        <w:t>mg/L（PH除外）</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9"/>
        <w:gridCol w:w="451"/>
        <w:gridCol w:w="766"/>
        <w:gridCol w:w="526"/>
        <w:gridCol w:w="631"/>
        <w:gridCol w:w="631"/>
        <w:gridCol w:w="631"/>
        <w:gridCol w:w="631"/>
        <w:gridCol w:w="631"/>
        <w:gridCol w:w="631"/>
        <w:gridCol w:w="631"/>
        <w:gridCol w:w="1145"/>
        <w:gridCol w:w="738"/>
        <w:gridCol w:w="400"/>
        <w:gridCol w:w="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数据引用报告</w:t>
            </w:r>
            <w:r>
              <w:rPr>
                <w:rFonts w:hint="eastAsia"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的名称</w:t>
            </w:r>
          </w:p>
        </w:tc>
        <w:tc>
          <w:tcPr>
            <w:tcW w:w="451"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监测因子</w:t>
            </w:r>
          </w:p>
        </w:tc>
        <w:tc>
          <w:tcPr>
            <w:tcW w:w="766"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计量单位</w:t>
            </w:r>
          </w:p>
        </w:tc>
        <w:tc>
          <w:tcPr>
            <w:tcW w:w="4943" w:type="dxa"/>
            <w:gridSpan w:val="8"/>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监测结果</w:t>
            </w:r>
          </w:p>
        </w:tc>
        <w:tc>
          <w:tcPr>
            <w:tcW w:w="1145"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标准指数范围</w:t>
            </w:r>
          </w:p>
        </w:tc>
        <w:tc>
          <w:tcPr>
            <w:tcW w:w="738" w:type="dxa"/>
            <w:vMerge w:val="restart"/>
            <w:tcBorders>
              <w:tl2br w:val="nil"/>
              <w:tr2bl w:val="nil"/>
            </w:tcBorders>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Ⅲ类</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标准</w:t>
            </w:r>
          </w:p>
        </w:tc>
        <w:tc>
          <w:tcPr>
            <w:tcW w:w="400"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超标率</w:t>
            </w:r>
          </w:p>
        </w:tc>
        <w:tc>
          <w:tcPr>
            <w:tcW w:w="400"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451"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766"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2419" w:type="dxa"/>
            <w:gridSpan w:val="4"/>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2020年8月12日</w:t>
            </w:r>
          </w:p>
        </w:tc>
        <w:tc>
          <w:tcPr>
            <w:tcW w:w="2524" w:type="dxa"/>
            <w:gridSpan w:val="4"/>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2020年8月13日</w:t>
            </w:r>
          </w:p>
        </w:tc>
        <w:tc>
          <w:tcPr>
            <w:tcW w:w="1145"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73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00"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00"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451"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766"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52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第一次</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第二次</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第三次</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第四次</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第一次</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第二次</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第三次</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第四次</w:t>
            </w:r>
          </w:p>
        </w:tc>
        <w:tc>
          <w:tcPr>
            <w:tcW w:w="1145"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73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00"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00"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岳阳市云溪区云溪加油站建设项目</w:t>
            </w: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PH值</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无量纲</w:t>
            </w:r>
          </w:p>
        </w:tc>
        <w:tc>
          <w:tcPr>
            <w:tcW w:w="52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7.28</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7.19</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7.25</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7.22</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7.16</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7.20</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7.18</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7.17</w:t>
            </w:r>
          </w:p>
        </w:tc>
        <w:tc>
          <w:tcPr>
            <w:tcW w:w="114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0.11~0.19</w:t>
            </w:r>
          </w:p>
        </w:tc>
        <w:tc>
          <w:tcPr>
            <w:tcW w:w="73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6.5-8.5</w:t>
            </w:r>
          </w:p>
        </w:tc>
        <w:tc>
          <w:tcPr>
            <w:tcW w:w="400"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氨氮</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52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0.027</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0.029</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0.022</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0.031</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0.028</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0.029</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0.034</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0.036</w:t>
            </w:r>
          </w:p>
        </w:tc>
        <w:tc>
          <w:tcPr>
            <w:tcW w:w="114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0.044~0.072</w:t>
            </w:r>
          </w:p>
        </w:tc>
        <w:tc>
          <w:tcPr>
            <w:tcW w:w="73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w:t>
            </w:r>
          </w:p>
        </w:tc>
        <w:tc>
          <w:tcPr>
            <w:tcW w:w="400"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耗氧量</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52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0.61</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0.55</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0.61</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0.59</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0.58</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0.54</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0.52</w:t>
            </w:r>
          </w:p>
        </w:tc>
        <w:tc>
          <w:tcPr>
            <w:tcW w:w="63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0.51</w:t>
            </w:r>
          </w:p>
        </w:tc>
        <w:tc>
          <w:tcPr>
            <w:tcW w:w="114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0.17~0.2</w:t>
            </w:r>
          </w:p>
        </w:tc>
        <w:tc>
          <w:tcPr>
            <w:tcW w:w="73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≤3</w:t>
            </w:r>
          </w:p>
        </w:tc>
        <w:tc>
          <w:tcPr>
            <w:tcW w:w="400"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石油类</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w:t>
            </w:r>
          </w:p>
        </w:tc>
        <w:tc>
          <w:tcPr>
            <w:tcW w:w="52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w:t>
            </w:r>
          </w:p>
        </w:tc>
        <w:tc>
          <w:tcPr>
            <w:tcW w:w="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总大肠菌群</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eastAsia="zh-CN"/>
                <w14:textFill>
                  <w14:solidFill>
                    <w14:schemeClr w14:val="tx1"/>
                  </w14:solidFill>
                </w14:textFill>
              </w:rPr>
              <w:t>个</w:t>
            </w: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/L</w:t>
            </w:r>
          </w:p>
        </w:tc>
        <w:tc>
          <w:tcPr>
            <w:tcW w:w="5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w:t>
            </w:r>
          </w:p>
        </w:tc>
        <w:tc>
          <w:tcPr>
            <w:tcW w:w="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≤3</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苯</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default"/>
                <w:b w:val="0"/>
                <w:bCs/>
                <w:color w:val="000000" w:themeColor="text1"/>
                <w:sz w:val="21"/>
                <w:szCs w:val="21"/>
                <w:vertAlign w:val="baseline"/>
                <w:lang w:val="en-US" w:eastAsia="zh-CN"/>
                <w14:textFill>
                  <w14:solidFill>
                    <w14:schemeClr w14:val="tx1"/>
                  </w14:solidFill>
                </w14:textFill>
              </w:rPr>
              <w:t>μg/</w:t>
            </w:r>
            <w:r>
              <w:rPr>
                <w:rFonts w:hint="eastAsia"/>
                <w:b w:val="0"/>
                <w:bCs/>
                <w:color w:val="000000" w:themeColor="text1"/>
                <w:sz w:val="21"/>
                <w:szCs w:val="21"/>
                <w:vertAlign w:val="baseline"/>
                <w:lang w:val="en-US" w:eastAsia="zh-CN"/>
                <w14:textFill>
                  <w14:solidFill>
                    <w14:schemeClr w14:val="tx1"/>
                  </w14:solidFill>
                </w14:textFill>
              </w:rPr>
              <w:t>L</w:t>
            </w:r>
          </w:p>
        </w:tc>
        <w:tc>
          <w:tcPr>
            <w:tcW w:w="5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w:t>
            </w:r>
          </w:p>
        </w:tc>
        <w:tc>
          <w:tcPr>
            <w:tcW w:w="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≤10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甲苯</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b w:val="0"/>
                <w:bCs/>
                <w:color w:val="000000" w:themeColor="text1"/>
                <w:sz w:val="21"/>
                <w:szCs w:val="21"/>
                <w:vertAlign w:val="baseline"/>
                <w:lang w:val="en-US" w:eastAsia="zh-CN"/>
                <w14:textFill>
                  <w14:solidFill>
                    <w14:schemeClr w14:val="tx1"/>
                  </w14:solidFill>
                </w14:textFill>
              </w:rPr>
              <w:t>μg/</w:t>
            </w:r>
            <w:r>
              <w:rPr>
                <w:rFonts w:hint="eastAsia"/>
                <w:b w:val="0"/>
                <w:bCs/>
                <w:color w:val="000000" w:themeColor="text1"/>
                <w:sz w:val="21"/>
                <w:szCs w:val="21"/>
                <w:vertAlign w:val="baseline"/>
                <w:lang w:val="en-US" w:eastAsia="zh-CN"/>
                <w14:textFill>
                  <w14:solidFill>
                    <w14:schemeClr w14:val="tx1"/>
                  </w14:solidFill>
                </w14:textFill>
              </w:rPr>
              <w:t>L</w:t>
            </w:r>
          </w:p>
        </w:tc>
        <w:tc>
          <w:tcPr>
            <w:tcW w:w="5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w:t>
            </w:r>
          </w:p>
        </w:tc>
        <w:tc>
          <w:tcPr>
            <w:tcW w:w="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≤700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9"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tc>
        <w:tc>
          <w:tcPr>
            <w:tcW w:w="451"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乙苯</w:t>
            </w:r>
          </w:p>
        </w:tc>
        <w:tc>
          <w:tcPr>
            <w:tcW w:w="766"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b w:val="0"/>
                <w:bCs/>
                <w:color w:val="000000" w:themeColor="text1"/>
                <w:sz w:val="21"/>
                <w:szCs w:val="21"/>
                <w:vertAlign w:val="baseline"/>
                <w:lang w:val="en-US" w:eastAsia="zh-CN"/>
                <w14:textFill>
                  <w14:solidFill>
                    <w14:schemeClr w14:val="tx1"/>
                  </w14:solidFill>
                </w14:textFill>
              </w:rPr>
              <w:t>μg/</w:t>
            </w:r>
            <w:r>
              <w:rPr>
                <w:rFonts w:hint="eastAsia"/>
                <w:b w:val="0"/>
                <w:bCs/>
                <w:color w:val="000000" w:themeColor="text1"/>
                <w:sz w:val="21"/>
                <w:szCs w:val="21"/>
                <w:vertAlign w:val="baseline"/>
                <w:lang w:val="en-US" w:eastAsia="zh-CN"/>
                <w14:textFill>
                  <w14:solidFill>
                    <w14:schemeClr w14:val="tx1"/>
                  </w14:solidFill>
                </w14:textFill>
              </w:rPr>
              <w:t>L</w:t>
            </w:r>
          </w:p>
        </w:tc>
        <w:tc>
          <w:tcPr>
            <w:tcW w:w="52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63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ND</w:t>
            </w:r>
          </w:p>
        </w:tc>
        <w:tc>
          <w:tcPr>
            <w:tcW w:w="114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w:t>
            </w:r>
          </w:p>
        </w:tc>
        <w:tc>
          <w:tcPr>
            <w:tcW w:w="73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≤300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40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bl>
    <w:p>
      <w:pPr>
        <w:pStyle w:val="14"/>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color w:val="000000" w:themeColor="text1"/>
          <w:vertAlign w:val="baseline"/>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eastAsia" w:ascii="Times New Roman" w:hAnsi="Times New Roman" w:cs="Times New Roman"/>
          <w:b/>
          <w:color w:val="000000" w:themeColor="text1"/>
          <w:sz w:val="24"/>
          <w:szCs w:val="24"/>
          <w:lang w:eastAsia="zh-CN"/>
          <w14:textFill>
            <w14:solidFill>
              <w14:schemeClr w14:val="tx1"/>
            </w14:solidFill>
          </w14:textFill>
        </w:rPr>
        <w:t>地下水水质现状监测与评价结果</w:t>
      </w:r>
      <w:r>
        <w:rPr>
          <w:rFonts w:hint="default" w:ascii="Times New Roman" w:hAnsi="Times New Roman" w:cs="Times New Roman"/>
          <w:b/>
          <w:color w:val="000000" w:themeColor="text1"/>
          <w:sz w:val="24"/>
          <w:szCs w:val="24"/>
          <w14:textFill>
            <w14:solidFill>
              <w14:schemeClr w14:val="tx1"/>
            </w14:solidFill>
          </w14:textFill>
        </w:rPr>
        <w:t>mg/L（PH除外）</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135"/>
        <w:gridCol w:w="1337"/>
        <w:gridCol w:w="1128"/>
        <w:gridCol w:w="1128"/>
        <w:gridCol w:w="1128"/>
        <w:gridCol w:w="1129"/>
        <w:gridCol w:w="11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none"/>
                <w:vertAlign w:val="baseline"/>
                <w:lang w:eastAsia="zh-CN"/>
                <w14:textFill>
                  <w14:solidFill>
                    <w14:schemeClr w14:val="tx1"/>
                  </w14:solidFill>
                </w14:textFill>
              </w:rPr>
              <w:t>数据引用报告</w:t>
            </w:r>
            <w:r>
              <w:rPr>
                <w:rFonts w:hint="eastAsia"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t>的名称</w:t>
            </w: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监测项目</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计量单位</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监测结果</w:t>
            </w:r>
          </w:p>
        </w:tc>
        <w:tc>
          <w:tcPr>
            <w:tcW w:w="1128" w:type="dxa"/>
            <w:tcBorders>
              <w:tl2br w:val="nil"/>
              <w:tr2bl w:val="nil"/>
            </w:tcBorders>
            <w:vAlign w:val="center"/>
          </w:tcPr>
          <w:p>
            <w:pPr>
              <w:pStyle w:val="71"/>
              <w:keepNext w:val="0"/>
              <w:keepLines w:val="0"/>
              <w:widowControl/>
              <w:suppressLineNumbers w:val="0"/>
              <w:spacing w:before="0" w:beforeAutospacing="0" w:after="0" w:afterAutospacing="0"/>
              <w:ind w:left="0" w:right="0"/>
              <w:jc w:val="center"/>
              <w:rPr>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t>Ⅲ类标准</w:t>
            </w:r>
          </w:p>
        </w:tc>
        <w:tc>
          <w:tcPr>
            <w:tcW w:w="1128" w:type="dxa"/>
            <w:tcBorders>
              <w:tl2br w:val="nil"/>
              <w:tr2bl w:val="nil"/>
            </w:tcBorders>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标准指数</w:t>
            </w:r>
          </w:p>
        </w:tc>
        <w:tc>
          <w:tcPr>
            <w:tcW w:w="1129" w:type="dxa"/>
            <w:tcBorders>
              <w:tl2br w:val="nil"/>
              <w:tr2bl w:val="nil"/>
            </w:tcBorders>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最大超标倍数</w:t>
            </w:r>
          </w:p>
        </w:tc>
        <w:tc>
          <w:tcPr>
            <w:tcW w:w="1129" w:type="dxa"/>
            <w:tcBorders>
              <w:tl2br w:val="nil"/>
              <w:tr2bl w:val="nil"/>
            </w:tcBorders>
            <w:vAlign w:val="center"/>
          </w:tcPr>
          <w:p>
            <w:pPr>
              <w:pStyle w:val="71"/>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u w:val="singl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u w:val="single"/>
                <w:vertAlign w:val="baseline"/>
                <w:lang w:val="en-US" w:eastAsia="zh-CN"/>
                <w14:textFill>
                  <w14:solidFill>
                    <w14:schemeClr w14:val="tx1"/>
                  </w14:solidFill>
                </w14:textFill>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restart"/>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云溪区工业固体废弃物处置（一期工程）项目</w:t>
            </w: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PH</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无量纲</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8.55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6.5~8.5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1.03</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0.59%</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色</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无量纲</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14:textFill>
                  <w14:solidFill>
                    <w14:schemeClr w14:val="tx1"/>
                  </w14:solidFill>
                </w14:textFill>
              </w:rPr>
              <w:t>＜</w:t>
            </w:r>
            <w:r>
              <w:rPr>
                <w:rFonts w:hint="eastAsia"/>
                <w:b w:val="0"/>
                <w:bCs/>
                <w:color w:val="000000" w:themeColor="text1"/>
                <w:sz w:val="21"/>
                <w:szCs w:val="21"/>
                <w:vertAlign w:val="baseline"/>
                <w:lang w:val="en-US" w:eastAsia="zh-CN"/>
                <w14:textFill>
                  <w14:solidFill>
                    <w14:schemeClr w14:val="tx1"/>
                  </w14:solidFill>
                </w14:textFill>
              </w:rPr>
              <w:t>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14:textFill>
                  <w14:solidFill>
                    <w14:schemeClr w14:val="tx1"/>
                  </w14:solidFill>
                </w14:textFill>
              </w:rPr>
              <w:t>＜</w:t>
            </w:r>
            <w:r>
              <w:rPr>
                <w:rFonts w:hint="eastAsia"/>
                <w:b w:val="0"/>
                <w:bCs/>
                <w:color w:val="000000" w:themeColor="text1"/>
                <w:sz w:val="21"/>
                <w:szCs w:val="21"/>
                <w:vertAlign w:val="baseline"/>
                <w:lang w:val="en-US" w:eastAsia="zh-CN"/>
                <w14:textFill>
                  <w14:solidFill>
                    <w14:schemeClr w14:val="tx1"/>
                  </w14:solidFill>
                </w14:textFill>
              </w:rPr>
              <w:t>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氨氮</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0.09</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≤0.2</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0.47</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挥发性酚类</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14:textFill>
                  <w14:solidFill>
                    <w14:schemeClr w14:val="tx1"/>
                  </w14:solidFill>
                </w14:textFill>
              </w:rPr>
              <w:t>＜</w:t>
            </w:r>
            <w:r>
              <w:rPr>
                <w:rFonts w:hint="eastAsia"/>
                <w:b w:val="0"/>
                <w:bCs/>
                <w:color w:val="000000" w:themeColor="text1"/>
                <w:sz w:val="21"/>
                <w:szCs w:val="21"/>
                <w:vertAlign w:val="baseline"/>
                <w:lang w:val="en-US" w:eastAsia="zh-CN"/>
                <w14:textFill>
                  <w14:solidFill>
                    <w14:schemeClr w14:val="tx1"/>
                  </w14:solidFill>
                </w14:textFill>
              </w:rPr>
              <w:t>0.002</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≤0.002</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苯</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default"/>
                <w:b w:val="0"/>
                <w:bCs/>
                <w:color w:val="000000" w:themeColor="text1"/>
                <w:sz w:val="21"/>
                <w:szCs w:val="21"/>
                <w:vertAlign w:val="baseline"/>
                <w:lang w:val="en-US" w:eastAsia="zh-CN"/>
                <w14:textFill>
                  <w14:solidFill>
                    <w14:schemeClr w14:val="tx1"/>
                  </w14:solidFill>
                </w14:textFill>
              </w:rPr>
              <w:t>μg/</w:t>
            </w:r>
            <w:r>
              <w:rPr>
                <w:rFonts w:hint="eastAsia"/>
                <w:b w:val="0"/>
                <w:bCs/>
                <w:color w:val="000000" w:themeColor="text1"/>
                <w:sz w:val="21"/>
                <w:szCs w:val="21"/>
                <w:vertAlign w:val="baseline"/>
                <w:lang w:val="en-US" w:eastAsia="zh-CN"/>
                <w14:textFill>
                  <w14:solidFill>
                    <w14:schemeClr w14:val="tx1"/>
                  </w14:solidFill>
                </w14:textFill>
              </w:rPr>
              <w:t>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14:textFill>
                  <w14:solidFill>
                    <w14:schemeClr w14:val="tx1"/>
                  </w14:solidFill>
                </w14:textFill>
              </w:rPr>
              <w:t>＜</w:t>
            </w:r>
            <w:r>
              <w:rPr>
                <w:rFonts w:hint="eastAsia"/>
                <w:b w:val="0"/>
                <w:bCs/>
                <w:color w:val="000000" w:themeColor="text1"/>
                <w:sz w:val="21"/>
                <w:szCs w:val="21"/>
                <w:vertAlign w:val="baseline"/>
                <w:lang w:val="en-US" w:eastAsia="zh-CN"/>
                <w14:textFill>
                  <w14:solidFill>
                    <w14:schemeClr w14:val="tx1"/>
                  </w14:solidFill>
                </w14:textFill>
              </w:rPr>
              <w:t>0.8</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≤10</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0.08</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甲苯</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default"/>
                <w:b w:val="0"/>
                <w:bCs/>
                <w:color w:val="000000" w:themeColor="text1"/>
                <w:sz w:val="21"/>
                <w:szCs w:val="21"/>
                <w:vertAlign w:val="baseline"/>
                <w:lang w:val="en-US" w:eastAsia="zh-CN"/>
                <w14:textFill>
                  <w14:solidFill>
                    <w14:schemeClr w14:val="tx1"/>
                  </w14:solidFill>
                </w14:textFill>
              </w:rPr>
              <w:t>μg/</w:t>
            </w:r>
            <w:r>
              <w:rPr>
                <w:rFonts w:hint="eastAsia"/>
                <w:b w:val="0"/>
                <w:bCs/>
                <w:color w:val="000000" w:themeColor="text1"/>
                <w:sz w:val="21"/>
                <w:szCs w:val="21"/>
                <w:vertAlign w:val="baseline"/>
                <w:lang w:val="en-US" w:eastAsia="zh-CN"/>
                <w14:textFill>
                  <w14:solidFill>
                    <w14:schemeClr w14:val="tx1"/>
                  </w14:solidFill>
                </w14:textFill>
              </w:rPr>
              <w:t>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14:textFill>
                  <w14:solidFill>
                    <w14:schemeClr w14:val="tx1"/>
                  </w14:solidFill>
                </w14:textFill>
              </w:rPr>
              <w:t>＜</w:t>
            </w:r>
            <w:r>
              <w:rPr>
                <w:rFonts w:hint="eastAsia"/>
                <w:b w:val="0"/>
                <w:bCs/>
                <w:color w:val="000000" w:themeColor="text1"/>
                <w:sz w:val="21"/>
                <w:szCs w:val="21"/>
                <w:vertAlign w:val="baseline"/>
                <w:lang w:val="en-US" w:eastAsia="zh-CN"/>
                <w14:textFill>
                  <w14:solidFill>
                    <w14:schemeClr w14:val="tx1"/>
                  </w14:solidFill>
                </w14:textFill>
              </w:rPr>
              <w:t>1</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≤700</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0.0014</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氯化物</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14:textFill>
                  <w14:solidFill>
                    <w14:schemeClr w14:val="tx1"/>
                  </w14:solidFill>
                </w14:textFill>
              </w:rPr>
              <w:t>＜</w:t>
            </w:r>
            <w:r>
              <w:rPr>
                <w:rFonts w:hint="eastAsia"/>
                <w:b w:val="0"/>
                <w:bCs/>
                <w:color w:val="000000" w:themeColor="text1"/>
                <w:sz w:val="21"/>
                <w:szCs w:val="21"/>
                <w:vertAlign w:val="baseline"/>
                <w:lang w:val="en-US" w:eastAsia="zh-CN"/>
                <w14:textFill>
                  <w14:solidFill>
                    <w14:schemeClr w14:val="tx1"/>
                  </w14:solidFill>
                </w14:textFill>
              </w:rPr>
              <w:t>0.002</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0.04</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铬（六价）</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0.0006</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0.012</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总硬度</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无量纲</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104</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≤450</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0.23</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耗氧量</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1.19</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≤3</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0.39</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硫化物</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0.01</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≤0.02</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0.5</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总大肠菌群</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MPH/100mL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≤3</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1.67</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67%</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8" w:type="dxa"/>
            <w:vMerge w:val="continue"/>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p>
        </w:tc>
        <w:tc>
          <w:tcPr>
            <w:tcW w:w="1135"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阴离子表面活性剂</w:t>
            </w:r>
          </w:p>
        </w:tc>
        <w:tc>
          <w:tcPr>
            <w:tcW w:w="1337"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u w:val="single"/>
                <w:vertAlign w:val="baseline"/>
                <w14:textFill>
                  <w14:solidFill>
                    <w14:schemeClr w14:val="tx1"/>
                  </w14:solidFill>
                </w14:textFill>
              </w:rPr>
              <w:t>mg/L</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14:textFill>
                  <w14:solidFill>
                    <w14:schemeClr w14:val="tx1"/>
                  </w14:solidFill>
                </w14:textFill>
              </w:rPr>
              <w:t>＜</w:t>
            </w:r>
            <w:r>
              <w:rPr>
                <w:rFonts w:hint="eastAsia"/>
                <w:b w:val="0"/>
                <w:bCs/>
                <w:color w:val="000000" w:themeColor="text1"/>
                <w:sz w:val="21"/>
                <w:szCs w:val="21"/>
                <w:vertAlign w:val="baseline"/>
                <w:lang w:val="en-US" w:eastAsia="zh-CN"/>
                <w14:textFill>
                  <w14:solidFill>
                    <w14:schemeClr w14:val="tx1"/>
                  </w14:solidFill>
                </w14:textFill>
              </w:rPr>
              <w:t>0.05</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val="0"/>
                <w:bCs/>
                <w:color w:val="000000" w:themeColor="text1"/>
                <w:sz w:val="21"/>
                <w:szCs w:val="21"/>
                <w:vertAlign w:val="baseline"/>
                <w:lang w:val="en-US"/>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≤0.3</w:t>
            </w:r>
          </w:p>
        </w:tc>
        <w:tc>
          <w:tcPr>
            <w:tcW w:w="1128"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0.17</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w:t>
            </w:r>
          </w:p>
        </w:tc>
        <w:tc>
          <w:tcPr>
            <w:tcW w:w="1129" w:type="dxa"/>
            <w:tcBorders>
              <w:tl2br w:val="nil"/>
              <w:tr2bl w:val="nil"/>
            </w:tcBorders>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vertAlign w:val="baseline"/>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达标</w:t>
            </w:r>
          </w:p>
        </w:tc>
      </w:tr>
    </w:tbl>
    <w:p>
      <w:pPr>
        <w:pStyle w:val="71"/>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000000" w:themeColor="text1"/>
          <w:sz w:val="24"/>
          <w:szCs w:val="24"/>
          <w:lang w:val="en-US" w:eastAsia="zh-CN"/>
          <w14:textFill>
            <w14:solidFill>
              <w14:schemeClr w14:val="tx1"/>
            </w14:solidFill>
          </w14:textFill>
        </w:rPr>
      </w:pPr>
      <w:r>
        <w:rPr>
          <w:rFonts w:hint="default" w:ascii="Times New Roman" w:hAnsi="Times New Roman" w:cs="Times New Roman"/>
          <w:b w:val="0"/>
          <w:bCs/>
          <w:color w:val="000000" w:themeColor="text1"/>
          <w:sz w:val="24"/>
          <w:szCs w:val="24"/>
          <w:lang w:eastAsia="zh-CN"/>
          <w14:textFill>
            <w14:solidFill>
              <w14:schemeClr w14:val="tx1"/>
            </w14:solidFill>
          </w14:textFill>
        </w:rPr>
        <w:t>由表</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6.2-6~6.2-8</w:t>
      </w:r>
      <w:r>
        <w:rPr>
          <w:rFonts w:hint="default" w:ascii="Times New Roman" w:hAnsi="Times New Roman" w:cs="Times New Roman"/>
          <w:b w:val="0"/>
          <w:bCs/>
          <w:color w:val="000000" w:themeColor="text1"/>
          <w:sz w:val="24"/>
          <w:szCs w:val="24"/>
          <w:lang w:eastAsia="zh-CN"/>
          <w14:textFill>
            <w14:solidFill>
              <w14:schemeClr w14:val="tx1"/>
            </w14:solidFill>
          </w14:textFill>
        </w:rPr>
        <w:t>可知，</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总体上项目区地下水基本满足《地下水水质标准》(</w:t>
      </w:r>
      <w:r>
        <w:rPr>
          <w:rFonts w:hint="default" w:ascii="Times New Roman" w:hAnsi="Times New Roman" w:cs="Times New Roman"/>
          <w:b w:val="0"/>
          <w:bCs/>
          <w:color w:val="000000" w:themeColor="text1"/>
          <w:sz w:val="24"/>
          <w:szCs w:val="24"/>
          <w14:textFill>
            <w14:solidFill>
              <w14:schemeClr w14:val="tx1"/>
            </w14:solidFill>
          </w14:textFill>
        </w:rPr>
        <w:t>GB/T14848-2017</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)中</w:t>
      </w:r>
      <w:r>
        <w:rPr>
          <w:rFonts w:hint="default" w:ascii="Times New Roman" w:hAnsi="Times New Roman" w:cs="Times New Roman"/>
          <w:b w:val="0"/>
          <w:bCs/>
          <w:color w:val="000000" w:themeColor="text1"/>
          <w:sz w:val="24"/>
          <w:szCs w:val="24"/>
          <w14:textFill>
            <w14:solidFill>
              <w14:schemeClr w14:val="tx1"/>
            </w14:solidFill>
          </w14:textFill>
        </w:rPr>
        <w:t>Ⅲ类标准</w:t>
      </w:r>
      <w:r>
        <w:rPr>
          <w:rFonts w:hint="default" w:ascii="Times New Roman" w:hAnsi="Times New Roman" w:cs="Times New Roman"/>
          <w:b w:val="0"/>
          <w:bCs/>
          <w:color w:val="000000" w:themeColor="text1"/>
          <w:sz w:val="24"/>
          <w:szCs w:val="24"/>
          <w:lang w:eastAsia="zh-CN"/>
          <w14:textFill>
            <w14:solidFill>
              <w14:schemeClr w14:val="tx1"/>
            </w14:solidFill>
          </w14:textFill>
        </w:rPr>
        <w:t>的要求</w:t>
      </w:r>
      <w:r>
        <w:rPr>
          <w:rFonts w:hint="eastAsia" w:ascii="Times New Roman" w:hAnsi="Times New Roman" w:cs="Times New Roman"/>
          <w:b w:val="0"/>
          <w:bCs/>
          <w:color w:val="000000" w:themeColor="text1"/>
          <w:sz w:val="24"/>
          <w:szCs w:val="24"/>
          <w:lang w:eastAsia="zh-CN"/>
          <w14:textFill>
            <w14:solidFill>
              <w14:schemeClr w14:val="tx1"/>
            </w14:solidFill>
          </w14:textFill>
        </w:rPr>
        <w:t>，</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但是云溪区工业固体废弃物处置（一期工程）项目中地下水监测数据中的PH和总大肠菌群超标，出现超标的原因分析如下：总大肠菌群和PH超标的主要原因有两个：第一是取样地下水属于浅层地下水，由于周边存在自住民房、其生活垃圾、排泄物的污染导致浅层地下水存在污染。另外一个原因是钻孔水量较小，取样前抽水时间较短，抽水设备存在一定的人为污染。</w:t>
      </w:r>
    </w:p>
    <w:p>
      <w:pPr>
        <w:pStyle w:val="5"/>
        <w:rPr>
          <w:color w:val="000000" w:themeColor="text1"/>
          <w14:textFill>
            <w14:solidFill>
              <w14:schemeClr w14:val="tx1"/>
            </w14:solidFill>
          </w14:textFill>
        </w:rPr>
      </w:pPr>
      <w:r>
        <w:rPr>
          <w:color w:val="000000" w:themeColor="text1"/>
          <w14:textFill>
            <w14:solidFill>
              <w14:schemeClr w14:val="tx1"/>
            </w14:solidFill>
          </w14:textFill>
        </w:rPr>
        <w:t>声环境现状调查及评价</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（1）监测因子、布点及监测时间</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评价区域声环境监测</w:t>
      </w:r>
      <w:r>
        <w:rPr>
          <w:rFonts w:hint="default" w:ascii="Times New Roman" w:hAnsi="Times New Roman" w:cs="Times New Roman"/>
          <w:color w:val="000000" w:themeColor="text1"/>
          <w:kern w:val="0"/>
          <w14:textFill>
            <w14:solidFill>
              <w14:schemeClr w14:val="tx1"/>
            </w14:solidFill>
          </w14:textFill>
        </w:rPr>
        <w:t>共布设4个</w:t>
      </w:r>
      <w:r>
        <w:rPr>
          <w:rFonts w:hint="default" w:ascii="Times New Roman" w:hAnsi="Times New Roman" w:cs="Times New Roman"/>
          <w:color w:val="000000" w:themeColor="text1"/>
          <w14:textFill>
            <w14:solidFill>
              <w14:schemeClr w14:val="tx1"/>
            </w14:solidFill>
          </w14:textFill>
        </w:rPr>
        <w:t>环境监测点，声环境监测点的具体布设位置详见下表所示。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6</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声环境监测因子、布点及监测时间和频率表</w:t>
      </w:r>
    </w:p>
    <w:tbl>
      <w:tblPr>
        <w:tblStyle w:val="41"/>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362"/>
        <w:gridCol w:w="1850"/>
        <w:gridCol w:w="4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8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236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监测点位</w:t>
            </w:r>
          </w:p>
        </w:tc>
        <w:tc>
          <w:tcPr>
            <w:tcW w:w="185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监测项目</w:t>
            </w:r>
          </w:p>
        </w:tc>
        <w:tc>
          <w:tcPr>
            <w:tcW w:w="434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监测时间及频率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N1</w:t>
            </w:r>
          </w:p>
        </w:tc>
        <w:tc>
          <w:tcPr>
            <w:tcW w:w="236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N1东面厂界外1m</w:t>
            </w:r>
          </w:p>
        </w:tc>
        <w:tc>
          <w:tcPr>
            <w:tcW w:w="185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等效连续A声级</w:t>
            </w:r>
          </w:p>
        </w:tc>
        <w:tc>
          <w:tcPr>
            <w:tcW w:w="434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2020年08月21日~2020年08月22日连续监测2天，每日昼、夜间各采样监测一次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N2</w:t>
            </w:r>
          </w:p>
        </w:tc>
        <w:tc>
          <w:tcPr>
            <w:tcW w:w="236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N2南面厂界外1m</w:t>
            </w:r>
          </w:p>
        </w:tc>
        <w:tc>
          <w:tcPr>
            <w:tcW w:w="185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4349"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N3</w:t>
            </w:r>
          </w:p>
        </w:tc>
        <w:tc>
          <w:tcPr>
            <w:tcW w:w="236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N3西面厂界外1m</w:t>
            </w:r>
          </w:p>
        </w:tc>
        <w:tc>
          <w:tcPr>
            <w:tcW w:w="185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4349"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8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N4</w:t>
            </w:r>
          </w:p>
        </w:tc>
        <w:tc>
          <w:tcPr>
            <w:tcW w:w="236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N4北面厂界外1m</w:t>
            </w:r>
          </w:p>
        </w:tc>
        <w:tc>
          <w:tcPr>
            <w:tcW w:w="1850"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4349"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bl>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（2）评价标准与评价方法</w:t>
      </w:r>
    </w:p>
    <w:p>
      <w:pPr>
        <w:pStyle w:val="14"/>
        <w:ind w:firstLine="480" w:firstLineChars="200"/>
        <w:jc w:val="both"/>
        <w:rPr>
          <w:b w:val="0"/>
          <w:color w:val="000000" w:themeColor="text1"/>
          <w14:textFill>
            <w14:solidFill>
              <w14:schemeClr w14:val="tx1"/>
            </w14:solidFill>
          </w14:textFill>
        </w:rPr>
      </w:pPr>
      <w:r>
        <w:rPr>
          <w:b w:val="0"/>
          <w:bCs/>
          <w:color w:val="000000" w:themeColor="text1"/>
          <w14:textFill>
            <w14:solidFill>
              <w14:schemeClr w14:val="tx1"/>
            </w14:solidFill>
          </w14:textFill>
        </w:rPr>
        <w:t>评价方法采用与标准限值对比法进行评价。项目区域声环境执行《声环境质量标准》（GB3096-2008）3类标准。</w:t>
      </w:r>
    </w:p>
    <w:p>
      <w:pPr>
        <w:widowControl/>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（3）监测结果统计与评价</w:t>
      </w:r>
    </w:p>
    <w:p>
      <w:pPr>
        <w:widowControl/>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监测结果统计详见下表所示。</w:t>
      </w:r>
    </w:p>
    <w:p>
      <w:pPr>
        <w:pStyle w:val="71"/>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表</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6</w:t>
      </w:r>
      <w:r>
        <w:rPr>
          <w:rFonts w:hint="eastAsia" w:ascii="Times New Roman" w:hAnsi="Times New Roman" w:cs="Times New Roman"/>
          <w:b/>
          <w:color w:val="000000" w:themeColor="text1"/>
          <w:sz w:val="24"/>
          <w:szCs w:val="24"/>
          <w:lang w:val="en-US" w:eastAsia="zh-CN"/>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SEQ 表 \* ARABIC \s 2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10</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t xml:space="preserve">  声环境质量现状监测及评价表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345"/>
        <w:gridCol w:w="1076"/>
        <w:gridCol w:w="2200"/>
        <w:gridCol w:w="1542"/>
        <w:gridCol w:w="15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监测点</w:t>
            </w:r>
          </w:p>
        </w:tc>
        <w:tc>
          <w:tcPr>
            <w:tcW w:w="1310"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监测时间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监测结果Leq（A）</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标准限值</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N1</w:t>
            </w: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2020.08.21</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60</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52</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2020.08.22</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60</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50</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N2</w:t>
            </w: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2020.08.21</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55</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52</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2020.08.22</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54</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52</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N3</w:t>
            </w: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2020.08.21</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62</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50</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2020.08.22</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62</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51</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N4</w:t>
            </w: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2020.08.21</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54</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50</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2020.08.22</w:t>
            </w: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昼间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57</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33"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c>
          <w:tcPr>
            <w:tcW w:w="728" w:type="pct"/>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kern w:val="0"/>
                <w:sz w:val="21"/>
                <w14:textFill>
                  <w14:solidFill>
                    <w14:schemeClr w14:val="tx1"/>
                  </w14:solidFill>
                </w14:textFill>
              </w:rPr>
            </w:pPr>
          </w:p>
        </w:tc>
        <w:tc>
          <w:tcPr>
            <w:tcW w:w="58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夜间</w:t>
            </w:r>
          </w:p>
        </w:tc>
        <w:tc>
          <w:tcPr>
            <w:tcW w:w="11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50</w:t>
            </w:r>
          </w:p>
        </w:tc>
        <w:tc>
          <w:tcPr>
            <w:tcW w:w="8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55</w:t>
            </w:r>
          </w:p>
        </w:tc>
        <w:tc>
          <w:tcPr>
            <w:tcW w:w="83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达标</w:t>
            </w:r>
          </w:p>
        </w:tc>
      </w:tr>
    </w:tbl>
    <w:p>
      <w:pPr>
        <w:pStyle w:val="14"/>
        <w:ind w:firstLine="480" w:firstLineChars="200"/>
        <w:jc w:val="both"/>
        <w:rPr>
          <w:b w:val="0"/>
          <w:bCs/>
          <w:color w:val="000000" w:themeColor="text1"/>
          <w14:textFill>
            <w14:solidFill>
              <w14:schemeClr w14:val="tx1"/>
            </w14:solidFill>
          </w14:textFill>
        </w:rPr>
      </w:pPr>
      <w:r>
        <w:rPr>
          <w:b w:val="0"/>
          <w:bCs/>
          <w:color w:val="000000" w:themeColor="text1"/>
          <w14:textFill>
            <w14:solidFill>
              <w14:schemeClr w14:val="tx1"/>
            </w14:solidFill>
          </w14:textFill>
        </w:rPr>
        <w:t>由上表可知，在项目所在地和周边敏感点设置了4个声环境监测点，监测因子为等效A声级。监测结果表明项目所在地声环境质量满足《声环境质量标准》GB3096-2008中的3类标准。</w:t>
      </w:r>
    </w:p>
    <w:p>
      <w:pPr>
        <w:pStyle w:val="5"/>
        <w:rPr>
          <w:color w:val="000000" w:themeColor="text1"/>
          <w14:textFill>
            <w14:solidFill>
              <w14:schemeClr w14:val="tx1"/>
            </w14:solidFill>
          </w14:textFill>
        </w:rPr>
      </w:pPr>
      <w:r>
        <w:rPr>
          <w:color w:val="000000" w:themeColor="text1"/>
          <w14:textFill>
            <w14:solidFill>
              <w14:schemeClr w14:val="tx1"/>
            </w14:solidFill>
          </w14:textFill>
        </w:rPr>
        <w:t>土壤环境质量现状</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为了解项目所在地土壤环境现状，本次环评委托宇相津准（湖南）环境检测有限公司对项目所在地土壤环境现状进行评价，监测采样时间为2020年08月23日和2020年08月25日。</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现场踏勘，项目拟建区域地面已经进行了水泥硬化；另外根据建设单位的管理要求，本项目厂区内地下埋有电缆、油管，且不能确定其所在位置，因此项目厂区内不能打孔取柱状样品。综合考虑本次评价将厂区应该布置的三个柱状点调整为表层点取样。</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（1）监测点位如下表所示。</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土壤环境质量现状监测点布置一览表</w:t>
      </w:r>
    </w:p>
    <w:tbl>
      <w:tblPr>
        <w:tblStyle w:val="4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6"/>
        <w:gridCol w:w="1180"/>
        <w:gridCol w:w="1310"/>
        <w:gridCol w:w="2907"/>
        <w:gridCol w:w="1186"/>
        <w:gridCol w:w="18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409" w:type="pct"/>
            <w:tcBorders>
              <w:top w:val="single" w:color="000000" w:sz="12"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171" w:name="_Toc27667"/>
            <w:bookmarkStart w:id="172" w:name="_Toc9286"/>
            <w:bookmarkStart w:id="173" w:name="_Toc15377"/>
            <w:bookmarkStart w:id="174" w:name="_Toc24920"/>
            <w:bookmarkStart w:id="175" w:name="_Toc54315248"/>
            <w:bookmarkStart w:id="176" w:name="_Toc9627"/>
            <w:bookmarkStart w:id="177" w:name="_Toc18563"/>
            <w:bookmarkStart w:id="178" w:name="_Toc20784"/>
            <w:r>
              <w:rPr>
                <w:rFonts w:hint="default" w:ascii="Times New Roman" w:hAnsi="Times New Roman" w:eastAsia="宋体" w:cs="Times New Roman"/>
                <w:color w:val="000000" w:themeColor="text1"/>
                <w:sz w:val="21"/>
                <w14:textFill>
                  <w14:solidFill>
                    <w14:schemeClr w14:val="tx1"/>
                  </w14:solidFill>
                </w14:textFill>
              </w:rPr>
              <w:t>编号</w:t>
            </w:r>
            <w:bookmarkEnd w:id="171"/>
            <w:bookmarkEnd w:id="172"/>
            <w:bookmarkEnd w:id="173"/>
            <w:bookmarkEnd w:id="174"/>
            <w:bookmarkEnd w:id="175"/>
            <w:bookmarkEnd w:id="176"/>
            <w:bookmarkEnd w:id="177"/>
            <w:bookmarkEnd w:id="178"/>
          </w:p>
        </w:tc>
        <w:tc>
          <w:tcPr>
            <w:tcW w:w="639" w:type="pc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179" w:name="_Toc691"/>
            <w:bookmarkStart w:id="180" w:name="_Toc25253"/>
            <w:bookmarkStart w:id="181" w:name="_Toc28818"/>
            <w:bookmarkStart w:id="182" w:name="_Toc31051"/>
            <w:bookmarkStart w:id="183" w:name="_Toc23492"/>
            <w:bookmarkStart w:id="184" w:name="_Toc12477"/>
            <w:bookmarkStart w:id="185" w:name="_Toc54315249"/>
            <w:bookmarkStart w:id="186" w:name="_Toc4355"/>
            <w:r>
              <w:rPr>
                <w:rFonts w:hint="default" w:ascii="Times New Roman" w:hAnsi="Times New Roman" w:eastAsia="宋体" w:cs="Times New Roman"/>
                <w:color w:val="000000" w:themeColor="text1"/>
                <w:sz w:val="21"/>
                <w14:textFill>
                  <w14:solidFill>
                    <w14:schemeClr w14:val="tx1"/>
                  </w14:solidFill>
                </w14:textFill>
              </w:rPr>
              <w:t>监测点类型</w:t>
            </w:r>
            <w:bookmarkEnd w:id="179"/>
            <w:bookmarkEnd w:id="180"/>
            <w:bookmarkEnd w:id="181"/>
            <w:bookmarkEnd w:id="182"/>
            <w:bookmarkEnd w:id="183"/>
            <w:bookmarkEnd w:id="184"/>
            <w:bookmarkEnd w:id="185"/>
            <w:bookmarkEnd w:id="186"/>
          </w:p>
        </w:tc>
        <w:tc>
          <w:tcPr>
            <w:tcW w:w="709" w:type="pc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187" w:name="_Toc4329"/>
            <w:bookmarkStart w:id="188" w:name="_Toc4130"/>
            <w:bookmarkStart w:id="189" w:name="_Toc31240"/>
            <w:bookmarkStart w:id="190" w:name="_Toc30388"/>
            <w:bookmarkStart w:id="191" w:name="_Toc54315250"/>
            <w:bookmarkStart w:id="192" w:name="_Toc25564"/>
            <w:bookmarkStart w:id="193" w:name="_Toc12398"/>
            <w:bookmarkStart w:id="194" w:name="_Toc14958"/>
            <w:r>
              <w:rPr>
                <w:rFonts w:hint="default" w:ascii="Times New Roman" w:hAnsi="Times New Roman" w:eastAsia="宋体" w:cs="Times New Roman"/>
                <w:color w:val="000000" w:themeColor="text1"/>
                <w:sz w:val="21"/>
                <w14:textFill>
                  <w14:solidFill>
                    <w14:schemeClr w14:val="tx1"/>
                  </w14:solidFill>
                </w14:textFill>
              </w:rPr>
              <w:t>监测点位置</w:t>
            </w:r>
            <w:bookmarkEnd w:id="187"/>
            <w:bookmarkEnd w:id="188"/>
            <w:bookmarkEnd w:id="189"/>
            <w:bookmarkEnd w:id="190"/>
            <w:bookmarkEnd w:id="191"/>
            <w:bookmarkEnd w:id="192"/>
            <w:bookmarkEnd w:id="193"/>
            <w:bookmarkEnd w:id="194"/>
          </w:p>
        </w:tc>
        <w:tc>
          <w:tcPr>
            <w:tcW w:w="1574" w:type="pc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195" w:name="_Toc31165"/>
            <w:bookmarkStart w:id="196" w:name="_Toc924"/>
            <w:bookmarkStart w:id="197" w:name="_Toc24141"/>
            <w:bookmarkStart w:id="198" w:name="_Toc26989"/>
            <w:bookmarkStart w:id="199" w:name="_Toc15518"/>
            <w:bookmarkStart w:id="200" w:name="_Toc30655"/>
            <w:bookmarkStart w:id="201" w:name="_Toc6681"/>
            <w:bookmarkStart w:id="202" w:name="_Toc54315251"/>
            <w:r>
              <w:rPr>
                <w:rFonts w:hint="default" w:ascii="Times New Roman" w:hAnsi="Times New Roman" w:eastAsia="宋体" w:cs="Times New Roman"/>
                <w:color w:val="000000" w:themeColor="text1"/>
                <w:sz w:val="21"/>
                <w14:textFill>
                  <w14:solidFill>
                    <w14:schemeClr w14:val="tx1"/>
                  </w14:solidFill>
                </w14:textFill>
              </w:rPr>
              <w:t>监测因子</w:t>
            </w:r>
            <w:bookmarkEnd w:id="195"/>
            <w:bookmarkEnd w:id="196"/>
            <w:bookmarkEnd w:id="197"/>
            <w:bookmarkEnd w:id="198"/>
            <w:bookmarkEnd w:id="199"/>
            <w:bookmarkEnd w:id="200"/>
            <w:bookmarkEnd w:id="201"/>
            <w:bookmarkEnd w:id="202"/>
          </w:p>
        </w:tc>
        <w:tc>
          <w:tcPr>
            <w:tcW w:w="642" w:type="pct"/>
            <w:tcBorders>
              <w:top w:val="single" w:color="000000" w:sz="12"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03" w:name="_Toc54315252"/>
            <w:bookmarkStart w:id="204" w:name="_Toc10701"/>
            <w:bookmarkStart w:id="205" w:name="_Toc20078"/>
            <w:bookmarkStart w:id="206" w:name="_Toc8545"/>
            <w:bookmarkStart w:id="207" w:name="_Toc20188"/>
            <w:bookmarkStart w:id="208" w:name="_Toc8382"/>
            <w:bookmarkStart w:id="209" w:name="_Toc28160"/>
            <w:bookmarkStart w:id="210" w:name="_Toc5751"/>
            <w:r>
              <w:rPr>
                <w:rFonts w:hint="default" w:ascii="Times New Roman" w:hAnsi="Times New Roman" w:eastAsia="宋体" w:cs="Times New Roman"/>
                <w:color w:val="000000" w:themeColor="text1"/>
                <w:sz w:val="21"/>
                <w14:textFill>
                  <w14:solidFill>
                    <w14:schemeClr w14:val="tx1"/>
                  </w14:solidFill>
                </w14:textFill>
              </w:rPr>
              <w:t>土地性质</w:t>
            </w:r>
            <w:bookmarkEnd w:id="203"/>
            <w:bookmarkEnd w:id="204"/>
            <w:bookmarkEnd w:id="205"/>
            <w:bookmarkEnd w:id="206"/>
            <w:bookmarkEnd w:id="207"/>
            <w:bookmarkEnd w:id="208"/>
            <w:bookmarkEnd w:id="209"/>
            <w:bookmarkEnd w:id="210"/>
          </w:p>
        </w:tc>
        <w:tc>
          <w:tcPr>
            <w:tcW w:w="1028" w:type="pct"/>
            <w:tcBorders>
              <w:top w:val="single" w:color="000000" w:sz="12" w:space="0"/>
              <w:left w:val="single" w:color="000000" w:sz="4" w:space="0"/>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11" w:name="_Toc54315253"/>
            <w:bookmarkStart w:id="212" w:name="_Toc11665"/>
            <w:bookmarkStart w:id="213" w:name="_Toc26716"/>
            <w:bookmarkStart w:id="214" w:name="_Toc2568"/>
            <w:bookmarkStart w:id="215" w:name="_Toc3589"/>
            <w:bookmarkStart w:id="216" w:name="_Toc5965"/>
            <w:bookmarkStart w:id="217" w:name="_Toc6544"/>
            <w:bookmarkStart w:id="218" w:name="_Toc15572"/>
            <w:r>
              <w:rPr>
                <w:rFonts w:hint="default" w:ascii="Times New Roman" w:hAnsi="Times New Roman" w:eastAsia="宋体" w:cs="Times New Roman"/>
                <w:color w:val="000000" w:themeColor="text1"/>
                <w:sz w:val="21"/>
                <w14:textFill>
                  <w14:solidFill>
                    <w14:schemeClr w14:val="tx1"/>
                  </w14:solidFill>
                </w14:textFill>
              </w:rPr>
              <w:t>理化性质</w:t>
            </w:r>
            <w:bookmarkEnd w:id="211"/>
            <w:bookmarkEnd w:id="212"/>
            <w:bookmarkEnd w:id="213"/>
            <w:bookmarkEnd w:id="214"/>
            <w:bookmarkEnd w:id="215"/>
            <w:bookmarkEnd w:id="216"/>
            <w:bookmarkEnd w:id="217"/>
            <w:bookmarkEnd w:id="218"/>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09"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19" w:name="_Toc54315254"/>
            <w:bookmarkStart w:id="220" w:name="_Toc11037"/>
            <w:bookmarkStart w:id="221" w:name="_Toc17087"/>
            <w:bookmarkStart w:id="222" w:name="_Toc7202"/>
            <w:bookmarkStart w:id="223" w:name="_Toc3831"/>
            <w:bookmarkStart w:id="224" w:name="_Toc7174"/>
            <w:bookmarkStart w:id="225" w:name="_Toc20711"/>
            <w:bookmarkStart w:id="226" w:name="_Toc3226"/>
            <w:r>
              <w:rPr>
                <w:rFonts w:hint="default" w:ascii="Times New Roman" w:hAnsi="Times New Roman" w:eastAsia="宋体" w:cs="Times New Roman"/>
                <w:color w:val="000000" w:themeColor="text1"/>
                <w:sz w:val="21"/>
                <w14:textFill>
                  <w14:solidFill>
                    <w14:schemeClr w14:val="tx1"/>
                  </w14:solidFill>
                </w14:textFill>
              </w:rPr>
              <w:t>E1</w:t>
            </w:r>
            <w:bookmarkEnd w:id="219"/>
            <w:bookmarkEnd w:id="220"/>
            <w:bookmarkEnd w:id="221"/>
            <w:bookmarkEnd w:id="222"/>
            <w:bookmarkEnd w:id="223"/>
            <w:bookmarkEnd w:id="224"/>
            <w:bookmarkEnd w:id="225"/>
            <w:bookmarkEnd w:id="226"/>
          </w:p>
        </w:tc>
        <w:tc>
          <w:tcPr>
            <w:tcW w:w="6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27" w:name="_Toc15390"/>
            <w:bookmarkStart w:id="228" w:name="_Toc18166"/>
            <w:bookmarkStart w:id="229" w:name="_Toc12858"/>
            <w:bookmarkStart w:id="230" w:name="_Toc32242"/>
            <w:bookmarkStart w:id="231" w:name="_Toc18253"/>
            <w:bookmarkStart w:id="232" w:name="_Toc31093"/>
            <w:bookmarkStart w:id="233" w:name="_Toc54315255"/>
            <w:bookmarkStart w:id="234" w:name="_Toc21893"/>
            <w:r>
              <w:rPr>
                <w:rFonts w:hint="default" w:ascii="Times New Roman" w:hAnsi="Times New Roman" w:eastAsia="宋体" w:cs="Times New Roman"/>
                <w:color w:val="000000" w:themeColor="text1"/>
                <w:sz w:val="21"/>
                <w14:textFill>
                  <w14:solidFill>
                    <w14:schemeClr w14:val="tx1"/>
                  </w14:solidFill>
                </w14:textFill>
              </w:rPr>
              <w:t>表层点样</w:t>
            </w:r>
            <w:bookmarkEnd w:id="227"/>
            <w:bookmarkEnd w:id="228"/>
            <w:bookmarkEnd w:id="229"/>
            <w:bookmarkEnd w:id="230"/>
            <w:bookmarkEnd w:id="231"/>
            <w:bookmarkEnd w:id="232"/>
            <w:bookmarkEnd w:id="233"/>
            <w:bookmarkEnd w:id="234"/>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35" w:name="_Toc22083"/>
            <w:bookmarkStart w:id="236" w:name="_Toc32565"/>
            <w:bookmarkStart w:id="237" w:name="_Toc54315256"/>
            <w:bookmarkStart w:id="238" w:name="_Toc32619"/>
            <w:bookmarkStart w:id="239" w:name="_Toc7589"/>
            <w:bookmarkStart w:id="240" w:name="_Toc19218"/>
            <w:bookmarkStart w:id="241" w:name="_Toc9570"/>
            <w:bookmarkStart w:id="242" w:name="_Toc13684"/>
            <w:r>
              <w:rPr>
                <w:rFonts w:hint="default" w:ascii="Times New Roman" w:hAnsi="Times New Roman" w:eastAsia="宋体" w:cs="Times New Roman"/>
                <w:color w:val="000000" w:themeColor="text1"/>
                <w:sz w:val="21"/>
                <w14:textFill>
                  <w14:solidFill>
                    <w14:schemeClr w14:val="tx1"/>
                  </w14:solidFill>
                </w14:textFill>
              </w:rPr>
              <w:t>厂界内</w:t>
            </w:r>
            <w:bookmarkEnd w:id="235"/>
            <w:bookmarkEnd w:id="236"/>
            <w:bookmarkEnd w:id="237"/>
            <w:bookmarkEnd w:id="238"/>
            <w:bookmarkEnd w:id="239"/>
            <w:bookmarkEnd w:id="240"/>
            <w:bookmarkEnd w:id="241"/>
            <w:bookmarkEnd w:id="242"/>
          </w:p>
        </w:tc>
        <w:tc>
          <w:tcPr>
            <w:tcW w:w="15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43" w:name="_Toc9851"/>
            <w:bookmarkStart w:id="244" w:name="_Toc22323"/>
            <w:bookmarkStart w:id="245" w:name="_Toc24444"/>
            <w:bookmarkStart w:id="246" w:name="_Toc1683"/>
            <w:bookmarkStart w:id="247" w:name="_Toc19286"/>
            <w:bookmarkStart w:id="248" w:name="_Toc2959"/>
            <w:bookmarkStart w:id="249" w:name="_Toc54315257"/>
            <w:bookmarkStart w:id="250" w:name="_Toc306"/>
            <w:r>
              <w:rPr>
                <w:rFonts w:hint="default" w:ascii="Times New Roman" w:hAnsi="Times New Roman" w:eastAsia="宋体" w:cs="Times New Roman"/>
                <w:color w:val="000000" w:themeColor="text1"/>
                <w:sz w:val="21"/>
                <w14:textFill>
                  <w14:solidFill>
                    <w14:schemeClr w14:val="tx1"/>
                  </w14:solidFill>
                </w14:textFill>
              </w:rPr>
              <w:t>特征因子石油烃</w:t>
            </w:r>
            <w:bookmarkEnd w:id="243"/>
            <w:bookmarkEnd w:id="244"/>
            <w:bookmarkEnd w:id="245"/>
            <w:bookmarkEnd w:id="246"/>
            <w:bookmarkEnd w:id="247"/>
            <w:bookmarkEnd w:id="248"/>
            <w:bookmarkEnd w:id="249"/>
            <w:bookmarkEnd w:id="250"/>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51" w:name="_Toc2263"/>
            <w:bookmarkStart w:id="252" w:name="_Toc31212"/>
            <w:bookmarkStart w:id="253" w:name="_Toc4616"/>
            <w:bookmarkStart w:id="254" w:name="_Toc54315258"/>
            <w:bookmarkStart w:id="255" w:name="_Toc5620"/>
            <w:bookmarkStart w:id="256" w:name="_Toc29857"/>
            <w:bookmarkStart w:id="257" w:name="_Toc31016"/>
            <w:bookmarkStart w:id="258" w:name="_Toc972"/>
            <w:r>
              <w:rPr>
                <w:rFonts w:hint="default" w:ascii="Times New Roman" w:hAnsi="Times New Roman" w:eastAsia="宋体" w:cs="Times New Roman"/>
                <w:color w:val="000000" w:themeColor="text1"/>
                <w:sz w:val="21"/>
                <w14:textFill>
                  <w14:solidFill>
                    <w14:schemeClr w14:val="tx1"/>
                  </w14:solidFill>
                </w14:textFill>
              </w:rPr>
              <w:t>建设用地</w:t>
            </w:r>
            <w:bookmarkEnd w:id="251"/>
            <w:bookmarkEnd w:id="252"/>
            <w:bookmarkEnd w:id="253"/>
            <w:bookmarkEnd w:id="254"/>
            <w:bookmarkEnd w:id="255"/>
            <w:bookmarkEnd w:id="256"/>
            <w:bookmarkEnd w:id="257"/>
            <w:bookmarkEnd w:id="258"/>
          </w:p>
        </w:tc>
        <w:tc>
          <w:tcPr>
            <w:tcW w:w="1028" w:type="pct"/>
            <w:vMerge w:val="restart"/>
            <w:tcBorders>
              <w:top w:val="single" w:color="000000" w:sz="4" w:space="0"/>
              <w:left w:val="single" w:color="000000" w:sz="4" w:space="0"/>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59" w:name="_Toc10697"/>
            <w:bookmarkStart w:id="260" w:name="_Toc8631"/>
            <w:bookmarkStart w:id="261" w:name="_Toc19063"/>
            <w:bookmarkStart w:id="262" w:name="_Toc17750"/>
            <w:bookmarkStart w:id="263" w:name="_Toc9118"/>
            <w:bookmarkStart w:id="264" w:name="_Toc20765"/>
            <w:bookmarkStart w:id="265" w:name="_Toc54315259"/>
            <w:bookmarkStart w:id="266" w:name="_Toc6575"/>
            <w:r>
              <w:rPr>
                <w:rFonts w:hint="default" w:ascii="Times New Roman" w:hAnsi="Times New Roman" w:eastAsia="宋体" w:cs="Times New Roman"/>
                <w:color w:val="000000" w:themeColor="text1"/>
                <w:sz w:val="21"/>
                <w14:textFill>
                  <w14:solidFill>
                    <w14:schemeClr w14:val="tx1"/>
                  </w14:solidFill>
                </w14:textFill>
              </w:rPr>
              <w:t>土壤颜色、土壤结构、pH、阳离子交换量、氧化还原电位、饱和导水率、土壤容重、孔隙度</w:t>
            </w:r>
            <w:bookmarkEnd w:id="259"/>
            <w:bookmarkEnd w:id="260"/>
            <w:bookmarkEnd w:id="261"/>
            <w:bookmarkEnd w:id="262"/>
            <w:bookmarkEnd w:id="263"/>
            <w:bookmarkEnd w:id="264"/>
            <w:bookmarkEnd w:id="265"/>
            <w:bookmarkEnd w:id="266"/>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09"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67" w:name="_Toc4695"/>
            <w:bookmarkStart w:id="268" w:name="_Toc11632"/>
            <w:bookmarkStart w:id="269" w:name="_Toc10647"/>
            <w:bookmarkStart w:id="270" w:name="_Toc12235"/>
            <w:bookmarkStart w:id="271" w:name="_Toc24126"/>
            <w:bookmarkStart w:id="272" w:name="_Toc15970"/>
            <w:bookmarkStart w:id="273" w:name="_Toc21170"/>
            <w:bookmarkStart w:id="274" w:name="_Toc54315260"/>
            <w:r>
              <w:rPr>
                <w:rFonts w:hint="default" w:ascii="Times New Roman" w:hAnsi="Times New Roman" w:eastAsia="宋体" w:cs="Times New Roman"/>
                <w:color w:val="000000" w:themeColor="text1"/>
                <w:sz w:val="21"/>
                <w14:textFill>
                  <w14:solidFill>
                    <w14:schemeClr w14:val="tx1"/>
                  </w14:solidFill>
                </w14:textFill>
              </w:rPr>
              <w:t>E2</w:t>
            </w:r>
            <w:bookmarkEnd w:id="267"/>
            <w:bookmarkEnd w:id="268"/>
            <w:bookmarkEnd w:id="269"/>
            <w:bookmarkEnd w:id="270"/>
            <w:bookmarkEnd w:id="271"/>
            <w:bookmarkEnd w:id="272"/>
            <w:bookmarkEnd w:id="273"/>
            <w:bookmarkEnd w:id="274"/>
          </w:p>
        </w:tc>
        <w:tc>
          <w:tcPr>
            <w:tcW w:w="6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75" w:name="_Toc4293"/>
            <w:bookmarkStart w:id="276" w:name="_Toc10438"/>
            <w:bookmarkStart w:id="277" w:name="_Toc54315261"/>
            <w:bookmarkStart w:id="278" w:name="_Toc32734"/>
            <w:bookmarkStart w:id="279" w:name="_Toc776"/>
            <w:bookmarkStart w:id="280" w:name="_Toc11407"/>
            <w:bookmarkStart w:id="281" w:name="_Toc24899"/>
            <w:bookmarkStart w:id="282" w:name="_Toc4717"/>
            <w:r>
              <w:rPr>
                <w:rFonts w:hint="default" w:ascii="Times New Roman" w:hAnsi="Times New Roman" w:eastAsia="宋体" w:cs="Times New Roman"/>
                <w:color w:val="000000" w:themeColor="text1"/>
                <w:sz w:val="21"/>
                <w14:textFill>
                  <w14:solidFill>
                    <w14:schemeClr w14:val="tx1"/>
                  </w14:solidFill>
                </w14:textFill>
              </w:rPr>
              <w:t>表层点样</w:t>
            </w:r>
            <w:bookmarkEnd w:id="275"/>
            <w:bookmarkEnd w:id="276"/>
            <w:bookmarkEnd w:id="277"/>
            <w:bookmarkEnd w:id="278"/>
            <w:bookmarkEnd w:id="279"/>
            <w:bookmarkEnd w:id="280"/>
            <w:bookmarkEnd w:id="281"/>
            <w:bookmarkEnd w:id="282"/>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83" w:name="_Toc31323"/>
            <w:bookmarkStart w:id="284" w:name="_Toc24010"/>
            <w:bookmarkStart w:id="285" w:name="_Toc6265"/>
            <w:bookmarkStart w:id="286" w:name="_Toc28800"/>
            <w:bookmarkStart w:id="287" w:name="_Toc54315262"/>
            <w:bookmarkStart w:id="288" w:name="_Toc7131"/>
            <w:bookmarkStart w:id="289" w:name="_Toc17815"/>
            <w:bookmarkStart w:id="290" w:name="_Toc31771"/>
            <w:r>
              <w:rPr>
                <w:rFonts w:hint="default" w:ascii="Times New Roman" w:hAnsi="Times New Roman" w:eastAsia="宋体" w:cs="Times New Roman"/>
                <w:color w:val="000000" w:themeColor="text1"/>
                <w:sz w:val="21"/>
                <w14:textFill>
                  <w14:solidFill>
                    <w14:schemeClr w14:val="tx1"/>
                  </w14:solidFill>
                </w14:textFill>
              </w:rPr>
              <w:t>厂界内</w:t>
            </w:r>
            <w:bookmarkEnd w:id="283"/>
            <w:bookmarkEnd w:id="284"/>
            <w:bookmarkEnd w:id="285"/>
            <w:bookmarkEnd w:id="286"/>
            <w:bookmarkEnd w:id="287"/>
            <w:bookmarkEnd w:id="288"/>
            <w:bookmarkEnd w:id="289"/>
            <w:bookmarkEnd w:id="290"/>
          </w:p>
        </w:tc>
        <w:tc>
          <w:tcPr>
            <w:tcW w:w="15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91" w:name="_Toc6961"/>
            <w:bookmarkStart w:id="292" w:name="_Toc11744"/>
            <w:bookmarkStart w:id="293" w:name="_Toc6881"/>
            <w:bookmarkStart w:id="294" w:name="_Toc54315263"/>
            <w:bookmarkStart w:id="295" w:name="_Toc5831"/>
            <w:bookmarkStart w:id="296" w:name="_Toc27683"/>
            <w:bookmarkStart w:id="297" w:name="_Toc11952"/>
            <w:bookmarkStart w:id="298" w:name="_Toc22315"/>
            <w:r>
              <w:rPr>
                <w:rFonts w:hint="default" w:ascii="Times New Roman" w:hAnsi="Times New Roman" w:eastAsia="宋体" w:cs="Times New Roman"/>
                <w:color w:val="000000" w:themeColor="text1"/>
                <w:sz w:val="21"/>
                <w14:textFill>
                  <w14:solidFill>
                    <w14:schemeClr w14:val="tx1"/>
                  </w14:solidFill>
                </w14:textFill>
              </w:rPr>
              <w:t>特征因子石油烃</w:t>
            </w:r>
            <w:bookmarkEnd w:id="291"/>
            <w:bookmarkEnd w:id="292"/>
            <w:bookmarkEnd w:id="293"/>
            <w:bookmarkEnd w:id="294"/>
            <w:bookmarkEnd w:id="295"/>
            <w:bookmarkEnd w:id="296"/>
            <w:bookmarkEnd w:id="297"/>
            <w:bookmarkEnd w:id="298"/>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299" w:name="_Toc54315264"/>
            <w:bookmarkStart w:id="300" w:name="_Toc29726"/>
            <w:bookmarkStart w:id="301" w:name="_Toc16468"/>
            <w:bookmarkStart w:id="302" w:name="_Toc8937"/>
            <w:bookmarkStart w:id="303" w:name="_Toc6320"/>
            <w:bookmarkStart w:id="304" w:name="_Toc11955"/>
            <w:bookmarkStart w:id="305" w:name="_Toc8557"/>
            <w:bookmarkStart w:id="306" w:name="_Toc5870"/>
            <w:r>
              <w:rPr>
                <w:rFonts w:hint="default" w:ascii="Times New Roman" w:hAnsi="Times New Roman" w:eastAsia="宋体" w:cs="Times New Roman"/>
                <w:color w:val="000000" w:themeColor="text1"/>
                <w:sz w:val="21"/>
                <w14:textFill>
                  <w14:solidFill>
                    <w14:schemeClr w14:val="tx1"/>
                  </w14:solidFill>
                </w14:textFill>
              </w:rPr>
              <w:t>建设用地</w:t>
            </w:r>
            <w:bookmarkEnd w:id="299"/>
            <w:bookmarkEnd w:id="300"/>
            <w:bookmarkEnd w:id="301"/>
            <w:bookmarkEnd w:id="302"/>
            <w:bookmarkEnd w:id="303"/>
            <w:bookmarkEnd w:id="304"/>
            <w:bookmarkEnd w:id="305"/>
            <w:bookmarkEnd w:id="306"/>
          </w:p>
        </w:tc>
        <w:tc>
          <w:tcPr>
            <w:tcW w:w="1028" w:type="pct"/>
            <w:vMerge w:val="continue"/>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09"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07" w:name="_Toc21030"/>
            <w:bookmarkStart w:id="308" w:name="_Toc28556"/>
            <w:bookmarkStart w:id="309" w:name="_Toc26774"/>
            <w:bookmarkStart w:id="310" w:name="_Toc16576"/>
            <w:bookmarkStart w:id="311" w:name="_Toc23408"/>
            <w:bookmarkStart w:id="312" w:name="_Toc25964"/>
            <w:bookmarkStart w:id="313" w:name="_Toc31947"/>
            <w:bookmarkStart w:id="314" w:name="_Toc54315265"/>
            <w:r>
              <w:rPr>
                <w:rFonts w:hint="default" w:ascii="Times New Roman" w:hAnsi="Times New Roman" w:eastAsia="宋体" w:cs="Times New Roman"/>
                <w:color w:val="000000" w:themeColor="text1"/>
                <w:sz w:val="21"/>
                <w14:textFill>
                  <w14:solidFill>
                    <w14:schemeClr w14:val="tx1"/>
                  </w14:solidFill>
                </w14:textFill>
              </w:rPr>
              <w:t>E3</w:t>
            </w:r>
            <w:bookmarkEnd w:id="307"/>
            <w:bookmarkEnd w:id="308"/>
            <w:bookmarkEnd w:id="309"/>
            <w:bookmarkEnd w:id="310"/>
            <w:bookmarkEnd w:id="311"/>
            <w:bookmarkEnd w:id="312"/>
            <w:bookmarkEnd w:id="313"/>
            <w:bookmarkEnd w:id="314"/>
          </w:p>
        </w:tc>
        <w:tc>
          <w:tcPr>
            <w:tcW w:w="6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15" w:name="_Toc1518"/>
            <w:bookmarkStart w:id="316" w:name="_Toc28314"/>
            <w:bookmarkStart w:id="317" w:name="_Toc23125"/>
            <w:bookmarkStart w:id="318" w:name="_Toc2461"/>
            <w:bookmarkStart w:id="319" w:name="_Toc31138"/>
            <w:bookmarkStart w:id="320" w:name="_Toc9629"/>
            <w:bookmarkStart w:id="321" w:name="_Toc32536"/>
            <w:bookmarkStart w:id="322" w:name="_Toc54315266"/>
            <w:r>
              <w:rPr>
                <w:rFonts w:hint="default" w:ascii="Times New Roman" w:hAnsi="Times New Roman" w:eastAsia="宋体" w:cs="Times New Roman"/>
                <w:color w:val="000000" w:themeColor="text1"/>
                <w:sz w:val="21"/>
                <w14:textFill>
                  <w14:solidFill>
                    <w14:schemeClr w14:val="tx1"/>
                  </w14:solidFill>
                </w14:textFill>
              </w:rPr>
              <w:t>表层点样</w:t>
            </w:r>
            <w:bookmarkEnd w:id="315"/>
            <w:bookmarkEnd w:id="316"/>
            <w:bookmarkEnd w:id="317"/>
            <w:bookmarkEnd w:id="318"/>
            <w:bookmarkEnd w:id="319"/>
            <w:bookmarkEnd w:id="320"/>
            <w:bookmarkEnd w:id="321"/>
            <w:bookmarkEnd w:id="322"/>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23" w:name="_Toc22675"/>
            <w:bookmarkStart w:id="324" w:name="_Toc54315267"/>
            <w:bookmarkStart w:id="325" w:name="_Toc13944"/>
            <w:bookmarkStart w:id="326" w:name="_Toc8865"/>
            <w:bookmarkStart w:id="327" w:name="_Toc27803"/>
            <w:bookmarkStart w:id="328" w:name="_Toc2672"/>
            <w:bookmarkStart w:id="329" w:name="_Toc19660"/>
            <w:bookmarkStart w:id="330" w:name="_Toc12057"/>
            <w:r>
              <w:rPr>
                <w:rFonts w:hint="default" w:ascii="Times New Roman" w:hAnsi="Times New Roman" w:eastAsia="宋体" w:cs="Times New Roman"/>
                <w:color w:val="000000" w:themeColor="text1"/>
                <w:sz w:val="21"/>
                <w14:textFill>
                  <w14:solidFill>
                    <w14:schemeClr w14:val="tx1"/>
                  </w14:solidFill>
                </w14:textFill>
              </w:rPr>
              <w:t>厂界内</w:t>
            </w:r>
            <w:bookmarkEnd w:id="323"/>
            <w:bookmarkEnd w:id="324"/>
            <w:bookmarkEnd w:id="325"/>
            <w:bookmarkEnd w:id="326"/>
            <w:bookmarkEnd w:id="327"/>
            <w:bookmarkEnd w:id="328"/>
            <w:bookmarkEnd w:id="329"/>
            <w:bookmarkEnd w:id="330"/>
          </w:p>
        </w:tc>
        <w:tc>
          <w:tcPr>
            <w:tcW w:w="15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31" w:name="_Toc318"/>
            <w:bookmarkStart w:id="332" w:name="_Toc54315268"/>
            <w:bookmarkStart w:id="333" w:name="_Toc18996"/>
            <w:bookmarkStart w:id="334" w:name="_Toc27600"/>
            <w:bookmarkStart w:id="335" w:name="_Toc8006"/>
            <w:bookmarkStart w:id="336" w:name="_Toc24799"/>
            <w:bookmarkStart w:id="337" w:name="_Toc18116"/>
            <w:bookmarkStart w:id="338" w:name="_Toc29212"/>
            <w:r>
              <w:rPr>
                <w:rFonts w:hint="default" w:ascii="Times New Roman" w:hAnsi="Times New Roman" w:eastAsia="宋体" w:cs="Times New Roman"/>
                <w:color w:val="000000" w:themeColor="text1"/>
                <w:sz w:val="21"/>
                <w14:textFill>
                  <w14:solidFill>
                    <w14:schemeClr w14:val="tx1"/>
                  </w14:solidFill>
                </w14:textFill>
              </w:rPr>
              <w:t>特征因子石油烃</w:t>
            </w:r>
            <w:bookmarkEnd w:id="331"/>
            <w:bookmarkEnd w:id="332"/>
            <w:bookmarkEnd w:id="333"/>
            <w:bookmarkEnd w:id="334"/>
            <w:bookmarkEnd w:id="335"/>
            <w:bookmarkEnd w:id="336"/>
            <w:bookmarkEnd w:id="337"/>
            <w:bookmarkEnd w:id="338"/>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39" w:name="_Toc1071"/>
            <w:bookmarkStart w:id="340" w:name="_Toc16126"/>
            <w:bookmarkStart w:id="341" w:name="_Toc14566"/>
            <w:bookmarkStart w:id="342" w:name="_Toc15837"/>
            <w:bookmarkStart w:id="343" w:name="_Toc15503"/>
            <w:bookmarkStart w:id="344" w:name="_Toc8786"/>
            <w:bookmarkStart w:id="345" w:name="_Toc54315269"/>
            <w:bookmarkStart w:id="346" w:name="_Toc23697"/>
            <w:r>
              <w:rPr>
                <w:rFonts w:hint="default" w:ascii="Times New Roman" w:hAnsi="Times New Roman" w:eastAsia="宋体" w:cs="Times New Roman"/>
                <w:color w:val="000000" w:themeColor="text1"/>
                <w:sz w:val="21"/>
                <w14:textFill>
                  <w14:solidFill>
                    <w14:schemeClr w14:val="tx1"/>
                  </w14:solidFill>
                </w14:textFill>
              </w:rPr>
              <w:t>建设用地</w:t>
            </w:r>
            <w:bookmarkEnd w:id="339"/>
            <w:bookmarkEnd w:id="340"/>
            <w:bookmarkEnd w:id="341"/>
            <w:bookmarkEnd w:id="342"/>
            <w:bookmarkEnd w:id="343"/>
            <w:bookmarkEnd w:id="344"/>
            <w:bookmarkEnd w:id="345"/>
            <w:bookmarkEnd w:id="346"/>
          </w:p>
        </w:tc>
        <w:tc>
          <w:tcPr>
            <w:tcW w:w="1028" w:type="pct"/>
            <w:vMerge w:val="continue"/>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09"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47" w:name="_Toc30698"/>
            <w:bookmarkStart w:id="348" w:name="_Toc12301"/>
            <w:bookmarkStart w:id="349" w:name="_Toc54315270"/>
            <w:bookmarkStart w:id="350" w:name="_Toc24"/>
            <w:bookmarkStart w:id="351" w:name="_Toc21429"/>
            <w:bookmarkStart w:id="352" w:name="_Toc5562"/>
            <w:bookmarkStart w:id="353" w:name="_Toc28513"/>
            <w:bookmarkStart w:id="354" w:name="_Toc14068"/>
            <w:r>
              <w:rPr>
                <w:rFonts w:hint="default" w:ascii="Times New Roman" w:hAnsi="Times New Roman" w:eastAsia="宋体" w:cs="Times New Roman"/>
                <w:color w:val="000000" w:themeColor="text1"/>
                <w:sz w:val="21"/>
                <w14:textFill>
                  <w14:solidFill>
                    <w14:schemeClr w14:val="tx1"/>
                  </w14:solidFill>
                </w14:textFill>
              </w:rPr>
              <w:t>E4</w:t>
            </w:r>
            <w:bookmarkEnd w:id="347"/>
            <w:bookmarkEnd w:id="348"/>
            <w:bookmarkEnd w:id="349"/>
            <w:bookmarkEnd w:id="350"/>
            <w:bookmarkEnd w:id="351"/>
            <w:bookmarkEnd w:id="352"/>
            <w:bookmarkEnd w:id="353"/>
            <w:bookmarkEnd w:id="354"/>
          </w:p>
        </w:tc>
        <w:tc>
          <w:tcPr>
            <w:tcW w:w="6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55" w:name="_Toc30543"/>
            <w:bookmarkStart w:id="356" w:name="_Toc27560"/>
            <w:bookmarkStart w:id="357" w:name="_Toc6211"/>
            <w:bookmarkStart w:id="358" w:name="_Toc32280"/>
            <w:bookmarkStart w:id="359" w:name="_Toc4139"/>
            <w:bookmarkStart w:id="360" w:name="_Toc13314"/>
            <w:bookmarkStart w:id="361" w:name="_Toc24469"/>
            <w:bookmarkStart w:id="362" w:name="_Toc54315271"/>
            <w:r>
              <w:rPr>
                <w:rFonts w:hint="default" w:ascii="Times New Roman" w:hAnsi="Times New Roman" w:eastAsia="宋体" w:cs="Times New Roman"/>
                <w:color w:val="000000" w:themeColor="text1"/>
                <w:sz w:val="21"/>
                <w14:textFill>
                  <w14:solidFill>
                    <w14:schemeClr w14:val="tx1"/>
                  </w14:solidFill>
                </w14:textFill>
              </w:rPr>
              <w:t>表层点样</w:t>
            </w:r>
            <w:bookmarkEnd w:id="355"/>
            <w:bookmarkEnd w:id="356"/>
            <w:bookmarkEnd w:id="357"/>
            <w:bookmarkEnd w:id="358"/>
            <w:bookmarkEnd w:id="359"/>
            <w:bookmarkEnd w:id="360"/>
            <w:bookmarkEnd w:id="361"/>
            <w:bookmarkEnd w:id="362"/>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63" w:name="_Toc1005"/>
            <w:bookmarkStart w:id="364" w:name="_Toc21063"/>
            <w:bookmarkStart w:id="365" w:name="_Toc8628"/>
            <w:bookmarkStart w:id="366" w:name="_Toc54315272"/>
            <w:bookmarkStart w:id="367" w:name="_Toc25340"/>
            <w:bookmarkStart w:id="368" w:name="_Toc22349"/>
            <w:bookmarkStart w:id="369" w:name="_Toc9700"/>
            <w:bookmarkStart w:id="370" w:name="_Toc27143"/>
            <w:r>
              <w:rPr>
                <w:rFonts w:hint="default" w:ascii="Times New Roman" w:hAnsi="Times New Roman" w:eastAsia="宋体" w:cs="Times New Roman"/>
                <w:color w:val="000000" w:themeColor="text1"/>
                <w:sz w:val="21"/>
                <w14:textFill>
                  <w14:solidFill>
                    <w14:schemeClr w14:val="tx1"/>
                  </w14:solidFill>
                </w14:textFill>
              </w:rPr>
              <w:t>厂界内</w:t>
            </w:r>
            <w:bookmarkEnd w:id="363"/>
            <w:bookmarkEnd w:id="364"/>
            <w:bookmarkEnd w:id="365"/>
            <w:bookmarkEnd w:id="366"/>
            <w:bookmarkEnd w:id="367"/>
            <w:bookmarkEnd w:id="368"/>
            <w:bookmarkEnd w:id="369"/>
            <w:bookmarkEnd w:id="370"/>
          </w:p>
        </w:tc>
        <w:tc>
          <w:tcPr>
            <w:tcW w:w="15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71" w:name="_Toc54315273"/>
            <w:bookmarkStart w:id="372" w:name="_Toc14006"/>
            <w:bookmarkStart w:id="373" w:name="_Toc20204"/>
            <w:bookmarkStart w:id="374" w:name="_Toc12025"/>
            <w:bookmarkStart w:id="375" w:name="_Toc982"/>
            <w:bookmarkStart w:id="376" w:name="_Toc11589"/>
            <w:bookmarkStart w:id="377" w:name="_Toc27597"/>
            <w:bookmarkStart w:id="378" w:name="_Toc13158"/>
            <w:r>
              <w:rPr>
                <w:rFonts w:hint="default" w:ascii="Times New Roman" w:hAnsi="Times New Roman" w:eastAsia="宋体" w:cs="Times New Roman"/>
                <w:color w:val="000000" w:themeColor="text1"/>
                <w:sz w:val="21"/>
                <w14:textFill>
                  <w14:solidFill>
                    <w14:schemeClr w14:val="tx1"/>
                  </w14:solidFill>
                </w14:textFill>
              </w:rPr>
              <w:t>45项基本因子+特征因子石油烃</w:t>
            </w:r>
            <w:bookmarkEnd w:id="371"/>
            <w:bookmarkEnd w:id="372"/>
            <w:bookmarkEnd w:id="373"/>
            <w:bookmarkEnd w:id="374"/>
            <w:bookmarkEnd w:id="375"/>
            <w:bookmarkEnd w:id="376"/>
            <w:bookmarkEnd w:id="377"/>
            <w:bookmarkEnd w:id="378"/>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79" w:name="_Toc3110"/>
            <w:bookmarkStart w:id="380" w:name="_Toc54315274"/>
            <w:bookmarkStart w:id="381" w:name="_Toc4675"/>
            <w:bookmarkStart w:id="382" w:name="_Toc9539"/>
            <w:bookmarkStart w:id="383" w:name="_Toc22179"/>
            <w:bookmarkStart w:id="384" w:name="_Toc19466"/>
            <w:bookmarkStart w:id="385" w:name="_Toc13643"/>
            <w:bookmarkStart w:id="386" w:name="_Toc14924"/>
            <w:r>
              <w:rPr>
                <w:rFonts w:hint="default" w:ascii="Times New Roman" w:hAnsi="Times New Roman" w:eastAsia="宋体" w:cs="Times New Roman"/>
                <w:color w:val="000000" w:themeColor="text1"/>
                <w:sz w:val="21"/>
                <w14:textFill>
                  <w14:solidFill>
                    <w14:schemeClr w14:val="tx1"/>
                  </w14:solidFill>
                </w14:textFill>
              </w:rPr>
              <w:t>建设用地</w:t>
            </w:r>
            <w:bookmarkEnd w:id="379"/>
            <w:bookmarkEnd w:id="380"/>
            <w:bookmarkEnd w:id="381"/>
            <w:bookmarkEnd w:id="382"/>
            <w:bookmarkEnd w:id="383"/>
            <w:bookmarkEnd w:id="384"/>
            <w:bookmarkEnd w:id="385"/>
            <w:bookmarkEnd w:id="386"/>
          </w:p>
        </w:tc>
        <w:tc>
          <w:tcPr>
            <w:tcW w:w="1028" w:type="pct"/>
            <w:vMerge w:val="continue"/>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409"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87" w:name="_Toc22778"/>
            <w:bookmarkStart w:id="388" w:name="_Toc17970"/>
            <w:bookmarkStart w:id="389" w:name="_Toc1392"/>
            <w:bookmarkStart w:id="390" w:name="_Toc9197"/>
            <w:bookmarkStart w:id="391" w:name="_Toc3651"/>
            <w:bookmarkStart w:id="392" w:name="_Toc11825"/>
            <w:bookmarkStart w:id="393" w:name="_Toc17509"/>
            <w:bookmarkStart w:id="394" w:name="_Toc54315275"/>
            <w:r>
              <w:rPr>
                <w:rFonts w:hint="default" w:ascii="Times New Roman" w:hAnsi="Times New Roman" w:eastAsia="宋体" w:cs="Times New Roman"/>
                <w:color w:val="000000" w:themeColor="text1"/>
                <w:sz w:val="21"/>
                <w14:textFill>
                  <w14:solidFill>
                    <w14:schemeClr w14:val="tx1"/>
                  </w14:solidFill>
                </w14:textFill>
              </w:rPr>
              <w:t>E5</w:t>
            </w:r>
            <w:bookmarkEnd w:id="387"/>
            <w:bookmarkEnd w:id="388"/>
            <w:bookmarkEnd w:id="389"/>
            <w:bookmarkEnd w:id="390"/>
            <w:bookmarkEnd w:id="391"/>
            <w:bookmarkEnd w:id="392"/>
            <w:bookmarkEnd w:id="393"/>
            <w:bookmarkEnd w:id="394"/>
          </w:p>
        </w:tc>
        <w:tc>
          <w:tcPr>
            <w:tcW w:w="6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395" w:name="_Toc54315276"/>
            <w:bookmarkStart w:id="396" w:name="_Toc15078"/>
            <w:bookmarkStart w:id="397" w:name="_Toc25412"/>
            <w:bookmarkStart w:id="398" w:name="_Toc3959"/>
            <w:bookmarkStart w:id="399" w:name="_Toc24508"/>
            <w:bookmarkStart w:id="400" w:name="_Toc29251"/>
            <w:bookmarkStart w:id="401" w:name="_Toc27545"/>
            <w:bookmarkStart w:id="402" w:name="_Toc30673"/>
            <w:r>
              <w:rPr>
                <w:rFonts w:hint="default" w:ascii="Times New Roman" w:hAnsi="Times New Roman" w:eastAsia="宋体" w:cs="Times New Roman"/>
                <w:color w:val="000000" w:themeColor="text1"/>
                <w:sz w:val="21"/>
                <w14:textFill>
                  <w14:solidFill>
                    <w14:schemeClr w14:val="tx1"/>
                  </w14:solidFill>
                </w14:textFill>
              </w:rPr>
              <w:t>表层点样</w:t>
            </w:r>
            <w:bookmarkEnd w:id="395"/>
            <w:bookmarkEnd w:id="396"/>
            <w:bookmarkEnd w:id="397"/>
            <w:bookmarkEnd w:id="398"/>
            <w:bookmarkEnd w:id="399"/>
            <w:bookmarkEnd w:id="400"/>
            <w:bookmarkEnd w:id="401"/>
            <w:bookmarkEnd w:id="402"/>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03" w:name="_Toc6377"/>
            <w:bookmarkStart w:id="404" w:name="_Toc2045"/>
            <w:bookmarkStart w:id="405" w:name="_Toc31901"/>
            <w:bookmarkStart w:id="406" w:name="_Toc21926"/>
            <w:bookmarkStart w:id="407" w:name="_Toc16380"/>
            <w:bookmarkStart w:id="408" w:name="_Toc54315277"/>
            <w:bookmarkStart w:id="409" w:name="_Toc18383"/>
            <w:bookmarkStart w:id="410" w:name="_Toc2148"/>
            <w:r>
              <w:rPr>
                <w:rFonts w:hint="default" w:ascii="Times New Roman" w:hAnsi="Times New Roman" w:eastAsia="宋体" w:cs="Times New Roman"/>
                <w:color w:val="000000" w:themeColor="text1"/>
                <w:sz w:val="21"/>
                <w14:textFill>
                  <w14:solidFill>
                    <w14:schemeClr w14:val="tx1"/>
                  </w14:solidFill>
                </w14:textFill>
              </w:rPr>
              <w:t>厂界外</w:t>
            </w:r>
            <w:bookmarkEnd w:id="403"/>
            <w:bookmarkEnd w:id="404"/>
            <w:bookmarkEnd w:id="405"/>
            <w:bookmarkEnd w:id="406"/>
            <w:bookmarkEnd w:id="407"/>
            <w:bookmarkEnd w:id="408"/>
            <w:bookmarkEnd w:id="409"/>
            <w:bookmarkEnd w:id="410"/>
          </w:p>
        </w:tc>
        <w:tc>
          <w:tcPr>
            <w:tcW w:w="15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11" w:name="_Toc14326"/>
            <w:bookmarkStart w:id="412" w:name="_Toc2817"/>
            <w:bookmarkStart w:id="413" w:name="_Toc13411"/>
            <w:bookmarkStart w:id="414" w:name="_Toc31073"/>
            <w:bookmarkStart w:id="415" w:name="_Toc54315278"/>
            <w:bookmarkStart w:id="416" w:name="_Toc25940"/>
            <w:bookmarkStart w:id="417" w:name="_Toc18689"/>
            <w:bookmarkStart w:id="418" w:name="_Toc8083"/>
            <w:r>
              <w:rPr>
                <w:rFonts w:hint="default" w:ascii="Times New Roman" w:hAnsi="Times New Roman" w:eastAsia="宋体" w:cs="Times New Roman"/>
                <w:color w:val="000000" w:themeColor="text1"/>
                <w:sz w:val="21"/>
                <w14:textFill>
                  <w14:solidFill>
                    <w14:schemeClr w14:val="tx1"/>
                  </w14:solidFill>
                </w14:textFill>
              </w:rPr>
              <w:t>重金属+特征因子石油烃</w:t>
            </w:r>
            <w:bookmarkEnd w:id="411"/>
            <w:bookmarkEnd w:id="412"/>
            <w:bookmarkEnd w:id="413"/>
            <w:bookmarkEnd w:id="414"/>
            <w:bookmarkEnd w:id="415"/>
            <w:bookmarkEnd w:id="416"/>
            <w:bookmarkEnd w:id="417"/>
            <w:bookmarkEnd w:id="418"/>
          </w:p>
        </w:tc>
        <w:tc>
          <w:tcPr>
            <w:tcW w:w="64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19" w:name="_Toc16645"/>
            <w:bookmarkStart w:id="420" w:name="_Toc18251"/>
            <w:bookmarkStart w:id="421" w:name="_Toc16176"/>
            <w:bookmarkStart w:id="422" w:name="_Toc9009"/>
            <w:bookmarkStart w:id="423" w:name="_Toc54315279"/>
            <w:bookmarkStart w:id="424" w:name="_Toc8207"/>
            <w:bookmarkStart w:id="425" w:name="_Toc1953"/>
            <w:bookmarkStart w:id="426" w:name="_Toc14742"/>
            <w:r>
              <w:rPr>
                <w:rFonts w:hint="default" w:ascii="Times New Roman" w:hAnsi="Times New Roman" w:eastAsia="宋体" w:cs="Times New Roman"/>
                <w:color w:val="000000" w:themeColor="text1"/>
                <w:sz w:val="21"/>
                <w14:textFill>
                  <w14:solidFill>
                    <w14:schemeClr w14:val="tx1"/>
                  </w14:solidFill>
                </w14:textFill>
              </w:rPr>
              <w:t>建设用地</w:t>
            </w:r>
            <w:bookmarkEnd w:id="419"/>
            <w:bookmarkEnd w:id="420"/>
            <w:bookmarkEnd w:id="421"/>
            <w:bookmarkEnd w:id="422"/>
            <w:bookmarkEnd w:id="423"/>
            <w:bookmarkEnd w:id="424"/>
            <w:bookmarkEnd w:id="425"/>
            <w:bookmarkEnd w:id="426"/>
          </w:p>
        </w:tc>
        <w:tc>
          <w:tcPr>
            <w:tcW w:w="1028" w:type="pct"/>
            <w:vMerge w:val="continue"/>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09" w:type="pct"/>
            <w:tcBorders>
              <w:top w:val="single" w:color="000000" w:sz="4" w:space="0"/>
              <w:left w:val="nil"/>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27" w:name="_Toc19342"/>
            <w:bookmarkStart w:id="428" w:name="_Toc4179"/>
            <w:bookmarkStart w:id="429" w:name="_Toc5639"/>
            <w:bookmarkStart w:id="430" w:name="_Toc54315280"/>
            <w:bookmarkStart w:id="431" w:name="_Toc8454"/>
            <w:bookmarkStart w:id="432" w:name="_Toc24764"/>
            <w:bookmarkStart w:id="433" w:name="_Toc6619"/>
            <w:bookmarkStart w:id="434" w:name="_Toc10429"/>
            <w:r>
              <w:rPr>
                <w:rFonts w:hint="default" w:ascii="Times New Roman" w:hAnsi="Times New Roman" w:eastAsia="宋体" w:cs="Times New Roman"/>
                <w:color w:val="000000" w:themeColor="text1"/>
                <w:sz w:val="21"/>
                <w14:textFill>
                  <w14:solidFill>
                    <w14:schemeClr w14:val="tx1"/>
                  </w14:solidFill>
                </w14:textFill>
              </w:rPr>
              <w:t>E6</w:t>
            </w:r>
            <w:bookmarkEnd w:id="427"/>
            <w:bookmarkEnd w:id="428"/>
            <w:bookmarkEnd w:id="429"/>
            <w:bookmarkEnd w:id="430"/>
            <w:bookmarkEnd w:id="431"/>
            <w:bookmarkEnd w:id="432"/>
            <w:bookmarkEnd w:id="433"/>
            <w:bookmarkEnd w:id="434"/>
          </w:p>
        </w:tc>
        <w:tc>
          <w:tcPr>
            <w:tcW w:w="639"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35" w:name="_Toc26867"/>
            <w:bookmarkStart w:id="436" w:name="_Toc22201"/>
            <w:bookmarkStart w:id="437" w:name="_Toc6409"/>
            <w:bookmarkStart w:id="438" w:name="_Toc2144"/>
            <w:bookmarkStart w:id="439" w:name="_Toc17806"/>
            <w:bookmarkStart w:id="440" w:name="_Toc16764"/>
            <w:bookmarkStart w:id="441" w:name="_Toc54315281"/>
            <w:bookmarkStart w:id="442" w:name="_Toc31641"/>
            <w:r>
              <w:rPr>
                <w:rFonts w:hint="default" w:ascii="Times New Roman" w:hAnsi="Times New Roman" w:eastAsia="宋体" w:cs="Times New Roman"/>
                <w:color w:val="000000" w:themeColor="text1"/>
                <w:sz w:val="21"/>
                <w14:textFill>
                  <w14:solidFill>
                    <w14:schemeClr w14:val="tx1"/>
                  </w14:solidFill>
                </w14:textFill>
              </w:rPr>
              <w:t>表层点样</w:t>
            </w:r>
            <w:bookmarkEnd w:id="435"/>
            <w:bookmarkEnd w:id="436"/>
            <w:bookmarkEnd w:id="437"/>
            <w:bookmarkEnd w:id="438"/>
            <w:bookmarkEnd w:id="439"/>
            <w:bookmarkEnd w:id="440"/>
            <w:bookmarkEnd w:id="441"/>
            <w:bookmarkEnd w:id="442"/>
          </w:p>
        </w:tc>
        <w:tc>
          <w:tcPr>
            <w:tcW w:w="709"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43" w:name="_Toc30016"/>
            <w:bookmarkStart w:id="444" w:name="_Toc32008"/>
            <w:bookmarkStart w:id="445" w:name="_Toc5381"/>
            <w:bookmarkStart w:id="446" w:name="_Toc17166"/>
            <w:bookmarkStart w:id="447" w:name="_Toc27347"/>
            <w:bookmarkStart w:id="448" w:name="_Toc54315282"/>
            <w:bookmarkStart w:id="449" w:name="_Toc203"/>
            <w:bookmarkStart w:id="450" w:name="_Toc11096"/>
            <w:r>
              <w:rPr>
                <w:rFonts w:hint="default" w:ascii="Times New Roman" w:hAnsi="Times New Roman" w:eastAsia="宋体" w:cs="Times New Roman"/>
                <w:color w:val="000000" w:themeColor="text1"/>
                <w:sz w:val="21"/>
                <w14:textFill>
                  <w14:solidFill>
                    <w14:schemeClr w14:val="tx1"/>
                  </w14:solidFill>
                </w14:textFill>
              </w:rPr>
              <w:t>厂界外</w:t>
            </w:r>
            <w:bookmarkEnd w:id="443"/>
            <w:bookmarkEnd w:id="444"/>
            <w:bookmarkEnd w:id="445"/>
            <w:bookmarkEnd w:id="446"/>
            <w:bookmarkEnd w:id="447"/>
            <w:bookmarkEnd w:id="448"/>
            <w:bookmarkEnd w:id="449"/>
            <w:bookmarkEnd w:id="450"/>
          </w:p>
        </w:tc>
        <w:tc>
          <w:tcPr>
            <w:tcW w:w="1574"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51" w:name="_Toc2463"/>
            <w:bookmarkStart w:id="452" w:name="_Toc11311"/>
            <w:bookmarkStart w:id="453" w:name="_Toc1215"/>
            <w:bookmarkStart w:id="454" w:name="_Toc27397"/>
            <w:bookmarkStart w:id="455" w:name="_Toc14080"/>
            <w:bookmarkStart w:id="456" w:name="_Toc54315283"/>
            <w:bookmarkStart w:id="457" w:name="_Toc1684"/>
            <w:bookmarkStart w:id="458" w:name="_Toc32661"/>
            <w:r>
              <w:rPr>
                <w:rFonts w:hint="default" w:ascii="Times New Roman" w:hAnsi="Times New Roman" w:eastAsia="宋体" w:cs="Times New Roman"/>
                <w:color w:val="000000" w:themeColor="text1"/>
                <w:sz w:val="21"/>
                <w14:textFill>
                  <w14:solidFill>
                    <w14:schemeClr w14:val="tx1"/>
                  </w14:solidFill>
                </w14:textFill>
              </w:rPr>
              <w:t>特征因子石油烃</w:t>
            </w:r>
            <w:bookmarkEnd w:id="451"/>
            <w:bookmarkEnd w:id="452"/>
            <w:bookmarkEnd w:id="453"/>
            <w:bookmarkEnd w:id="454"/>
            <w:bookmarkEnd w:id="455"/>
            <w:bookmarkEnd w:id="456"/>
            <w:bookmarkEnd w:id="457"/>
            <w:bookmarkEnd w:id="458"/>
          </w:p>
        </w:tc>
        <w:tc>
          <w:tcPr>
            <w:tcW w:w="642" w:type="pct"/>
            <w:tcBorders>
              <w:top w:val="single" w:color="000000" w:sz="4" w:space="0"/>
              <w:left w:val="single" w:color="000000" w:sz="4" w:space="0"/>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outlineLvl w:val="0"/>
              <w:rPr>
                <w:rFonts w:hint="default" w:ascii="Times New Roman" w:hAnsi="Times New Roman" w:eastAsia="宋体" w:cs="Times New Roman"/>
                <w:color w:val="000000" w:themeColor="text1"/>
                <w:sz w:val="21"/>
                <w14:textFill>
                  <w14:solidFill>
                    <w14:schemeClr w14:val="tx1"/>
                  </w14:solidFill>
                </w14:textFill>
              </w:rPr>
            </w:pPr>
            <w:bookmarkStart w:id="459" w:name="_Toc12470"/>
            <w:bookmarkStart w:id="460" w:name="_Toc13323"/>
            <w:bookmarkStart w:id="461" w:name="_Toc54315284"/>
            <w:bookmarkStart w:id="462" w:name="_Toc7766"/>
            <w:bookmarkStart w:id="463" w:name="_Toc29301"/>
            <w:bookmarkStart w:id="464" w:name="_Toc16722"/>
            <w:bookmarkStart w:id="465" w:name="_Toc20768"/>
            <w:bookmarkStart w:id="466" w:name="_Toc941"/>
            <w:r>
              <w:rPr>
                <w:rFonts w:hint="default" w:ascii="Times New Roman" w:hAnsi="Times New Roman" w:eastAsia="宋体" w:cs="Times New Roman"/>
                <w:color w:val="000000" w:themeColor="text1"/>
                <w:sz w:val="21"/>
                <w14:textFill>
                  <w14:solidFill>
                    <w14:schemeClr w14:val="tx1"/>
                  </w14:solidFill>
                </w14:textFill>
              </w:rPr>
              <w:t>建设用地</w:t>
            </w:r>
            <w:bookmarkEnd w:id="459"/>
            <w:bookmarkEnd w:id="460"/>
            <w:bookmarkEnd w:id="461"/>
            <w:bookmarkEnd w:id="462"/>
            <w:bookmarkEnd w:id="463"/>
            <w:bookmarkEnd w:id="464"/>
            <w:bookmarkEnd w:id="465"/>
            <w:bookmarkEnd w:id="466"/>
          </w:p>
        </w:tc>
        <w:tc>
          <w:tcPr>
            <w:tcW w:w="1028" w:type="pct"/>
            <w:vMerge w:val="continue"/>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themeColor="text1"/>
                <w:sz w:val="21"/>
                <w14:textFill>
                  <w14:solidFill>
                    <w14:schemeClr w14:val="tx1"/>
                  </w14:solidFill>
                </w14:textFill>
              </w:rPr>
            </w:pPr>
          </w:p>
        </w:tc>
      </w:tr>
    </w:tbl>
    <w:p>
      <w:pPr>
        <w:pStyle w:val="14"/>
        <w:ind w:firstLine="480" w:firstLineChars="200"/>
        <w:jc w:val="left"/>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（2）监测因子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①基本因子：为《土壤环境质量 建设用地土壤污染风险管控标准（实行）》（GB36600-2018）中基本项目，共45项。</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②特征因子：石油烃（C10~C40）</w:t>
      </w:r>
    </w:p>
    <w:p>
      <w:pPr>
        <w:pStyle w:val="14"/>
        <w:ind w:firstLine="480" w:firstLineChars="200"/>
        <w:jc w:val="both"/>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（3）执行标准：执行《土壤环境质量建设用地土壤污染风险管控标准（实行）》（GB36600-2018）中筛选值中的第二类用地标准。</w:t>
      </w:r>
    </w:p>
    <w:p>
      <w:pPr>
        <w:spacing w:line="360" w:lineRule="auto"/>
        <w:ind w:firstLine="48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spacing w:val="8"/>
          <w:kern w:val="0"/>
          <w14:textFill>
            <w14:solidFill>
              <w14:schemeClr w14:val="tx1"/>
            </w14:solidFill>
          </w14:textFill>
        </w:rPr>
        <w:t>监测时间及频次：</w:t>
      </w:r>
      <w:r>
        <w:rPr>
          <w:rFonts w:hint="default" w:ascii="Times New Roman" w:hAnsi="Times New Roman" w:cs="Times New Roman"/>
          <w:color w:val="000000" w:themeColor="text1"/>
          <w14:textFill>
            <w14:solidFill>
              <w14:schemeClr w14:val="tx1"/>
            </w14:solidFill>
          </w14:textFill>
        </w:rPr>
        <w:t>监测一天，采样和分析方法按国家环保局颁布的HJ/T166-2004《土壤环境监测技术规范》和《土壤环境质量建设用地土壤污染风险管控标准（实行）》（GB36600-2018）的有关要求进行</w:t>
      </w:r>
      <w:r>
        <w:rPr>
          <w:rFonts w:hint="default" w:ascii="Times New Roman" w:hAnsi="Times New Roman" w:cs="Times New Roman"/>
          <w:color w:val="000000" w:themeColor="text1"/>
          <w:kern w:val="0"/>
          <w14:textFill>
            <w14:solidFill>
              <w14:schemeClr w14:val="tx1"/>
            </w14:solidFill>
          </w14:textFill>
        </w:rPr>
        <w:t>。</w:t>
      </w:r>
    </w:p>
    <w:p>
      <w:pPr>
        <w:spacing w:line="360" w:lineRule="auto"/>
        <w:ind w:firstLine="48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（5）监测结果如下表：</w:t>
      </w:r>
    </w:p>
    <w:p>
      <w:pPr>
        <w:pStyle w:val="71"/>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表</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6</w:t>
      </w:r>
      <w:r>
        <w:rPr>
          <w:rFonts w:hint="eastAsia" w:ascii="Times New Roman" w:hAnsi="Times New Roman" w:cs="Times New Roman"/>
          <w:b/>
          <w:color w:val="000000" w:themeColor="text1"/>
          <w:sz w:val="24"/>
          <w:szCs w:val="24"/>
          <w:lang w:val="en-US" w:eastAsia="zh-CN"/>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SEQ 表 \* ARABIC \s 2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12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t xml:space="preserve">  土壤监测评价结果一览表（单位：mg/kg）</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2169"/>
        <w:gridCol w:w="1716"/>
        <w:gridCol w:w="987"/>
        <w:gridCol w:w="1061"/>
        <w:gridCol w:w="1061"/>
        <w:gridCol w:w="1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采样日期</w:t>
            </w:r>
          </w:p>
        </w:tc>
        <w:tc>
          <w:tcPr>
            <w:tcW w:w="117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监测点位</w:t>
            </w: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检测项目</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单位</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检测结果</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筛选标准值</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是否超标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2020.08.25</w:t>
            </w:r>
          </w:p>
        </w:tc>
        <w:tc>
          <w:tcPr>
            <w:tcW w:w="117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T1厂界内（0-0.2m）</w:t>
            </w: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石油烃</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22</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4500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2020.08.25</w:t>
            </w:r>
          </w:p>
        </w:tc>
        <w:tc>
          <w:tcPr>
            <w:tcW w:w="117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T2厂界内（0-0.2m）</w:t>
            </w: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石油烃</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4500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2020.08.25</w:t>
            </w:r>
          </w:p>
        </w:tc>
        <w:tc>
          <w:tcPr>
            <w:tcW w:w="117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T3厂界内（0-0.2m）</w:t>
            </w: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石油烃</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4500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2020.08.23</w:t>
            </w:r>
          </w:p>
        </w:tc>
        <w:tc>
          <w:tcPr>
            <w:tcW w:w="117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T6厂界外（0-0.2m）</w:t>
            </w: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石油烃</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4500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39"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2020.08.2</w:t>
            </w:r>
          </w:p>
        </w:tc>
        <w:tc>
          <w:tcPr>
            <w:tcW w:w="1173"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T5厂界外（0-0.2m）</w:t>
            </w: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3.74</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汞</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0.063</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铅</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13.1</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镉</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0.16</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铜</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24</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18000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镍</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24</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32</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六价铬</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5.7</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石油烃</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4500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39"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2020.08.25</w:t>
            </w:r>
          </w:p>
        </w:tc>
        <w:tc>
          <w:tcPr>
            <w:tcW w:w="1173"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T4厂界内（0-0.2m）</w:t>
            </w: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六价铬</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5.7</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铜</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27</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18000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镍</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23</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32</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5.17</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汞</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0.197</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铅</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镉</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0.12</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甲苯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乙苯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间对二甲苯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570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苯乙烯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1290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邻二甲苯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640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1,2-二氯丙烷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氯甲烷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37</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氯乙烯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0.43</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1,1-二氯乙烯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66</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二氯甲烷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616</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反-1,2-二氯乙烯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54</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1,1-二氯乙烷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9</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顺-1,2-二氯乙烯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596</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1,1,1-三氯乙烷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840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四氯化碳</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1,2-二氯乙烷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三氯乙烯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1,1,2-三氯乙烷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四氯乙烯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53</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1,1,1,2-四氯乙烷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1,1,2,2-四氯乙烷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6.8</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1,2,3-三氯丙烷</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氯苯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270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1,4-二氯苯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1,2-二氯苯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560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氯仿</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苯胺</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260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2-氯苯酚</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2256</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硝基苯</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76</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萘</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151</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苯并[a]蒽</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䓛</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苯并[b]荧蒽</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1293</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苯并[k]荧蒽</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苯并[a]芘</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二苯并(ah)蒽</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茚并(1,2,3-cd)芘</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ND</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pH</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无量纲</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5.64</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阳离子交换量</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cmol</w:t>
            </w:r>
            <w:r>
              <w:rPr>
                <w:rFonts w:eastAsia="宋体" w:cs="Times New Roman"/>
                <w:color w:val="000000" w:themeColor="text1"/>
                <w:sz w:val="21"/>
                <w:vertAlign w:val="superscript"/>
                <w14:textFill>
                  <w14:solidFill>
                    <w14:schemeClr w14:val="tx1"/>
                  </w14:solidFill>
                </w14:textFill>
              </w:rPr>
              <w:t>+</w:t>
            </w:r>
            <w:r>
              <w:rPr>
                <w:rFonts w:eastAsia="宋体" w:cs="Times New Roman"/>
                <w:color w:val="000000" w:themeColor="text1"/>
                <w:sz w:val="21"/>
                <w14:textFill>
                  <w14:solidFill>
                    <w14:schemeClr w14:val="tx1"/>
                  </w14:solidFill>
                </w14:textFill>
              </w:rPr>
              <w:t>/kg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氧化还原电位</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/mV</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1192</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0" w:type="auto"/>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2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石油烃</w:t>
            </w:r>
          </w:p>
        </w:tc>
        <w:tc>
          <w:tcPr>
            <w:tcW w:w="53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mg/kg</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34</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4500</w:t>
            </w:r>
          </w:p>
        </w:tc>
        <w:tc>
          <w:tcPr>
            <w:tcW w:w="574"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达标</w:t>
            </w:r>
          </w:p>
        </w:tc>
      </w:tr>
    </w:tbl>
    <w:p>
      <w:pPr>
        <w:pStyle w:val="14"/>
        <w:adjustRightInd w:val="0"/>
        <w:snapToGrid w:val="0"/>
        <w:ind w:firstLine="480" w:firstLineChars="200"/>
        <w:jc w:val="both"/>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color w:val="000000" w:themeColor="text1"/>
          <w14:textFill>
            <w14:solidFill>
              <w14:schemeClr w14:val="tx1"/>
            </w14:solidFill>
          </w14:textFill>
        </w:rPr>
        <w:t>由上表的监测结果可知，</w:t>
      </w:r>
      <w:r>
        <w:rPr>
          <w:rFonts w:hint="default" w:ascii="Times New Roman" w:hAnsi="Times New Roman" w:cs="Times New Roman"/>
          <w:b w:val="0"/>
          <w:bCs/>
          <w:color w:val="000000" w:themeColor="text1"/>
          <w14:textFill>
            <w14:solidFill>
              <w14:schemeClr w14:val="tx1"/>
            </w14:solidFill>
          </w14:textFill>
        </w:rPr>
        <w:t>本项目地土壤的环境质量监测数据可满足《土壤环境质量建设用地土壤污染风险管控标准（试行）》（GB36600-2018）中第二类用地筛选值标准要求。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生态环境现状评价</w:t>
      </w:r>
    </w:p>
    <w:p>
      <w:pPr>
        <w:pStyle w:val="14"/>
        <w:adjustRightInd w:val="0"/>
        <w:snapToGrid w:val="0"/>
        <w:ind w:firstLine="480" w:firstLineChars="200"/>
        <w:jc w:val="both"/>
        <w:rPr>
          <w:b w:val="0"/>
          <w:color w:val="000000" w:themeColor="text1"/>
          <w14:textFill>
            <w14:solidFill>
              <w14:schemeClr w14:val="tx1"/>
            </w14:solidFill>
          </w14:textFill>
        </w:rPr>
      </w:pPr>
      <w:r>
        <w:rPr>
          <w:b w:val="0"/>
          <w:color w:val="000000" w:themeColor="text1"/>
          <w14:textFill>
            <w14:solidFill>
              <w14:schemeClr w14:val="tx1"/>
            </w14:solidFill>
          </w14:textFill>
        </w:rPr>
        <w:t>根据实地调查统计，评价区域的野生动物种类较少，只有常见的蛇、蛙、鼠及常见鸟类，没有特别珍稀保护动物，其它动物类型则是农夫饲养的家畜家禽， 评价区没有国家保护的珍贵动物物种分布。评价区植被类群主要为常见乔木和草坪及灌木，没有珍稀濒危的国家保护物种，更没有风景名胜等保护区。</w:t>
      </w:r>
    </w:p>
    <w:p>
      <w:pPr>
        <w:pStyle w:val="4"/>
        <w:rPr>
          <w:color w:val="000000" w:themeColor="text1"/>
          <w14:textFill>
            <w14:solidFill>
              <w14:schemeClr w14:val="tx1"/>
            </w14:solidFill>
          </w14:textFill>
        </w:rPr>
      </w:pPr>
      <w:bookmarkStart w:id="467" w:name="_Toc26772"/>
      <w:bookmarkStart w:id="468" w:name="_Toc6798"/>
      <w:r>
        <w:rPr>
          <w:color w:val="000000" w:themeColor="text1"/>
          <w14:textFill>
            <w14:solidFill>
              <w14:schemeClr w14:val="tx1"/>
            </w14:solidFill>
          </w14:textFill>
        </w:rPr>
        <w:t>小结</w:t>
      </w:r>
      <w:bookmarkEnd w:id="467"/>
      <w:bookmarkEnd w:id="468"/>
    </w:p>
    <w:p>
      <w:pPr>
        <w:spacing w:line="360" w:lineRule="auto"/>
        <w:ind w:firstLine="480" w:firstLineChars="200"/>
        <w:rPr>
          <w:rFonts w:hint="default" w:ascii="Times New Roman" w:hAnsi="Times New Roman" w:cs="Times New Roman"/>
          <w:color w:val="000000" w:themeColor="text1"/>
          <w:spacing w:val="6"/>
          <w:sz w:val="24"/>
          <w:szCs w:val="24"/>
          <w:u w:val="single"/>
          <w:lang w:bidi="ar"/>
          <w14:textFill>
            <w14:solidFill>
              <w14:schemeClr w14:val="tx1"/>
            </w14:solidFill>
          </w14:textFill>
        </w:rPr>
      </w:pPr>
      <w:r>
        <w:rPr>
          <w:rFonts w:hint="default" w:ascii="Times New Roman" w:hAnsi="Times New Roman" w:cs="Times New Roman"/>
          <w:color w:val="000000" w:themeColor="text1"/>
          <w:sz w:val="24"/>
          <w:szCs w:val="24"/>
          <w:u w:val="single"/>
          <w14:textFill>
            <w14:solidFill>
              <w14:schemeClr w14:val="tx1"/>
            </w14:solidFill>
          </w14:textFill>
        </w:rPr>
        <w:t>根据现状监测结果可知：</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2019年环境空气质量指标中的</w:t>
      </w:r>
      <w:r>
        <w:rPr>
          <w:rFonts w:hint="default" w:ascii="Times New Roman" w:hAnsi="Times New Roman" w:cs="Times New Roman"/>
          <w:b w:val="0"/>
          <w:bCs w:val="0"/>
          <w:color w:val="000000" w:themeColor="text1"/>
          <w:kern w:val="0"/>
          <w:sz w:val="24"/>
          <w:szCs w:val="24"/>
          <w:u w:val="single"/>
          <w14:textFill>
            <w14:solidFill>
              <w14:schemeClr w14:val="tx1"/>
            </w14:solidFill>
          </w14:textFill>
        </w:rPr>
        <w:t>SO</w:t>
      </w:r>
      <w:r>
        <w:rPr>
          <w:rFonts w:hint="default" w:ascii="Times New Roman" w:hAnsi="Times New Roman" w:cs="Times New Roman"/>
          <w:b w:val="0"/>
          <w:bCs w:val="0"/>
          <w:color w:val="000000" w:themeColor="text1"/>
          <w:kern w:val="0"/>
          <w:sz w:val="24"/>
          <w:szCs w:val="24"/>
          <w:u w:val="single"/>
          <w:vertAlign w:val="subscript"/>
          <w14:textFill>
            <w14:solidFill>
              <w14:schemeClr w14:val="tx1"/>
            </w14:solidFill>
          </w14:textFill>
        </w:rPr>
        <w:t>2</w:t>
      </w:r>
      <w:r>
        <w:rPr>
          <w:rFonts w:hint="default" w:ascii="Times New Roman" w:hAnsi="Times New Roman" w:cs="Times New Roman"/>
          <w:b w:val="0"/>
          <w:bCs w:val="0"/>
          <w:color w:val="000000" w:themeColor="text1"/>
          <w:kern w:val="0"/>
          <w:sz w:val="24"/>
          <w:szCs w:val="24"/>
          <w:u w:val="singl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u w:val="single"/>
          <w14:textFill>
            <w14:solidFill>
              <w14:schemeClr w14:val="tx1"/>
            </w14:solidFill>
          </w14:textFill>
        </w:rPr>
        <w:t>NO</w:t>
      </w:r>
      <w:r>
        <w:rPr>
          <w:rFonts w:hint="default" w:ascii="Times New Roman" w:hAnsi="Times New Roman" w:cs="Times New Roman"/>
          <w:b w:val="0"/>
          <w:bCs w:val="0"/>
          <w:color w:val="000000" w:themeColor="text1"/>
          <w:kern w:val="0"/>
          <w:sz w:val="24"/>
          <w:szCs w:val="24"/>
          <w:u w:val="single"/>
          <w:vertAlign w:val="subscript"/>
          <w14:textFill>
            <w14:solidFill>
              <w14:schemeClr w14:val="tx1"/>
            </w14:solidFill>
          </w14:textFill>
        </w:rPr>
        <w:t>2</w:t>
      </w:r>
      <w:r>
        <w:rPr>
          <w:rFonts w:hint="default" w:ascii="Times New Roman" w:hAnsi="Times New Roman" w:cs="Times New Roman"/>
          <w:b w:val="0"/>
          <w:bCs w:val="0"/>
          <w:color w:val="000000" w:themeColor="text1"/>
          <w:kern w:val="0"/>
          <w:sz w:val="24"/>
          <w:szCs w:val="24"/>
          <w:u w:val="single"/>
          <w:vertAlign w:val="baseline"/>
          <w:lang w:eastAsia="zh-CN"/>
          <w14:textFill>
            <w14:solidFill>
              <w14:schemeClr w14:val="tx1"/>
            </w14:solidFill>
          </w14:textFill>
        </w:rPr>
        <w:t>、</w:t>
      </w:r>
      <w:r>
        <w:rPr>
          <w:rFonts w:hint="default" w:ascii="Times New Roman" w:hAnsi="Times New Roman" w:cs="Times New Roman"/>
          <w:b w:val="0"/>
          <w:bCs w:val="0"/>
          <w:color w:val="000000" w:themeColor="text1"/>
          <w:kern w:val="0"/>
          <w:sz w:val="24"/>
          <w:szCs w:val="24"/>
          <w:u w:val="single"/>
          <w:vertAlign w:val="baseline"/>
          <w:lang w:val="en-US" w:eastAsia="zh-CN"/>
          <w14:textFill>
            <w14:solidFill>
              <w14:schemeClr w14:val="tx1"/>
            </w14:solidFill>
          </w14:textFill>
        </w:rPr>
        <w:t>PM</w:t>
      </w:r>
      <w:r>
        <w:rPr>
          <w:rFonts w:hint="default" w:ascii="Times New Roman" w:hAnsi="Times New Roman" w:cs="Times New Roman"/>
          <w:b w:val="0"/>
          <w:bCs w:val="0"/>
          <w:color w:val="000000" w:themeColor="text1"/>
          <w:kern w:val="0"/>
          <w:sz w:val="24"/>
          <w:szCs w:val="24"/>
          <w:u w:val="single"/>
          <w:vertAlign w:val="subscript"/>
          <w:lang w:val="en-US" w:eastAsia="zh-CN"/>
          <w14:textFill>
            <w14:solidFill>
              <w14:schemeClr w14:val="tx1"/>
            </w14:solidFill>
          </w14:textFill>
        </w:rPr>
        <w:t>10</w:t>
      </w:r>
      <w:r>
        <w:rPr>
          <w:rFonts w:hint="default" w:ascii="Times New Roman" w:hAnsi="Times New Roman" w:cs="Times New Roman"/>
          <w:b w:val="0"/>
          <w:bCs w:val="0"/>
          <w:color w:val="000000" w:themeColor="text1"/>
          <w:kern w:val="0"/>
          <w:sz w:val="24"/>
          <w:szCs w:val="24"/>
          <w:u w:val="single"/>
          <w:vertAlign w:val="baseline"/>
          <w:lang w:val="en-US" w:eastAsia="zh-CN"/>
          <w14:textFill>
            <w14:solidFill>
              <w14:schemeClr w14:val="tx1"/>
            </w14:solidFill>
          </w14:textFill>
        </w:rPr>
        <w:t>、CO、O</w:t>
      </w:r>
      <w:r>
        <w:rPr>
          <w:rFonts w:hint="default" w:ascii="Times New Roman" w:hAnsi="Times New Roman" w:cs="Times New Roman"/>
          <w:b w:val="0"/>
          <w:bCs w:val="0"/>
          <w:color w:val="000000" w:themeColor="text1"/>
          <w:kern w:val="0"/>
          <w:sz w:val="24"/>
          <w:szCs w:val="24"/>
          <w:u w:val="single"/>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kern w:val="0"/>
          <w:sz w:val="24"/>
          <w:szCs w:val="24"/>
          <w:u w:val="single"/>
          <w:vertAlign w:val="baseline"/>
          <w:lang w:val="en-US" w:eastAsia="zh-CN"/>
          <w14:textFill>
            <w14:solidFill>
              <w14:schemeClr w14:val="tx1"/>
            </w14:solidFill>
          </w14:textFill>
        </w:rPr>
        <w:t>可满足《环境空气质量标准》（GB3095-2012）中二级标准要求，</w:t>
      </w:r>
      <w:r>
        <w:rPr>
          <w:rFonts w:hint="default" w:ascii="Times New Roman" w:hAnsi="Times New Roman" w:cs="Times New Roman"/>
          <w:color w:val="000000" w:themeColor="text1"/>
          <w:sz w:val="24"/>
          <w:szCs w:val="24"/>
          <w:u w:val="single"/>
          <w14:textFill>
            <w14:solidFill>
              <w14:schemeClr w14:val="tx1"/>
            </w14:solidFill>
          </w14:textFill>
        </w:rPr>
        <w:t>PM</w:t>
      </w:r>
      <w:r>
        <w:rPr>
          <w:rFonts w:hint="default" w:ascii="Times New Roman" w:hAnsi="Times New Roman" w:cs="Times New Roman"/>
          <w:color w:val="000000" w:themeColor="text1"/>
          <w:sz w:val="24"/>
          <w:szCs w:val="24"/>
          <w:u w:val="single"/>
          <w:vertAlign w:val="subscript"/>
          <w14:textFill>
            <w14:solidFill>
              <w14:schemeClr w14:val="tx1"/>
            </w14:solidFill>
          </w14:textFill>
        </w:rPr>
        <w:t>2.5</w:t>
      </w:r>
      <w:r>
        <w:rPr>
          <w:rFonts w:hint="default" w:ascii="Times New Roman" w:hAnsi="Times New Roman" w:cs="Times New Roman"/>
          <w:color w:val="000000" w:themeColor="text1"/>
          <w:sz w:val="24"/>
          <w:szCs w:val="24"/>
          <w:u w:val="single"/>
          <w:vertAlign w:val="baseline"/>
          <w:lang w:val="en-US" w:eastAsia="zh-CN"/>
          <w14:textFill>
            <w14:solidFill>
              <w14:schemeClr w14:val="tx1"/>
            </w14:solidFill>
          </w14:textFill>
        </w:rPr>
        <w:t>不能满足《环境空气质量标准》（GB3095-2012）中的二级标准要求，属于不达标区域</w:t>
      </w:r>
      <w:r>
        <w:rPr>
          <w:rFonts w:hint="default" w:ascii="Times New Roman" w:hAnsi="Times New Roman" w:cs="Times New Roman"/>
          <w:color w:val="000000" w:themeColor="text1"/>
          <w:sz w:val="24"/>
          <w:szCs w:val="24"/>
          <w:u w:val="single"/>
          <w14:textFill>
            <w14:solidFill>
              <w14:schemeClr w14:val="tx1"/>
            </w14:solidFill>
          </w14:textFill>
        </w:rPr>
        <w:t>。本项目委托宇相津准（湖南）环境检测有限公司于2020.08.20~2020.08.26对项目的附近的特征因子TVOC、非甲烷总烃进行监测，</w:t>
      </w:r>
      <w:r>
        <w:rPr>
          <w:rFonts w:hint="default" w:ascii="Times New Roman" w:hAnsi="Times New Roman" w:cs="Times New Roman"/>
          <w:color w:val="000000" w:themeColor="text1"/>
          <w:sz w:val="24"/>
          <w:szCs w:val="24"/>
          <w:u w:val="single"/>
          <w:lang w:eastAsia="zh-CN"/>
          <w14:textFill>
            <w14:solidFill>
              <w14:schemeClr w14:val="tx1"/>
            </w14:solidFill>
          </w14:textFill>
        </w:rPr>
        <w:t>于</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2020.12.21~2020.12.27对项目的附近的特征因子硫化氢和氨进行了监测，</w:t>
      </w:r>
      <w:r>
        <w:rPr>
          <w:rFonts w:hint="default" w:ascii="Times New Roman" w:hAnsi="Times New Roman" w:cs="Times New Roman"/>
          <w:color w:val="000000" w:themeColor="text1"/>
          <w:spacing w:val="-7"/>
          <w:sz w:val="24"/>
          <w:szCs w:val="24"/>
          <w:u w:val="single"/>
          <w14:textFill>
            <w14:solidFill>
              <w14:schemeClr w14:val="tx1"/>
            </w14:solidFill>
          </w14:textFill>
        </w:rPr>
        <w:t>根据监测结果可知，监测因子</w:t>
      </w:r>
      <w:r>
        <w:rPr>
          <w:rFonts w:hint="default" w:ascii="Times New Roman" w:hAnsi="Times New Roman" w:eastAsia="Times New Roman" w:cs="Times New Roman"/>
          <w:color w:val="000000" w:themeColor="text1"/>
          <w:sz w:val="24"/>
          <w:szCs w:val="24"/>
          <w:u w:val="single"/>
          <w14:textFill>
            <w14:solidFill>
              <w14:schemeClr w14:val="tx1"/>
            </w14:solidFill>
          </w14:textFill>
        </w:rPr>
        <w:t>TVOC</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、硫化氢和氨</w:t>
      </w:r>
      <w:r>
        <w:rPr>
          <w:rFonts w:hint="default" w:ascii="Times New Roman" w:hAnsi="Times New Roman" w:cs="Times New Roman"/>
          <w:color w:val="000000" w:themeColor="text1"/>
          <w:spacing w:val="-4"/>
          <w:sz w:val="24"/>
          <w:szCs w:val="24"/>
          <w:u w:val="single"/>
          <w14:textFill>
            <w14:solidFill>
              <w14:schemeClr w14:val="tx1"/>
            </w14:solidFill>
          </w14:textFill>
        </w:rPr>
        <w:t>均符合《环境影响评价技术导则 大气环境</w:t>
      </w:r>
      <w:r>
        <w:rPr>
          <w:rFonts w:hint="default" w:ascii="Times New Roman" w:hAnsi="Times New Roman" w:cs="Times New Roman"/>
          <w:color w:val="000000" w:themeColor="text1"/>
          <w:sz w:val="24"/>
          <w:szCs w:val="24"/>
          <w:u w:val="single"/>
          <w14:textFill>
            <w14:solidFill>
              <w14:schemeClr w14:val="tx1"/>
            </w14:solidFill>
          </w14:textFill>
        </w:rPr>
        <w:t>》（</w:t>
      </w:r>
      <w:r>
        <w:rPr>
          <w:rFonts w:hint="default" w:ascii="Times New Roman" w:hAnsi="Times New Roman" w:eastAsia="Times New Roman" w:cs="Times New Roman"/>
          <w:color w:val="000000" w:themeColor="text1"/>
          <w:sz w:val="24"/>
          <w:szCs w:val="24"/>
          <w:u w:val="single"/>
          <w14:textFill>
            <w14:solidFill>
              <w14:schemeClr w14:val="tx1"/>
            </w14:solidFill>
          </w14:textFill>
        </w:rPr>
        <w:t>HJ2.2-2018</w:t>
      </w:r>
      <w:r>
        <w:rPr>
          <w:rFonts w:hint="default" w:ascii="Times New Roman" w:hAnsi="Times New Roman" w:cs="Times New Roman"/>
          <w:color w:val="000000" w:themeColor="text1"/>
          <w:sz w:val="24"/>
          <w:szCs w:val="24"/>
          <w:u w:val="single"/>
          <w14:textFill>
            <w14:solidFill>
              <w14:schemeClr w14:val="tx1"/>
            </w14:solidFill>
          </w14:textFill>
        </w:rPr>
        <w:t>）</w:t>
      </w:r>
      <w:r>
        <w:rPr>
          <w:rFonts w:hint="default" w:ascii="Times New Roman" w:hAnsi="Times New Roman" w:cs="Times New Roman"/>
          <w:color w:val="000000" w:themeColor="text1"/>
          <w:spacing w:val="-21"/>
          <w:sz w:val="24"/>
          <w:szCs w:val="24"/>
          <w:u w:val="single"/>
          <w14:textFill>
            <w14:solidFill>
              <w14:schemeClr w14:val="tx1"/>
            </w14:solidFill>
          </w14:textFill>
        </w:rPr>
        <w:t>附录</w:t>
      </w:r>
      <w:r>
        <w:rPr>
          <w:rFonts w:hint="default" w:ascii="Times New Roman" w:hAnsi="Times New Roman" w:eastAsia="Times New Roman" w:cs="Times New Roman"/>
          <w:color w:val="000000" w:themeColor="text1"/>
          <w:sz w:val="24"/>
          <w:szCs w:val="24"/>
          <w:u w:val="single"/>
          <w14:textFill>
            <w14:solidFill>
              <w14:schemeClr w14:val="tx1"/>
            </w14:solidFill>
          </w14:textFill>
        </w:rPr>
        <w:t>D</w:t>
      </w:r>
      <w:r>
        <w:rPr>
          <w:rFonts w:hint="default" w:ascii="Times New Roman" w:hAnsi="Times New Roman" w:cs="Times New Roman"/>
          <w:color w:val="000000" w:themeColor="text1"/>
          <w:sz w:val="24"/>
          <w:szCs w:val="24"/>
          <w:u w:val="single"/>
          <w14:textFill>
            <w14:solidFill>
              <w14:schemeClr w14:val="tx1"/>
            </w14:solidFill>
          </w14:textFill>
        </w:rPr>
        <w:t>中的浓度限值，非甲烷总烃</w:t>
      </w:r>
      <w:r>
        <w:rPr>
          <w:rFonts w:hint="default" w:ascii="Times New Roman" w:hAnsi="Times New Roman" w:cs="Times New Roman"/>
          <w:color w:val="000000" w:themeColor="text1"/>
          <w:spacing w:val="6"/>
          <w:sz w:val="24"/>
          <w:szCs w:val="24"/>
          <w:u w:val="single"/>
          <w:lang w:bidi="ar"/>
          <w14:textFill>
            <w14:solidFill>
              <w14:schemeClr w14:val="tx1"/>
            </w14:solidFill>
          </w14:textFill>
        </w:rPr>
        <w:t>可以满足《大气综合污染综合排放标准详解》中的建议取值。</w:t>
      </w:r>
    </w:p>
    <w:p>
      <w:pPr>
        <w:spacing w:line="360" w:lineRule="auto"/>
        <w:ind w:firstLine="504" w:firstLineChars="200"/>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pPr>
      <w:r>
        <w:rPr>
          <w:rFonts w:hint="default" w:ascii="Times New Roman" w:hAnsi="Times New Roman" w:cs="Times New Roman"/>
          <w:color w:val="000000" w:themeColor="text1"/>
          <w:spacing w:val="6"/>
          <w:sz w:val="24"/>
          <w:szCs w:val="24"/>
          <w:u w:val="single"/>
          <w:lang w:val="en-US" w:eastAsia="zh-CN" w:bidi="ar"/>
          <w14:textFill>
            <w14:solidFill>
              <w14:schemeClr w14:val="tx1"/>
            </w14:solidFill>
          </w14:textFill>
        </w:rPr>
        <w:t>地表水长江段水质监测数据可满足《地表水环境质量标准》（GB3838-2002）中</w:t>
      </w:r>
      <w:r>
        <w:rPr>
          <w:rFonts w:hint="default" w:ascii="Times New Roman" w:hAnsi="Times New Roman" w:eastAsia="宋体" w:cs="Times New Roman"/>
          <w:color w:val="000000" w:themeColor="text1"/>
          <w:sz w:val="24"/>
          <w:szCs w:val="24"/>
          <w:u w:val="single"/>
          <w14:textFill>
            <w14:solidFill>
              <w14:schemeClr w14:val="tx1"/>
            </w14:solidFill>
          </w14:textFill>
        </w:rPr>
        <w:t>Ⅲ类标准要求</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szCs w:val="24"/>
          <w:u w:val="single"/>
          <w:lang w:val="en-US" w:eastAsia="zh-CN"/>
          <w14:textFill>
            <w14:solidFill>
              <w14:schemeClr w14:val="tx1"/>
            </w14:solidFill>
          </w14:textFill>
        </w:rPr>
        <w:t>松阳湖监测数据中五日生化需氧量存在超标现象，其余指标满足《地表水环境质量标准》（GB3838-2002）中的Ⅳ类标准要求。待区域配套雨污管网全面建成后，松阳湖水质将得到改善。</w:t>
      </w:r>
    </w:p>
    <w:p>
      <w:pPr>
        <w:adjustRightInd w:val="0"/>
        <w:snapToGrid w:val="0"/>
        <w:spacing w:line="360" w:lineRule="auto"/>
        <w:ind w:firstLine="480" w:firstLineChars="200"/>
        <w:rPr>
          <w:rFonts w:hint="eastAsia" w:eastAsia="宋体"/>
          <w:color w:val="000000" w:themeColor="text1"/>
          <w:u w:val="single"/>
          <w:lang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根据《环境影响评价技术导则  地下水环境》（HJ610-2016）相关要求：“地下水环境影响评价应充分利用已有资料和数据，二级评价项目潜水含水层水质监测点不少于5个，原则上上游及下游影响区域的地下水水质监测点不得少于一个”因此，为了解项目评价区域地下水环境质量现状，本次环评收集了《</w:t>
      </w:r>
      <w:r>
        <w:rPr>
          <w:rFonts w:hint="default" w:ascii="Times New Roman" w:hAnsi="Times New Roman" w:cs="Times New Roman"/>
          <w:color w:val="000000" w:themeColor="text1"/>
          <w:u w:val="single"/>
          <w:lang w:eastAsia="zh-CN"/>
          <w14:textFill>
            <w14:solidFill>
              <w14:schemeClr w14:val="tx1"/>
            </w14:solidFill>
          </w14:textFill>
        </w:rPr>
        <w:t>岳阳隆兴实业公司合成化工厂氯丁烷装置扩能改造及新建原料产品罐区项目</w:t>
      </w:r>
      <w:r>
        <w:rPr>
          <w:rFonts w:hint="default" w:ascii="Times New Roman" w:hAnsi="Times New Roman" w:cs="Times New Roman"/>
          <w:color w:val="000000" w:themeColor="text1"/>
          <w:u w:val="single"/>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w:t>
      </w:r>
      <w:r>
        <w:rPr>
          <w:rFonts w:hint="default" w:ascii="Times New Roman" w:hAnsi="Times New Roman" w:cs="Times New Roman"/>
          <w:color w:val="000000" w:themeColor="text1"/>
          <w:u w:val="single"/>
          <w:lang w:val="en-US" w:eastAsia="zh-CN"/>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岳阳市云溪区云溪加油站建设项目</w:t>
      </w:r>
      <w:r>
        <w:rPr>
          <w:rFonts w:hint="default" w:ascii="Times New Roman" w:hAnsi="Times New Roman" w:cs="Times New Roman"/>
          <w:color w:val="000000" w:themeColor="text1"/>
          <w:u w:val="single"/>
          <w:lang w:val="en-US" w:eastAsia="zh-CN"/>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和</w:t>
      </w:r>
      <w:r>
        <w:rPr>
          <w:rFonts w:hint="eastAsia" w:cs="Times New Roman"/>
          <w:color w:val="000000" w:themeColor="text1"/>
          <w:szCs w:val="20"/>
          <w:u w:val="single"/>
          <w:lang w:eastAsia="zh-CN"/>
          <w14:textFill>
            <w14:solidFill>
              <w14:schemeClr w14:val="tx1"/>
            </w14:solidFill>
          </w14:textFill>
        </w:rPr>
        <w:t>《云溪区工业固体废弃物处置</w:t>
      </w:r>
      <w:r>
        <w:rPr>
          <w:rFonts w:hint="eastAsia" w:cs="Times New Roman"/>
          <w:color w:val="000000" w:themeColor="text1"/>
          <w:szCs w:val="20"/>
          <w:u w:val="single"/>
          <w:lang w:val="en-US" w:eastAsia="zh-CN"/>
          <w14:textFill>
            <w14:solidFill>
              <w14:schemeClr w14:val="tx1"/>
            </w14:solidFill>
          </w14:textFill>
        </w:rPr>
        <w:t>（一期工程）</w:t>
      </w:r>
      <w:r>
        <w:rPr>
          <w:rFonts w:hint="eastAsia" w:cs="Times New Roman"/>
          <w:color w:val="000000" w:themeColor="text1"/>
          <w:szCs w:val="20"/>
          <w:u w:val="single"/>
          <w:lang w:eastAsia="zh-CN"/>
          <w14:textFill>
            <w14:solidFill>
              <w14:schemeClr w14:val="tx1"/>
            </w14:solidFill>
          </w14:textFill>
        </w:rPr>
        <w:t>》</w:t>
      </w:r>
      <w:r>
        <w:rPr>
          <w:rFonts w:hint="eastAsia" w:cs="Times New Roman"/>
          <w:color w:val="000000" w:themeColor="text1"/>
          <w:szCs w:val="20"/>
          <w:u w:val="single"/>
          <w:lang w:val="en-US" w:eastAsia="zh-CN"/>
          <w14:textFill>
            <w14:solidFill>
              <w14:schemeClr w14:val="tx1"/>
            </w14:solidFill>
          </w14:textFill>
        </w:rPr>
        <w:t>的</w:t>
      </w:r>
      <w:r>
        <w:rPr>
          <w:rFonts w:hint="default" w:ascii="Times New Roman" w:hAnsi="Times New Roman" w:cs="Times New Roman"/>
          <w:color w:val="000000" w:themeColor="text1"/>
          <w:u w:val="single"/>
          <w:lang w:val="en-US" w:eastAsia="zh-CN"/>
          <w14:textFill>
            <w14:solidFill>
              <w14:schemeClr w14:val="tx1"/>
            </w14:solidFill>
          </w14:textFill>
        </w:rPr>
        <w:t>地下水环境质量监测数据</w:t>
      </w:r>
      <w:r>
        <w:rPr>
          <w:rFonts w:hint="eastAsia"/>
          <w:color w:val="000000" w:themeColor="text1"/>
          <w:u w:val="single"/>
          <w:lang w:eastAsia="zh-CN"/>
          <w14:textFill>
            <w14:solidFill>
              <w14:schemeClr w14:val="tx1"/>
            </w14:solidFill>
          </w14:textFill>
        </w:rPr>
        <w:t>，由监测数据可知，</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总体上项目区地下水基本满足《地下水水质标准》(</w:t>
      </w:r>
      <w:r>
        <w:rPr>
          <w:rFonts w:hint="default" w:ascii="Times New Roman" w:hAnsi="Times New Roman" w:cs="Times New Roman"/>
          <w:b w:val="0"/>
          <w:bCs/>
          <w:color w:val="000000" w:themeColor="text1"/>
          <w:sz w:val="24"/>
          <w:szCs w:val="24"/>
          <w14:textFill>
            <w14:solidFill>
              <w14:schemeClr w14:val="tx1"/>
            </w14:solidFill>
          </w14:textFill>
        </w:rPr>
        <w:t>GB/T14848-2017</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)中</w:t>
      </w:r>
      <w:r>
        <w:rPr>
          <w:rFonts w:hint="default" w:ascii="Times New Roman" w:hAnsi="Times New Roman" w:cs="Times New Roman"/>
          <w:b w:val="0"/>
          <w:bCs/>
          <w:color w:val="000000" w:themeColor="text1"/>
          <w:sz w:val="24"/>
          <w:szCs w:val="24"/>
          <w14:textFill>
            <w14:solidFill>
              <w14:schemeClr w14:val="tx1"/>
            </w14:solidFill>
          </w14:textFill>
        </w:rPr>
        <w:t>Ⅲ类标准</w:t>
      </w:r>
      <w:r>
        <w:rPr>
          <w:rFonts w:hint="default" w:ascii="Times New Roman" w:hAnsi="Times New Roman" w:cs="Times New Roman"/>
          <w:b w:val="0"/>
          <w:bCs/>
          <w:color w:val="000000" w:themeColor="text1"/>
          <w:sz w:val="24"/>
          <w:szCs w:val="24"/>
          <w:lang w:eastAsia="zh-CN"/>
          <w14:textFill>
            <w14:solidFill>
              <w14:schemeClr w14:val="tx1"/>
            </w14:solidFill>
          </w14:textFill>
        </w:rPr>
        <w:t>的要求</w:t>
      </w:r>
      <w:r>
        <w:rPr>
          <w:rFonts w:hint="eastAsia" w:ascii="Times New Roman" w:hAnsi="Times New Roman" w:cs="Times New Roman"/>
          <w:b w:val="0"/>
          <w:bCs/>
          <w:color w:val="000000" w:themeColor="text1"/>
          <w:sz w:val="24"/>
          <w:szCs w:val="24"/>
          <w:lang w:eastAsia="zh-CN"/>
          <w14:textFill>
            <w14:solidFill>
              <w14:schemeClr w14:val="tx1"/>
            </w14:solidFill>
          </w14:textFill>
        </w:rPr>
        <w:t>，</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但是云溪区工业固体废弃物处置（一期工程）项目中地下水监测数据中的PH和总大肠菌群超标，出现超标的原因分析如下：总大肠菌群和PH超标的主要原因有两个：第一是取样地下水属于浅层地下水，由于周边存在自住民房、其生活垃圾、排泄物的污染导致浅层地下水存在污染。另外一个原因是钻孔水量较小，取样前抽水时间较短，抽水设备存在一定的人为污染。</w:t>
      </w:r>
    </w:p>
    <w:p>
      <w:pPr>
        <w:pStyle w:val="14"/>
        <w:adjustRightInd w:val="0"/>
        <w:snapToGrid w:val="0"/>
        <w:ind w:firstLine="480" w:firstLineChars="200"/>
        <w:jc w:val="both"/>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在项目所在地和周边敏感点设置了4个声环境监测点，监测因子为等效A声级。监测结果表明项目所在地声环境质量满足《声环境质量标准》GB3096-2008中的3类标准。</w:t>
      </w:r>
    </w:p>
    <w:p>
      <w:pPr>
        <w:pStyle w:val="14"/>
        <w:adjustRightInd w:val="0"/>
        <w:snapToGrid w:val="0"/>
        <w:ind w:firstLine="480" w:firstLineChars="200"/>
        <w:jc w:val="both"/>
        <w:rPr>
          <w:rFonts w:hint="default" w:ascii="Times New Roman" w:hAnsi="Times New Roman" w:cs="Times New Roman"/>
          <w:b w:val="0"/>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本项目地土壤的环境质量监测数据可满足《土壤环境质量建设用地土壤污染风险管控标准（试行）》（GB36600-2018）中第二类用地筛选值标准要求。</w:t>
      </w:r>
    </w:p>
    <w:p>
      <w:pPr>
        <w:pStyle w:val="14"/>
        <w:ind w:firstLine="480" w:firstLineChars="200"/>
        <w:jc w:val="both"/>
        <w:rPr>
          <w:rFonts w:hint="default" w:ascii="Times New Roman" w:hAnsi="Times New Roman" w:cs="Times New Roman"/>
          <w:b w:val="0"/>
          <w:bCs/>
          <w:color w:val="000000" w:themeColor="text1"/>
          <w14:textFill>
            <w14:solidFill>
              <w14:schemeClr w14:val="tx1"/>
            </w14:solidFill>
          </w14:textFill>
        </w:rPr>
      </w:pPr>
    </w:p>
    <w:p>
      <w:pPr>
        <w:rPr>
          <w:rFonts w:hint="default"/>
          <w:color w:val="000000" w:themeColor="text1"/>
          <w14:textFill>
            <w14:solidFill>
              <w14:schemeClr w14:val="tx1"/>
            </w14:solidFill>
          </w14:textFill>
        </w:rPr>
      </w:pPr>
    </w:p>
    <w:p>
      <w:pPr>
        <w:rPr>
          <w:rFonts w:hint="default" w:eastAsia="宋体"/>
          <w:color w:val="000000" w:themeColor="text1"/>
          <w:lang w:val="en-US" w:eastAsia="zh-CN"/>
          <w14:textFill>
            <w14:solidFill>
              <w14:schemeClr w14:val="tx1"/>
            </w14:solidFill>
          </w14:textFill>
        </w:rPr>
      </w:pPr>
    </w:p>
    <w:p>
      <w:pPr>
        <w:rPr>
          <w:color w:val="000000" w:themeColor="text1"/>
          <w14:textFill>
            <w14:solidFill>
              <w14:schemeClr w14:val="tx1"/>
            </w14:solidFill>
          </w14:textFill>
        </w:rPr>
      </w:pPr>
    </w:p>
    <w:p>
      <w:pPr>
        <w:keepNext/>
        <w:spacing w:line="360" w:lineRule="auto"/>
        <w:ind w:firstLine="480" w:firstLineChars="200"/>
        <w:rPr>
          <w:color w:val="000000" w:themeColor="text1"/>
          <w14:textFill>
            <w14:solidFill>
              <w14:schemeClr w14:val="tx1"/>
            </w14:solidFill>
          </w14:textFill>
        </w:rPr>
        <w:sectPr>
          <w:pgSz w:w="11906" w:h="16838"/>
          <w:pgMar w:top="1440" w:right="1440" w:bottom="1440" w:left="1440" w:header="720" w:footer="720" w:gutter="0"/>
          <w:pgBorders>
            <w:top w:val="none" w:sz="0" w:space="0"/>
            <w:left w:val="none" w:sz="0" w:space="0"/>
            <w:bottom w:val="none" w:sz="0" w:space="0"/>
            <w:right w:val="none" w:sz="0" w:space="0"/>
          </w:pgBorders>
          <w:cols w:space="720" w:num="1"/>
          <w:rtlGutter w:val="0"/>
          <w:docGrid w:linePitch="326" w:charSpace="0"/>
        </w:sectPr>
      </w:pPr>
    </w:p>
    <w:p>
      <w:pPr>
        <w:pStyle w:val="2"/>
        <w:adjustRightInd w:val="0"/>
        <w:snapToGrid w:val="0"/>
        <w:spacing w:line="360" w:lineRule="auto"/>
        <w:rPr>
          <w:color w:val="000000" w:themeColor="text1"/>
          <w14:textFill>
            <w14:solidFill>
              <w14:schemeClr w14:val="tx1"/>
            </w14:solidFill>
          </w14:textFill>
        </w:rPr>
      </w:pPr>
      <w:bookmarkStart w:id="469" w:name="_Toc532763214"/>
      <w:bookmarkStart w:id="470" w:name="_Toc532376157"/>
      <w:bookmarkStart w:id="471" w:name="_Toc532498750"/>
      <w:bookmarkStart w:id="472" w:name="_Toc532497654"/>
      <w:bookmarkStart w:id="473" w:name="_Toc9891"/>
      <w:r>
        <w:rPr>
          <w:color w:val="000000" w:themeColor="text1"/>
          <w14:textFill>
            <w14:solidFill>
              <w14:schemeClr w14:val="tx1"/>
            </w14:solidFill>
          </w14:textFill>
        </w:rPr>
        <w:t>环境影响预测与评价</w:t>
      </w:r>
      <w:bookmarkEnd w:id="469"/>
      <w:bookmarkEnd w:id="470"/>
      <w:bookmarkEnd w:id="471"/>
      <w:bookmarkEnd w:id="472"/>
      <w:bookmarkEnd w:id="473"/>
    </w:p>
    <w:p>
      <w:pPr>
        <w:pStyle w:val="4"/>
        <w:adjustRightInd w:val="0"/>
        <w:snapToGrid w:val="0"/>
        <w:rPr>
          <w:color w:val="000000" w:themeColor="text1"/>
          <w14:textFill>
            <w14:solidFill>
              <w14:schemeClr w14:val="tx1"/>
            </w14:solidFill>
          </w14:textFill>
        </w:rPr>
      </w:pPr>
      <w:bookmarkStart w:id="474" w:name="_Toc532763215"/>
      <w:bookmarkStart w:id="475" w:name="_Toc532376158"/>
      <w:bookmarkStart w:id="476" w:name="_Toc12454"/>
      <w:bookmarkStart w:id="477" w:name="_Toc532497655"/>
      <w:bookmarkStart w:id="478" w:name="_Toc532498751"/>
      <w:r>
        <w:rPr>
          <w:color w:val="000000" w:themeColor="text1"/>
          <w14:textFill>
            <w14:solidFill>
              <w14:schemeClr w14:val="tx1"/>
            </w14:solidFill>
          </w14:textFill>
        </w:rPr>
        <w:t>施工期环境影响分析</w:t>
      </w:r>
      <w:bookmarkEnd w:id="474"/>
      <w:bookmarkEnd w:id="475"/>
      <w:bookmarkEnd w:id="476"/>
      <w:bookmarkEnd w:id="477"/>
      <w:bookmarkEnd w:id="478"/>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项目施工期主要工程活动内容有设备、材料运输、混凝土搅拌、设备管线安装、作业人员生活等，随着施工结束，项目施工期影响随之结束。</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施工期大气环境影响分析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（1）施工扬尘</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项目施工扬尘对环境空气产生的影响主要来自两方面：一是各类运输车辆运行引起的扬尘；二是施工场地产生的扬尘（开挖扬尘、物料堆放扬尘等）。</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扬尘属于无组织排放，其产生量难以定量计算。根据类比调查，施工及运输车辆引起的扬尘对路边30m范围内影响较大，而且呈线行污染，路边的TSP可达10mg/m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以上，一般浓度在1.5~30mg/m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之间。</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一般情况下，施工工地、道路在自然风作用下产生的扬尘所影响的范围在100m以内。如果在施工期间对车辆行驶的路面实施洒水扬尘。</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_Ref52219192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是洒水抑尘的试验效果。</w:t>
      </w:r>
    </w:p>
    <w:p>
      <w:pPr>
        <w:keepNext/>
        <w:jc w:val="center"/>
        <w:rPr>
          <w:b/>
          <w:color w:val="000000" w:themeColor="text1"/>
          <w14:textFill>
            <w14:solidFill>
              <w14:schemeClr w14:val="tx1"/>
            </w14:solidFill>
          </w14:textFill>
        </w:rPr>
      </w:pPr>
      <w:bookmarkStart w:id="479" w:name="_Ref52219192"/>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bookmarkEnd w:id="479"/>
      <w:r>
        <w:rPr>
          <w:b/>
          <w:color w:val="000000" w:themeColor="text1"/>
          <w14:textFill>
            <w14:solidFill>
              <w14:schemeClr w14:val="tx1"/>
            </w14:solidFill>
          </w14:textFill>
        </w:rPr>
        <w:t xml:space="preserve">  洒水降尘测试效果</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1243"/>
        <w:gridCol w:w="1210"/>
        <w:gridCol w:w="1385"/>
        <w:gridCol w:w="1385"/>
        <w:gridCol w:w="1356"/>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75" w:type="pct"/>
            <w:gridSpan w:val="2"/>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距离（m）</w:t>
            </w:r>
          </w:p>
        </w:tc>
        <w:tc>
          <w:tcPr>
            <w:tcW w:w="654"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w:t>
            </w:r>
          </w:p>
        </w:tc>
        <w:tc>
          <w:tcPr>
            <w:tcW w:w="749" w:type="pct"/>
            <w:noWrap w:val="0"/>
            <w:vAlign w:val="center"/>
          </w:tcPr>
          <w:p>
            <w:pPr>
              <w:pStyle w:val="112"/>
              <w:keepNext w:val="0"/>
              <w:keepLines w:val="0"/>
              <w:suppressLineNumbers w:val="0"/>
              <w:spacing w:before="39" w:beforeAutospacing="0" w:after="0" w:afterAutospacing="0"/>
              <w:ind w:left="290" w:right="262"/>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20</w:t>
            </w:r>
          </w:p>
        </w:tc>
        <w:tc>
          <w:tcPr>
            <w:tcW w:w="749" w:type="pct"/>
            <w:noWrap w:val="0"/>
            <w:vAlign w:val="center"/>
          </w:tcPr>
          <w:p>
            <w:pPr>
              <w:pStyle w:val="112"/>
              <w:keepNext w:val="0"/>
              <w:keepLines w:val="0"/>
              <w:suppressLineNumbers w:val="0"/>
              <w:spacing w:before="39" w:beforeAutospacing="0" w:after="0" w:afterAutospacing="0"/>
              <w:ind w:left="289" w:right="262"/>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50</w:t>
            </w:r>
          </w:p>
        </w:tc>
        <w:tc>
          <w:tcPr>
            <w:tcW w:w="733" w:type="pct"/>
            <w:noWrap w:val="0"/>
            <w:vAlign w:val="center"/>
          </w:tcPr>
          <w:p>
            <w:pPr>
              <w:pStyle w:val="112"/>
              <w:keepNext w:val="0"/>
              <w:keepLines w:val="0"/>
              <w:suppressLineNumbers w:val="0"/>
              <w:spacing w:before="39" w:beforeAutospacing="0" w:after="0" w:afterAutospacing="0"/>
              <w:ind w:left="334" w:right="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100</w:t>
            </w:r>
          </w:p>
        </w:tc>
        <w:tc>
          <w:tcPr>
            <w:tcW w:w="637" w:type="pct"/>
            <w:noWrap w:val="0"/>
            <w:vAlign w:val="center"/>
          </w:tcPr>
          <w:p>
            <w:pPr>
              <w:pStyle w:val="112"/>
              <w:keepNext w:val="0"/>
              <w:keepLines w:val="0"/>
              <w:suppressLineNumbers w:val="0"/>
              <w:spacing w:before="39" w:beforeAutospacing="0" w:after="0" w:afterAutospacing="0"/>
              <w:ind w:left="334" w:right="0"/>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restar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TSP（mg/m</w:t>
            </w:r>
            <w:r>
              <w:rPr>
                <w:rFonts w:eastAsia="宋体" w:cs="Times New Roman"/>
                <w:color w:val="000000" w:themeColor="text1"/>
                <w:sz w:val="21"/>
                <w:vertAlign w:val="superscript"/>
                <w14:textFill>
                  <w14:solidFill>
                    <w14:schemeClr w14:val="tx1"/>
                  </w14:solidFill>
                </w14:textFill>
              </w:rPr>
              <w:t>3</w:t>
            </w:r>
            <w:r>
              <w:rPr>
                <w:rFonts w:eastAsia="宋体" w:cs="Times New Roman"/>
                <w:color w:val="000000" w:themeColor="text1"/>
                <w:sz w:val="21"/>
                <w14:textFill>
                  <w14:solidFill>
                    <w14:schemeClr w14:val="tx1"/>
                  </w14:solidFill>
                </w14:textFill>
              </w:rPr>
              <w:t>）</w:t>
            </w:r>
          </w:p>
        </w:tc>
        <w:tc>
          <w:tcPr>
            <w:tcW w:w="671"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不洒水</w:t>
            </w:r>
          </w:p>
        </w:tc>
        <w:tc>
          <w:tcPr>
            <w:tcW w:w="654"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11.03</w:t>
            </w:r>
          </w:p>
        </w:tc>
        <w:tc>
          <w:tcPr>
            <w:tcW w:w="749"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2.89</w:t>
            </w:r>
          </w:p>
        </w:tc>
        <w:tc>
          <w:tcPr>
            <w:tcW w:w="749"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1.15</w:t>
            </w:r>
          </w:p>
        </w:tc>
        <w:tc>
          <w:tcPr>
            <w:tcW w:w="733"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0.86</w:t>
            </w:r>
          </w:p>
        </w:tc>
        <w:tc>
          <w:tcPr>
            <w:tcW w:w="637"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3" w:type="pct"/>
            <w:vMerge w:val="continue"/>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671"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洒水</w:t>
            </w:r>
          </w:p>
        </w:tc>
        <w:tc>
          <w:tcPr>
            <w:tcW w:w="654"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2.11</w:t>
            </w:r>
          </w:p>
        </w:tc>
        <w:tc>
          <w:tcPr>
            <w:tcW w:w="749"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1.40</w:t>
            </w:r>
          </w:p>
        </w:tc>
        <w:tc>
          <w:tcPr>
            <w:tcW w:w="749"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0.68</w:t>
            </w:r>
          </w:p>
        </w:tc>
        <w:tc>
          <w:tcPr>
            <w:tcW w:w="733"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0.40</w:t>
            </w:r>
          </w:p>
        </w:tc>
        <w:tc>
          <w:tcPr>
            <w:tcW w:w="637"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0.29</w:t>
            </w:r>
          </w:p>
        </w:tc>
      </w:tr>
    </w:tbl>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由上表可知，如果在施工期对车辆行驶的路面实施洒水抑尘，每天洒水4~5次，可使扬尘减少70%左右，能有效地控制施工扬尘，可将TSP的污染距离缩小到20~50m范围。环评要求施工单位进行洒水扬尘操作，以减少扬尘量。</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施工现场调查，环评要求加强物料转运与使用的管理，合理装卸、规范操作。运输建筑材料和清运施工渣土等建筑垃圾应用专用车辆，加盖蓬布减少洒落。同时，限制车速，车辆进出、装卸场地时应用水将轮胎冲洗干净，不得带渣出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（2）燃油机械及运输车辆尾气</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运输车辆和燃油动力机械会产生燃烧尾气，施工期机械尾气的排放主要是流动污染源。机械尾气的排放与机械的性能和燃料的质量关系很大。燃用合格油品的机械排放尾气对周围环境影响不大。</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（3）喷漆废气</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设备、管线安装时要经过除锈、喷漆作业，喷漆过程中会产生废气，这种含有有害物质的废气会对局部作业环境产生影响，需要加以控制。根据同类工程的影响预测表明，由于喷漆作业时间短，工程远离环境敏感目标，故对环境影响较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施工期水环境影响分析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施工废水包括试压废水、机械设备洗涤水等。生活污水主要是施工人员生活污水。</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期产生的施工废水有：各种施工机械设备产生的带有油污的冷却及洗涤用水；施工现场清洗废水；设备、管道试压废水。由于施工活动内容不同，所排废水中的污染物不同。清洗废水、试压废水中的主要污染物是悬浮物，基本上不含有害物质。废水中悬浮物的收集在沉淀池后就可以除去，经沉淀后可以重复利用或外排；机械设备产生的废水中的主要污染物是石油类，对这类废水应减少排放量，并将产生的含油废水集中收集后，进行无害化处理，则施工废水可得到妥善处理和达标排放。对周边水体影响小。</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施工人员日常生活产生的生活污水主要污染物是COD、NH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和SS等，废水量不大，可经化粪池处理后，沿现有管网进入巴陵石化分公司污水处理厂。</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施工期声环境影响分析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（1）施工噪声</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噪声具有噪声强、阶段性、临时性、突发性和不固定性的特点。施工作业噪声主要指一些零星的敲打声、装卸车辆的撞击声、拆装模板的撞击声，多为瞬间噪声，施工车辆的噪声属于交通噪声，对声环境影响最大的是机械噪声，由于施工设备位置不断变化，同一施工阶段不同时间设备运行数量亦有波动，因此很难确切预测施工场地各场界噪声值，经类比调查，各类施工机械噪声源及其影响情况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_Ref52267229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noBreakHyphen/>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，施工场界环境噪声排放标准限值见下表所示。</w:t>
      </w:r>
    </w:p>
    <w:p>
      <w:pPr>
        <w:keepNext/>
        <w:jc w:val="center"/>
        <w:rPr>
          <w:b/>
          <w:color w:val="000000" w:themeColor="text1"/>
          <w14:textFill>
            <w14:solidFill>
              <w14:schemeClr w14:val="tx1"/>
            </w14:solidFill>
          </w14:textFill>
        </w:rPr>
      </w:pPr>
      <w:bookmarkStart w:id="480" w:name="_Ref52267229"/>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bookmarkEnd w:id="480"/>
      <w:r>
        <w:rPr>
          <w:b/>
          <w:color w:val="000000" w:themeColor="text1"/>
          <w14:textFill>
            <w14:solidFill>
              <w14:schemeClr w14:val="tx1"/>
            </w14:solidFill>
          </w14:textFill>
        </w:rPr>
        <w:t xml:space="preserve">  施工机械噪声预测结果</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11"/>
        <w:gridCol w:w="1637"/>
        <w:gridCol w:w="598"/>
        <w:gridCol w:w="863"/>
        <w:gridCol w:w="870"/>
        <w:gridCol w:w="865"/>
        <w:gridCol w:w="868"/>
        <w:gridCol w:w="802"/>
        <w:gridCol w:w="796"/>
        <w:gridCol w:w="81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vMerge w:val="restar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序号</w:t>
            </w:r>
          </w:p>
        </w:tc>
        <w:tc>
          <w:tcPr>
            <w:tcW w:w="907" w:type="pct"/>
            <w:vMerge w:val="restart"/>
            <w:noWrap w:val="0"/>
            <w:vAlign w:val="center"/>
          </w:tcPr>
          <w:p>
            <w:pPr>
              <w:pStyle w:val="112"/>
              <w:keepNext w:val="0"/>
              <w:keepLines w:val="0"/>
              <w:suppressLineNumbers w:val="0"/>
              <w:adjustRightInd w:val="0"/>
              <w:snapToGrid w:val="0"/>
              <w:spacing w:before="0" w:beforeAutospacing="0" w:after="0" w:afterAutospacing="0"/>
              <w:ind w:left="476" w:right="0"/>
              <w:jc w:val="both"/>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机械名称</w:t>
            </w:r>
          </w:p>
        </w:tc>
        <w:tc>
          <w:tcPr>
            <w:tcW w:w="3588" w:type="pct"/>
            <w:gridSpan w:val="8"/>
            <w:noWrap w:val="0"/>
            <w:vAlign w:val="center"/>
          </w:tcPr>
          <w:p>
            <w:pPr>
              <w:pStyle w:val="112"/>
              <w:keepNext w:val="0"/>
              <w:keepLines w:val="0"/>
              <w:suppressLineNumbers w:val="0"/>
              <w:adjustRightInd w:val="0"/>
              <w:snapToGrid w:val="0"/>
              <w:spacing w:before="0" w:beforeAutospacing="0" w:after="0" w:afterAutospacing="0"/>
              <w:ind w:left="1493"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距机械不同距离的噪声值 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vMerge w:val="continue"/>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p>
        </w:tc>
        <w:tc>
          <w:tcPr>
            <w:tcW w:w="907"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331"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5m</w:t>
            </w:r>
          </w:p>
        </w:tc>
        <w:tc>
          <w:tcPr>
            <w:tcW w:w="478"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10m</w:t>
            </w:r>
          </w:p>
        </w:tc>
        <w:tc>
          <w:tcPr>
            <w:tcW w:w="482" w:type="pct"/>
            <w:noWrap w:val="0"/>
            <w:vAlign w:val="center"/>
          </w:tcPr>
          <w:p>
            <w:pPr>
              <w:pStyle w:val="112"/>
              <w:keepNext w:val="0"/>
              <w:keepLines w:val="0"/>
              <w:suppressLineNumbers w:val="0"/>
              <w:adjustRightInd w:val="0"/>
              <w:snapToGrid w:val="0"/>
              <w:spacing w:before="67" w:beforeAutospacing="0" w:after="0" w:afterAutospacing="0"/>
              <w:ind w:left="181" w:right="142"/>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20m</w:t>
            </w:r>
          </w:p>
        </w:tc>
        <w:tc>
          <w:tcPr>
            <w:tcW w:w="479" w:type="pct"/>
            <w:noWrap w:val="0"/>
            <w:vAlign w:val="center"/>
          </w:tcPr>
          <w:p>
            <w:pPr>
              <w:pStyle w:val="112"/>
              <w:keepNext w:val="0"/>
              <w:keepLines w:val="0"/>
              <w:suppressLineNumbers w:val="0"/>
              <w:adjustRightInd w:val="0"/>
              <w:snapToGrid w:val="0"/>
              <w:spacing w:before="67" w:beforeAutospacing="0" w:after="0" w:afterAutospacing="0"/>
              <w:ind w:left="181"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40m</w:t>
            </w:r>
          </w:p>
        </w:tc>
        <w:tc>
          <w:tcPr>
            <w:tcW w:w="481" w:type="pct"/>
            <w:noWrap w:val="0"/>
            <w:vAlign w:val="center"/>
          </w:tcPr>
          <w:p>
            <w:pPr>
              <w:pStyle w:val="112"/>
              <w:keepNext w:val="0"/>
              <w:keepLines w:val="0"/>
              <w:suppressLineNumbers w:val="0"/>
              <w:adjustRightInd w:val="0"/>
              <w:snapToGrid w:val="0"/>
              <w:spacing w:before="67" w:beforeAutospacing="0" w:after="0" w:afterAutospacing="0"/>
              <w:ind w:left="181" w:right="141"/>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50m</w:t>
            </w:r>
          </w:p>
        </w:tc>
        <w:tc>
          <w:tcPr>
            <w:tcW w:w="444" w:type="pct"/>
            <w:noWrap w:val="0"/>
            <w:vAlign w:val="center"/>
          </w:tcPr>
          <w:p>
            <w:pPr>
              <w:pStyle w:val="112"/>
              <w:keepNext w:val="0"/>
              <w:keepLines w:val="0"/>
              <w:suppressLineNumbers w:val="0"/>
              <w:adjustRightInd w:val="0"/>
              <w:snapToGrid w:val="0"/>
              <w:spacing w:before="67" w:beforeAutospacing="0" w:after="0" w:afterAutospacing="0"/>
              <w:ind w:left="100" w:right="62"/>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100m</w:t>
            </w:r>
          </w:p>
        </w:tc>
        <w:tc>
          <w:tcPr>
            <w:tcW w:w="441" w:type="pct"/>
            <w:noWrap w:val="0"/>
            <w:vAlign w:val="center"/>
          </w:tcPr>
          <w:p>
            <w:pPr>
              <w:pStyle w:val="112"/>
              <w:keepNext w:val="0"/>
              <w:keepLines w:val="0"/>
              <w:suppressLineNumbers w:val="0"/>
              <w:adjustRightInd w:val="0"/>
              <w:snapToGrid w:val="0"/>
              <w:spacing w:before="67" w:beforeAutospacing="0" w:after="0" w:afterAutospacing="0"/>
              <w:ind w:left="99" w:right="5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150m</w:t>
            </w:r>
          </w:p>
        </w:tc>
        <w:tc>
          <w:tcPr>
            <w:tcW w:w="452" w:type="pct"/>
            <w:noWrap w:val="0"/>
            <w:vAlign w:val="center"/>
          </w:tcPr>
          <w:p>
            <w:pPr>
              <w:pStyle w:val="112"/>
              <w:keepNext w:val="0"/>
              <w:keepLines w:val="0"/>
              <w:suppressLineNumbers w:val="0"/>
              <w:adjustRightInd w:val="0"/>
              <w:snapToGrid w:val="0"/>
              <w:spacing w:before="67" w:beforeAutospacing="0" w:after="0" w:afterAutospacing="0"/>
              <w:ind w:left="108" w:right="5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200m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w:t>
            </w:r>
          </w:p>
        </w:tc>
        <w:tc>
          <w:tcPr>
            <w:tcW w:w="907" w:type="pct"/>
            <w:noWrap w:val="0"/>
            <w:vAlign w:val="center"/>
          </w:tcPr>
          <w:p>
            <w:pPr>
              <w:pStyle w:val="112"/>
              <w:keepNext w:val="0"/>
              <w:keepLines w:val="0"/>
              <w:suppressLineNumbers w:val="0"/>
              <w:adjustRightInd w:val="0"/>
              <w:snapToGrid w:val="0"/>
              <w:spacing w:before="0" w:beforeAutospacing="0" w:after="0" w:afterAutospacing="0"/>
              <w:ind w:left="156" w:right="12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振捣机</w:t>
            </w:r>
          </w:p>
        </w:tc>
        <w:tc>
          <w:tcPr>
            <w:tcW w:w="331"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84</w:t>
            </w:r>
          </w:p>
        </w:tc>
        <w:tc>
          <w:tcPr>
            <w:tcW w:w="478" w:type="pct"/>
            <w:noWrap w:val="0"/>
            <w:vAlign w:val="center"/>
          </w:tcPr>
          <w:p>
            <w:pPr>
              <w:pStyle w:val="112"/>
              <w:keepNext w:val="0"/>
              <w:keepLines w:val="0"/>
              <w:suppressLineNumbers w:val="0"/>
              <w:adjustRightInd w:val="0"/>
              <w:snapToGrid w:val="0"/>
              <w:spacing w:before="0" w:beforeAutospacing="0" w:after="0" w:afterAutospacing="0"/>
              <w:ind w:left="178"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78</w:t>
            </w:r>
          </w:p>
        </w:tc>
        <w:tc>
          <w:tcPr>
            <w:tcW w:w="482" w:type="pct"/>
            <w:noWrap w:val="0"/>
            <w:vAlign w:val="center"/>
          </w:tcPr>
          <w:p>
            <w:pPr>
              <w:pStyle w:val="112"/>
              <w:keepNext w:val="0"/>
              <w:keepLines w:val="0"/>
              <w:suppressLineNumbers w:val="0"/>
              <w:adjustRightInd w:val="0"/>
              <w:snapToGrid w:val="0"/>
              <w:spacing w:before="0" w:beforeAutospacing="0" w:after="0" w:afterAutospacing="0"/>
              <w:ind w:left="179"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w:t>
            </w:r>
          </w:p>
        </w:tc>
        <w:tc>
          <w:tcPr>
            <w:tcW w:w="479" w:type="pct"/>
            <w:noWrap w:val="0"/>
            <w:vAlign w:val="center"/>
          </w:tcPr>
          <w:p>
            <w:pPr>
              <w:pStyle w:val="112"/>
              <w:keepNext w:val="0"/>
              <w:keepLines w:val="0"/>
              <w:suppressLineNumbers w:val="0"/>
              <w:adjustRightInd w:val="0"/>
              <w:snapToGrid w:val="0"/>
              <w:spacing w:before="0" w:beforeAutospacing="0" w:after="0" w:afterAutospacing="0"/>
              <w:ind w:left="179"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w:t>
            </w:r>
          </w:p>
        </w:tc>
        <w:tc>
          <w:tcPr>
            <w:tcW w:w="481" w:type="pct"/>
            <w:noWrap w:val="0"/>
            <w:vAlign w:val="center"/>
          </w:tcPr>
          <w:p>
            <w:pPr>
              <w:pStyle w:val="112"/>
              <w:keepNext w:val="0"/>
              <w:keepLines w:val="0"/>
              <w:suppressLineNumbers w:val="0"/>
              <w:adjustRightInd w:val="0"/>
              <w:snapToGrid w:val="0"/>
              <w:spacing w:before="0" w:beforeAutospacing="0" w:after="0" w:afterAutospacing="0"/>
              <w:ind w:left="180"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w:t>
            </w:r>
          </w:p>
        </w:tc>
        <w:tc>
          <w:tcPr>
            <w:tcW w:w="444" w:type="pct"/>
            <w:noWrap w:val="0"/>
            <w:vAlign w:val="center"/>
          </w:tcPr>
          <w:p>
            <w:pPr>
              <w:pStyle w:val="112"/>
              <w:keepNext w:val="0"/>
              <w:keepLines w:val="0"/>
              <w:suppressLineNumbers w:val="0"/>
              <w:adjustRightInd w:val="0"/>
              <w:snapToGrid w:val="0"/>
              <w:spacing w:before="0" w:beforeAutospacing="0" w:after="0" w:afterAutospacing="0"/>
              <w:ind w:left="100"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58</w:t>
            </w:r>
          </w:p>
        </w:tc>
        <w:tc>
          <w:tcPr>
            <w:tcW w:w="441" w:type="pct"/>
            <w:noWrap w:val="0"/>
            <w:vAlign w:val="center"/>
          </w:tcPr>
          <w:p>
            <w:pPr>
              <w:pStyle w:val="112"/>
              <w:keepNext w:val="0"/>
              <w:keepLines w:val="0"/>
              <w:suppressLineNumbers w:val="0"/>
              <w:adjustRightInd w:val="0"/>
              <w:snapToGrid w:val="0"/>
              <w:spacing w:before="0" w:beforeAutospacing="0" w:after="0" w:afterAutospacing="0"/>
              <w:ind w:left="99"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w:t>
            </w:r>
          </w:p>
        </w:tc>
        <w:tc>
          <w:tcPr>
            <w:tcW w:w="452" w:type="pct"/>
            <w:noWrap w:val="0"/>
            <w:vAlign w:val="center"/>
          </w:tcPr>
          <w:p>
            <w:pPr>
              <w:pStyle w:val="112"/>
              <w:keepNext w:val="0"/>
              <w:keepLines w:val="0"/>
              <w:suppressLineNumbers w:val="0"/>
              <w:adjustRightInd w:val="0"/>
              <w:snapToGrid w:val="0"/>
              <w:spacing w:before="0" w:beforeAutospacing="0" w:after="0" w:afterAutospacing="0"/>
              <w:ind w:left="100" w:right="5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2</w:t>
            </w:r>
          </w:p>
        </w:tc>
        <w:tc>
          <w:tcPr>
            <w:tcW w:w="907" w:type="pct"/>
            <w:noWrap w:val="0"/>
            <w:vAlign w:val="center"/>
          </w:tcPr>
          <w:p>
            <w:pPr>
              <w:pStyle w:val="112"/>
              <w:keepNext w:val="0"/>
              <w:keepLines w:val="0"/>
              <w:suppressLineNumbers w:val="0"/>
              <w:adjustRightInd w:val="0"/>
              <w:snapToGrid w:val="0"/>
              <w:spacing w:before="0" w:beforeAutospacing="0" w:after="0" w:afterAutospacing="0"/>
              <w:ind w:left="156" w:right="12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卡车</w:t>
            </w:r>
          </w:p>
        </w:tc>
        <w:tc>
          <w:tcPr>
            <w:tcW w:w="331"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92</w:t>
            </w:r>
          </w:p>
        </w:tc>
        <w:tc>
          <w:tcPr>
            <w:tcW w:w="478" w:type="pct"/>
            <w:noWrap w:val="0"/>
            <w:vAlign w:val="center"/>
          </w:tcPr>
          <w:p>
            <w:pPr>
              <w:pStyle w:val="112"/>
              <w:keepNext w:val="0"/>
              <w:keepLines w:val="0"/>
              <w:suppressLineNumbers w:val="0"/>
              <w:adjustRightInd w:val="0"/>
              <w:snapToGrid w:val="0"/>
              <w:spacing w:before="0" w:beforeAutospacing="0" w:after="0" w:afterAutospacing="0"/>
              <w:ind w:left="178"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86</w:t>
            </w:r>
          </w:p>
        </w:tc>
        <w:tc>
          <w:tcPr>
            <w:tcW w:w="482" w:type="pct"/>
            <w:noWrap w:val="0"/>
            <w:vAlign w:val="center"/>
          </w:tcPr>
          <w:p>
            <w:pPr>
              <w:pStyle w:val="112"/>
              <w:keepNext w:val="0"/>
              <w:keepLines w:val="0"/>
              <w:suppressLineNumbers w:val="0"/>
              <w:adjustRightInd w:val="0"/>
              <w:snapToGrid w:val="0"/>
              <w:spacing w:before="0" w:beforeAutospacing="0" w:after="0" w:afterAutospacing="0"/>
              <w:ind w:left="179"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c>
          <w:tcPr>
            <w:tcW w:w="479" w:type="pct"/>
            <w:noWrap w:val="0"/>
            <w:vAlign w:val="center"/>
          </w:tcPr>
          <w:p>
            <w:pPr>
              <w:pStyle w:val="112"/>
              <w:keepNext w:val="0"/>
              <w:keepLines w:val="0"/>
              <w:suppressLineNumbers w:val="0"/>
              <w:adjustRightInd w:val="0"/>
              <w:snapToGrid w:val="0"/>
              <w:spacing w:before="0" w:beforeAutospacing="0" w:after="0" w:afterAutospacing="0"/>
              <w:ind w:left="179"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74</w:t>
            </w:r>
          </w:p>
        </w:tc>
        <w:tc>
          <w:tcPr>
            <w:tcW w:w="481" w:type="pct"/>
            <w:noWrap w:val="0"/>
            <w:vAlign w:val="center"/>
          </w:tcPr>
          <w:p>
            <w:pPr>
              <w:pStyle w:val="112"/>
              <w:keepNext w:val="0"/>
              <w:keepLines w:val="0"/>
              <w:suppressLineNumbers w:val="0"/>
              <w:adjustRightInd w:val="0"/>
              <w:snapToGrid w:val="0"/>
              <w:spacing w:before="0" w:beforeAutospacing="0" w:after="0" w:afterAutospacing="0"/>
              <w:ind w:left="180"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w:t>
            </w:r>
          </w:p>
        </w:tc>
        <w:tc>
          <w:tcPr>
            <w:tcW w:w="444" w:type="pct"/>
            <w:noWrap w:val="0"/>
            <w:vAlign w:val="center"/>
          </w:tcPr>
          <w:p>
            <w:pPr>
              <w:pStyle w:val="112"/>
              <w:keepNext w:val="0"/>
              <w:keepLines w:val="0"/>
              <w:suppressLineNumbers w:val="0"/>
              <w:adjustRightInd w:val="0"/>
              <w:snapToGrid w:val="0"/>
              <w:spacing w:before="0" w:beforeAutospacing="0" w:after="0" w:afterAutospacing="0"/>
              <w:ind w:left="100"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w:t>
            </w:r>
          </w:p>
        </w:tc>
        <w:tc>
          <w:tcPr>
            <w:tcW w:w="441" w:type="pct"/>
            <w:noWrap w:val="0"/>
            <w:vAlign w:val="center"/>
          </w:tcPr>
          <w:p>
            <w:pPr>
              <w:pStyle w:val="112"/>
              <w:keepNext w:val="0"/>
              <w:keepLines w:val="0"/>
              <w:suppressLineNumbers w:val="0"/>
              <w:adjustRightInd w:val="0"/>
              <w:snapToGrid w:val="0"/>
              <w:spacing w:before="0" w:beforeAutospacing="0" w:after="0" w:afterAutospacing="0"/>
              <w:ind w:left="99"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62</w:t>
            </w:r>
          </w:p>
        </w:tc>
        <w:tc>
          <w:tcPr>
            <w:tcW w:w="452" w:type="pct"/>
            <w:noWrap w:val="0"/>
            <w:vAlign w:val="center"/>
          </w:tcPr>
          <w:p>
            <w:pPr>
              <w:pStyle w:val="112"/>
              <w:keepNext w:val="0"/>
              <w:keepLines w:val="0"/>
              <w:suppressLineNumbers w:val="0"/>
              <w:adjustRightInd w:val="0"/>
              <w:snapToGrid w:val="0"/>
              <w:spacing w:before="0" w:beforeAutospacing="0" w:after="0" w:afterAutospacing="0"/>
              <w:ind w:left="100" w:right="5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3</w:t>
            </w:r>
          </w:p>
        </w:tc>
        <w:tc>
          <w:tcPr>
            <w:tcW w:w="907" w:type="pct"/>
            <w:noWrap w:val="0"/>
            <w:vAlign w:val="center"/>
          </w:tcPr>
          <w:p>
            <w:pPr>
              <w:pStyle w:val="112"/>
              <w:keepNext w:val="0"/>
              <w:keepLines w:val="0"/>
              <w:suppressLineNumbers w:val="0"/>
              <w:adjustRightInd w:val="0"/>
              <w:snapToGrid w:val="0"/>
              <w:spacing w:before="0" w:beforeAutospacing="0" w:after="0" w:afterAutospacing="0"/>
              <w:ind w:left="156" w:right="121"/>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移动式吊车</w:t>
            </w:r>
          </w:p>
        </w:tc>
        <w:tc>
          <w:tcPr>
            <w:tcW w:w="331"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96</w:t>
            </w:r>
          </w:p>
        </w:tc>
        <w:tc>
          <w:tcPr>
            <w:tcW w:w="478" w:type="pct"/>
            <w:noWrap w:val="0"/>
            <w:vAlign w:val="center"/>
          </w:tcPr>
          <w:p>
            <w:pPr>
              <w:pStyle w:val="112"/>
              <w:keepNext w:val="0"/>
              <w:keepLines w:val="0"/>
              <w:suppressLineNumbers w:val="0"/>
              <w:adjustRightInd w:val="0"/>
              <w:snapToGrid w:val="0"/>
              <w:spacing w:before="0" w:beforeAutospacing="0" w:after="0" w:afterAutospacing="0"/>
              <w:ind w:left="178"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w:t>
            </w:r>
          </w:p>
        </w:tc>
        <w:tc>
          <w:tcPr>
            <w:tcW w:w="482" w:type="pct"/>
            <w:noWrap w:val="0"/>
            <w:vAlign w:val="center"/>
          </w:tcPr>
          <w:p>
            <w:pPr>
              <w:pStyle w:val="112"/>
              <w:keepNext w:val="0"/>
              <w:keepLines w:val="0"/>
              <w:suppressLineNumbers w:val="0"/>
              <w:adjustRightInd w:val="0"/>
              <w:snapToGrid w:val="0"/>
              <w:spacing w:before="0" w:beforeAutospacing="0" w:after="0" w:afterAutospacing="0"/>
              <w:ind w:left="179"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w:t>
            </w:r>
          </w:p>
        </w:tc>
        <w:tc>
          <w:tcPr>
            <w:tcW w:w="479" w:type="pct"/>
            <w:noWrap w:val="0"/>
            <w:vAlign w:val="center"/>
          </w:tcPr>
          <w:p>
            <w:pPr>
              <w:pStyle w:val="112"/>
              <w:keepNext w:val="0"/>
              <w:keepLines w:val="0"/>
              <w:suppressLineNumbers w:val="0"/>
              <w:adjustRightInd w:val="0"/>
              <w:snapToGrid w:val="0"/>
              <w:spacing w:before="0" w:beforeAutospacing="0" w:after="0" w:afterAutospacing="0"/>
              <w:ind w:left="179"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78</w:t>
            </w:r>
          </w:p>
        </w:tc>
        <w:tc>
          <w:tcPr>
            <w:tcW w:w="481" w:type="pct"/>
            <w:noWrap w:val="0"/>
            <w:vAlign w:val="center"/>
          </w:tcPr>
          <w:p>
            <w:pPr>
              <w:pStyle w:val="112"/>
              <w:keepNext w:val="0"/>
              <w:keepLines w:val="0"/>
              <w:suppressLineNumbers w:val="0"/>
              <w:adjustRightInd w:val="0"/>
              <w:snapToGrid w:val="0"/>
              <w:spacing w:before="0" w:beforeAutospacing="0" w:after="0" w:afterAutospacing="0"/>
              <w:ind w:left="180"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76</w:t>
            </w:r>
          </w:p>
        </w:tc>
        <w:tc>
          <w:tcPr>
            <w:tcW w:w="444" w:type="pct"/>
            <w:noWrap w:val="0"/>
            <w:vAlign w:val="center"/>
          </w:tcPr>
          <w:p>
            <w:pPr>
              <w:pStyle w:val="112"/>
              <w:keepNext w:val="0"/>
              <w:keepLines w:val="0"/>
              <w:suppressLineNumbers w:val="0"/>
              <w:adjustRightInd w:val="0"/>
              <w:snapToGrid w:val="0"/>
              <w:spacing w:before="0" w:beforeAutospacing="0" w:after="0" w:afterAutospacing="0"/>
              <w:ind w:left="100"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441" w:type="pct"/>
            <w:noWrap w:val="0"/>
            <w:vAlign w:val="center"/>
          </w:tcPr>
          <w:p>
            <w:pPr>
              <w:pStyle w:val="112"/>
              <w:keepNext w:val="0"/>
              <w:keepLines w:val="0"/>
              <w:suppressLineNumbers w:val="0"/>
              <w:adjustRightInd w:val="0"/>
              <w:snapToGrid w:val="0"/>
              <w:spacing w:before="0" w:beforeAutospacing="0" w:after="0" w:afterAutospacing="0"/>
              <w:ind w:left="99"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w:t>
            </w:r>
          </w:p>
        </w:tc>
        <w:tc>
          <w:tcPr>
            <w:tcW w:w="452" w:type="pct"/>
            <w:noWrap w:val="0"/>
            <w:vAlign w:val="center"/>
          </w:tcPr>
          <w:p>
            <w:pPr>
              <w:pStyle w:val="112"/>
              <w:keepNext w:val="0"/>
              <w:keepLines w:val="0"/>
              <w:suppressLineNumbers w:val="0"/>
              <w:adjustRightInd w:val="0"/>
              <w:snapToGrid w:val="0"/>
              <w:spacing w:before="0" w:beforeAutospacing="0" w:after="0" w:afterAutospacing="0"/>
              <w:ind w:left="100" w:right="5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4</w:t>
            </w:r>
          </w:p>
        </w:tc>
        <w:tc>
          <w:tcPr>
            <w:tcW w:w="907" w:type="pct"/>
            <w:noWrap w:val="0"/>
            <w:vAlign w:val="center"/>
          </w:tcPr>
          <w:p>
            <w:pPr>
              <w:pStyle w:val="112"/>
              <w:keepNext w:val="0"/>
              <w:keepLines w:val="0"/>
              <w:suppressLineNumbers w:val="0"/>
              <w:adjustRightInd w:val="0"/>
              <w:snapToGrid w:val="0"/>
              <w:spacing w:before="0" w:beforeAutospacing="0" w:after="0" w:afterAutospacing="0"/>
              <w:ind w:left="156" w:right="12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推土机</w:t>
            </w:r>
          </w:p>
        </w:tc>
        <w:tc>
          <w:tcPr>
            <w:tcW w:w="331"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86</w:t>
            </w:r>
          </w:p>
        </w:tc>
        <w:tc>
          <w:tcPr>
            <w:tcW w:w="478" w:type="pct"/>
            <w:noWrap w:val="0"/>
            <w:vAlign w:val="center"/>
          </w:tcPr>
          <w:p>
            <w:pPr>
              <w:pStyle w:val="112"/>
              <w:keepNext w:val="0"/>
              <w:keepLines w:val="0"/>
              <w:suppressLineNumbers w:val="0"/>
              <w:adjustRightInd w:val="0"/>
              <w:snapToGrid w:val="0"/>
              <w:spacing w:before="0" w:beforeAutospacing="0" w:after="0" w:afterAutospacing="0"/>
              <w:ind w:left="178"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c>
          <w:tcPr>
            <w:tcW w:w="482" w:type="pct"/>
            <w:noWrap w:val="0"/>
            <w:vAlign w:val="center"/>
          </w:tcPr>
          <w:p>
            <w:pPr>
              <w:pStyle w:val="112"/>
              <w:keepNext w:val="0"/>
              <w:keepLines w:val="0"/>
              <w:suppressLineNumbers w:val="0"/>
              <w:adjustRightInd w:val="0"/>
              <w:snapToGrid w:val="0"/>
              <w:spacing w:before="0" w:beforeAutospacing="0" w:after="0" w:afterAutospacing="0"/>
              <w:ind w:left="179"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74</w:t>
            </w:r>
          </w:p>
        </w:tc>
        <w:tc>
          <w:tcPr>
            <w:tcW w:w="479" w:type="pct"/>
            <w:noWrap w:val="0"/>
            <w:vAlign w:val="center"/>
          </w:tcPr>
          <w:p>
            <w:pPr>
              <w:pStyle w:val="112"/>
              <w:keepNext w:val="0"/>
              <w:keepLines w:val="0"/>
              <w:suppressLineNumbers w:val="0"/>
              <w:adjustRightInd w:val="0"/>
              <w:snapToGrid w:val="0"/>
              <w:spacing w:before="0" w:beforeAutospacing="0" w:after="0" w:afterAutospacing="0"/>
              <w:ind w:left="179"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68</w:t>
            </w:r>
          </w:p>
        </w:tc>
        <w:tc>
          <w:tcPr>
            <w:tcW w:w="481" w:type="pct"/>
            <w:noWrap w:val="0"/>
            <w:vAlign w:val="center"/>
          </w:tcPr>
          <w:p>
            <w:pPr>
              <w:pStyle w:val="112"/>
              <w:keepNext w:val="0"/>
              <w:keepLines w:val="0"/>
              <w:suppressLineNumbers w:val="0"/>
              <w:adjustRightInd w:val="0"/>
              <w:snapToGrid w:val="0"/>
              <w:spacing w:before="0" w:beforeAutospacing="0" w:after="0" w:afterAutospacing="0"/>
              <w:ind w:left="180"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w:t>
            </w:r>
          </w:p>
        </w:tc>
        <w:tc>
          <w:tcPr>
            <w:tcW w:w="444" w:type="pct"/>
            <w:noWrap w:val="0"/>
            <w:vAlign w:val="center"/>
          </w:tcPr>
          <w:p>
            <w:pPr>
              <w:pStyle w:val="112"/>
              <w:keepNext w:val="0"/>
              <w:keepLines w:val="0"/>
              <w:suppressLineNumbers w:val="0"/>
              <w:adjustRightInd w:val="0"/>
              <w:snapToGrid w:val="0"/>
              <w:spacing w:before="0" w:beforeAutospacing="0" w:after="0" w:afterAutospacing="0"/>
              <w:ind w:left="100"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441" w:type="pct"/>
            <w:noWrap w:val="0"/>
            <w:vAlign w:val="center"/>
          </w:tcPr>
          <w:p>
            <w:pPr>
              <w:pStyle w:val="112"/>
              <w:keepNext w:val="0"/>
              <w:keepLines w:val="0"/>
              <w:suppressLineNumbers w:val="0"/>
              <w:adjustRightInd w:val="0"/>
              <w:snapToGrid w:val="0"/>
              <w:spacing w:before="0" w:beforeAutospacing="0" w:after="0" w:afterAutospacing="0"/>
              <w:ind w:left="99"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56</w:t>
            </w:r>
          </w:p>
        </w:tc>
        <w:tc>
          <w:tcPr>
            <w:tcW w:w="452" w:type="pct"/>
            <w:noWrap w:val="0"/>
            <w:vAlign w:val="center"/>
          </w:tcPr>
          <w:p>
            <w:pPr>
              <w:pStyle w:val="112"/>
              <w:keepNext w:val="0"/>
              <w:keepLines w:val="0"/>
              <w:suppressLineNumbers w:val="0"/>
              <w:adjustRightInd w:val="0"/>
              <w:snapToGrid w:val="0"/>
              <w:spacing w:before="0" w:beforeAutospacing="0" w:after="0" w:afterAutospacing="0"/>
              <w:ind w:left="100" w:right="5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5</w:t>
            </w:r>
          </w:p>
        </w:tc>
        <w:tc>
          <w:tcPr>
            <w:tcW w:w="907" w:type="pct"/>
            <w:noWrap w:val="0"/>
            <w:vAlign w:val="center"/>
          </w:tcPr>
          <w:p>
            <w:pPr>
              <w:pStyle w:val="112"/>
              <w:keepNext w:val="0"/>
              <w:keepLines w:val="0"/>
              <w:suppressLineNumbers w:val="0"/>
              <w:adjustRightInd w:val="0"/>
              <w:snapToGrid w:val="0"/>
              <w:spacing w:before="0" w:beforeAutospacing="0" w:after="0" w:afterAutospacing="0"/>
              <w:ind w:left="156" w:right="12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挖掘机</w:t>
            </w:r>
          </w:p>
        </w:tc>
        <w:tc>
          <w:tcPr>
            <w:tcW w:w="331"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84</w:t>
            </w:r>
          </w:p>
        </w:tc>
        <w:tc>
          <w:tcPr>
            <w:tcW w:w="478" w:type="pct"/>
            <w:noWrap w:val="0"/>
            <w:vAlign w:val="center"/>
          </w:tcPr>
          <w:p>
            <w:pPr>
              <w:pStyle w:val="112"/>
              <w:keepNext w:val="0"/>
              <w:keepLines w:val="0"/>
              <w:suppressLineNumbers w:val="0"/>
              <w:adjustRightInd w:val="0"/>
              <w:snapToGrid w:val="0"/>
              <w:spacing w:before="0" w:beforeAutospacing="0" w:after="0" w:afterAutospacing="0"/>
              <w:ind w:left="178"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78</w:t>
            </w:r>
          </w:p>
        </w:tc>
        <w:tc>
          <w:tcPr>
            <w:tcW w:w="482" w:type="pct"/>
            <w:noWrap w:val="0"/>
            <w:vAlign w:val="center"/>
          </w:tcPr>
          <w:p>
            <w:pPr>
              <w:pStyle w:val="112"/>
              <w:keepNext w:val="0"/>
              <w:keepLines w:val="0"/>
              <w:suppressLineNumbers w:val="0"/>
              <w:adjustRightInd w:val="0"/>
              <w:snapToGrid w:val="0"/>
              <w:spacing w:before="0" w:beforeAutospacing="0" w:after="0" w:afterAutospacing="0"/>
              <w:ind w:left="179"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w:t>
            </w:r>
          </w:p>
        </w:tc>
        <w:tc>
          <w:tcPr>
            <w:tcW w:w="479" w:type="pct"/>
            <w:noWrap w:val="0"/>
            <w:vAlign w:val="center"/>
          </w:tcPr>
          <w:p>
            <w:pPr>
              <w:pStyle w:val="112"/>
              <w:keepNext w:val="0"/>
              <w:keepLines w:val="0"/>
              <w:suppressLineNumbers w:val="0"/>
              <w:adjustRightInd w:val="0"/>
              <w:snapToGrid w:val="0"/>
              <w:spacing w:before="0" w:beforeAutospacing="0" w:after="0" w:afterAutospacing="0"/>
              <w:ind w:left="179"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66</w:t>
            </w:r>
          </w:p>
        </w:tc>
        <w:tc>
          <w:tcPr>
            <w:tcW w:w="481" w:type="pct"/>
            <w:noWrap w:val="0"/>
            <w:vAlign w:val="center"/>
          </w:tcPr>
          <w:p>
            <w:pPr>
              <w:pStyle w:val="112"/>
              <w:keepNext w:val="0"/>
              <w:keepLines w:val="0"/>
              <w:suppressLineNumbers w:val="0"/>
              <w:adjustRightInd w:val="0"/>
              <w:snapToGrid w:val="0"/>
              <w:spacing w:before="0" w:beforeAutospacing="0" w:after="0" w:afterAutospacing="0"/>
              <w:ind w:left="180"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w:t>
            </w:r>
          </w:p>
        </w:tc>
        <w:tc>
          <w:tcPr>
            <w:tcW w:w="444" w:type="pct"/>
            <w:noWrap w:val="0"/>
            <w:vAlign w:val="center"/>
          </w:tcPr>
          <w:p>
            <w:pPr>
              <w:pStyle w:val="112"/>
              <w:keepNext w:val="0"/>
              <w:keepLines w:val="0"/>
              <w:suppressLineNumbers w:val="0"/>
              <w:adjustRightInd w:val="0"/>
              <w:snapToGrid w:val="0"/>
              <w:spacing w:before="0" w:beforeAutospacing="0" w:after="0" w:afterAutospacing="0"/>
              <w:ind w:left="100"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58</w:t>
            </w:r>
          </w:p>
        </w:tc>
        <w:tc>
          <w:tcPr>
            <w:tcW w:w="441" w:type="pct"/>
            <w:noWrap w:val="0"/>
            <w:vAlign w:val="center"/>
          </w:tcPr>
          <w:p>
            <w:pPr>
              <w:pStyle w:val="112"/>
              <w:keepNext w:val="0"/>
              <w:keepLines w:val="0"/>
              <w:suppressLineNumbers w:val="0"/>
              <w:adjustRightInd w:val="0"/>
              <w:snapToGrid w:val="0"/>
              <w:spacing w:before="0" w:beforeAutospacing="0" w:after="0" w:afterAutospacing="0"/>
              <w:ind w:left="99"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w:t>
            </w:r>
          </w:p>
        </w:tc>
        <w:tc>
          <w:tcPr>
            <w:tcW w:w="452" w:type="pct"/>
            <w:noWrap w:val="0"/>
            <w:vAlign w:val="center"/>
          </w:tcPr>
          <w:p>
            <w:pPr>
              <w:pStyle w:val="112"/>
              <w:keepNext w:val="0"/>
              <w:keepLines w:val="0"/>
              <w:suppressLineNumbers w:val="0"/>
              <w:adjustRightInd w:val="0"/>
              <w:snapToGrid w:val="0"/>
              <w:spacing w:before="0" w:beforeAutospacing="0" w:after="0" w:afterAutospacing="0"/>
              <w:ind w:left="100" w:right="5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5"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6</w:t>
            </w:r>
          </w:p>
        </w:tc>
        <w:tc>
          <w:tcPr>
            <w:tcW w:w="907" w:type="pct"/>
            <w:noWrap w:val="0"/>
            <w:vAlign w:val="center"/>
          </w:tcPr>
          <w:p>
            <w:pPr>
              <w:pStyle w:val="112"/>
              <w:keepNext w:val="0"/>
              <w:keepLines w:val="0"/>
              <w:suppressLineNumbers w:val="0"/>
              <w:adjustRightInd w:val="0"/>
              <w:snapToGrid w:val="0"/>
              <w:spacing w:before="0" w:beforeAutospacing="0" w:after="0" w:afterAutospacing="0"/>
              <w:ind w:left="156" w:right="12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空压机</w:t>
            </w:r>
          </w:p>
        </w:tc>
        <w:tc>
          <w:tcPr>
            <w:tcW w:w="331" w:type="pct"/>
            <w:noWrap w:val="0"/>
            <w:vAlign w:val="center"/>
          </w:tcPr>
          <w:p>
            <w:pPr>
              <w:pStyle w:val="112"/>
              <w:keepNext w:val="0"/>
              <w:keepLines w:val="0"/>
              <w:suppressLineNumbers w:val="0"/>
              <w:adjustRightInd w:val="0"/>
              <w:snapToGrid w:val="0"/>
              <w:spacing w:before="67" w:beforeAutospacing="0" w:after="0" w:afterAutospacing="0"/>
              <w:ind w:left="180" w:right="138"/>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90</w:t>
            </w:r>
          </w:p>
        </w:tc>
        <w:tc>
          <w:tcPr>
            <w:tcW w:w="478" w:type="pct"/>
            <w:noWrap w:val="0"/>
            <w:vAlign w:val="center"/>
          </w:tcPr>
          <w:p>
            <w:pPr>
              <w:pStyle w:val="112"/>
              <w:keepNext w:val="0"/>
              <w:keepLines w:val="0"/>
              <w:suppressLineNumbers w:val="0"/>
              <w:adjustRightInd w:val="0"/>
              <w:snapToGrid w:val="0"/>
              <w:spacing w:before="0" w:beforeAutospacing="0" w:after="0" w:afterAutospacing="0"/>
              <w:ind w:left="176"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84</w:t>
            </w:r>
          </w:p>
        </w:tc>
        <w:tc>
          <w:tcPr>
            <w:tcW w:w="482" w:type="pct"/>
            <w:noWrap w:val="0"/>
            <w:vAlign w:val="center"/>
          </w:tcPr>
          <w:p>
            <w:pPr>
              <w:pStyle w:val="112"/>
              <w:keepNext w:val="0"/>
              <w:keepLines w:val="0"/>
              <w:suppressLineNumbers w:val="0"/>
              <w:adjustRightInd w:val="0"/>
              <w:snapToGrid w:val="0"/>
              <w:spacing w:before="0" w:beforeAutospacing="0" w:after="0" w:afterAutospacing="0"/>
              <w:ind w:left="179"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78</w:t>
            </w:r>
          </w:p>
        </w:tc>
        <w:tc>
          <w:tcPr>
            <w:tcW w:w="479" w:type="pct"/>
            <w:noWrap w:val="0"/>
            <w:vAlign w:val="center"/>
          </w:tcPr>
          <w:p>
            <w:pPr>
              <w:pStyle w:val="112"/>
              <w:keepNext w:val="0"/>
              <w:keepLines w:val="0"/>
              <w:suppressLineNumbers w:val="0"/>
              <w:adjustRightInd w:val="0"/>
              <w:snapToGrid w:val="0"/>
              <w:spacing w:before="0" w:beforeAutospacing="0" w:after="0" w:afterAutospacing="0"/>
              <w:ind w:left="179" w:right="13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72</w:t>
            </w:r>
          </w:p>
        </w:tc>
        <w:tc>
          <w:tcPr>
            <w:tcW w:w="481" w:type="pct"/>
            <w:noWrap w:val="0"/>
            <w:vAlign w:val="center"/>
          </w:tcPr>
          <w:p>
            <w:pPr>
              <w:pStyle w:val="112"/>
              <w:keepNext w:val="0"/>
              <w:keepLines w:val="0"/>
              <w:suppressLineNumbers w:val="0"/>
              <w:adjustRightInd w:val="0"/>
              <w:snapToGrid w:val="0"/>
              <w:spacing w:before="0" w:beforeAutospacing="0" w:after="0" w:afterAutospacing="0"/>
              <w:ind w:left="180" w:right="14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444" w:type="pct"/>
            <w:noWrap w:val="0"/>
            <w:vAlign w:val="center"/>
          </w:tcPr>
          <w:p>
            <w:pPr>
              <w:pStyle w:val="112"/>
              <w:keepNext w:val="0"/>
              <w:keepLines w:val="0"/>
              <w:suppressLineNumbers w:val="0"/>
              <w:adjustRightInd w:val="0"/>
              <w:snapToGrid w:val="0"/>
              <w:spacing w:before="0" w:beforeAutospacing="0" w:after="0" w:afterAutospacing="0"/>
              <w:ind w:left="100"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64</w:t>
            </w:r>
          </w:p>
        </w:tc>
        <w:tc>
          <w:tcPr>
            <w:tcW w:w="441" w:type="pct"/>
            <w:noWrap w:val="0"/>
            <w:vAlign w:val="center"/>
          </w:tcPr>
          <w:p>
            <w:pPr>
              <w:pStyle w:val="112"/>
              <w:keepNext w:val="0"/>
              <w:keepLines w:val="0"/>
              <w:suppressLineNumbers w:val="0"/>
              <w:adjustRightInd w:val="0"/>
              <w:snapToGrid w:val="0"/>
              <w:spacing w:before="0" w:beforeAutospacing="0" w:after="0" w:afterAutospacing="0"/>
              <w:ind w:left="99"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452" w:type="pct"/>
            <w:noWrap w:val="0"/>
            <w:vAlign w:val="center"/>
          </w:tcPr>
          <w:p>
            <w:pPr>
              <w:pStyle w:val="112"/>
              <w:keepNext w:val="0"/>
              <w:keepLines w:val="0"/>
              <w:suppressLineNumbers w:val="0"/>
              <w:adjustRightInd w:val="0"/>
              <w:snapToGrid w:val="0"/>
              <w:spacing w:before="0" w:beforeAutospacing="0" w:after="0" w:afterAutospacing="0"/>
              <w:ind w:left="100" w:right="5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58</w:t>
            </w:r>
          </w:p>
        </w:tc>
      </w:tr>
    </w:tbl>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施工场界环境噪声排放标准限值  </w:t>
      </w:r>
      <w:r>
        <w:rPr>
          <w:b/>
          <w:bCs/>
          <w:color w:val="000000" w:themeColor="text1"/>
          <w14:textFill>
            <w14:solidFill>
              <w14:schemeClr w14:val="tx1"/>
            </w14:solidFill>
          </w14:textFill>
        </w:rPr>
        <w:t>单位：dB(A)</w:t>
      </w:r>
    </w:p>
    <w:tbl>
      <w:tblPr>
        <w:tblStyle w:val="41"/>
        <w:tblW w:w="4908" w:type="pct"/>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2"/>
        <w:gridCol w:w="4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7"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bCs/>
                <w:color w:val="000000" w:themeColor="text1"/>
                <w:sz w:val="21"/>
                <w14:textFill>
                  <w14:solidFill>
                    <w14:schemeClr w14:val="tx1"/>
                  </w14:solidFill>
                </w14:textFill>
              </w:rPr>
              <w:t>昼间</w:t>
            </w:r>
          </w:p>
        </w:tc>
        <w:tc>
          <w:tcPr>
            <w:tcW w:w="2513" w:type="pct"/>
            <w:noWrap w:val="0"/>
            <w:vAlign w:val="center"/>
          </w:tcPr>
          <w:p>
            <w:pPr>
              <w:pStyle w:val="51"/>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7"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70</w:t>
            </w:r>
          </w:p>
        </w:tc>
        <w:tc>
          <w:tcPr>
            <w:tcW w:w="2513" w:type="pct"/>
            <w:noWrap w:val="0"/>
            <w:vAlign w:val="center"/>
          </w:tcPr>
          <w:p>
            <w:pPr>
              <w:keepNext/>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55</w:t>
            </w:r>
          </w:p>
        </w:tc>
      </w:tr>
    </w:tbl>
    <w:p>
      <w:pPr>
        <w:keepNext/>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预测结果，夜间10：00以后禁止施工，应合理选用低噪声设备，经常对施工设备进行维修保养以免长时间使用增加设备噪声，施工期噪声的影响是暂时施工结束，噪声的影响也随之结束，拟建工程厂界外200m范围内无居民，所以不会扰民。</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（2）交通噪声</w:t>
      </w:r>
    </w:p>
    <w:p>
      <w:pPr>
        <w:keepNext/>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期短期运输量不大，运输车辆少，由此产生的交通噪声影响也比较轻微。因此，施工过程应合理安排路线及时间，尽量避开集中居民区，在经过居民点是应减速慢行，禁鸣喇叭，则可有效控制交通噪声的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施工期固体废物环境影响分析</w:t>
      </w:r>
    </w:p>
    <w:p>
      <w:pPr>
        <w:pStyle w:val="55"/>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建设方提供的资料和现场调查可知，项目拟建地较为平整，建设过程无挖方。施工过程产生的固体废弃物主要有建筑垃圾和施工人员产生的生活垃圾。建筑垃圾和建材损耗产生的垃圾等，包括水泥、废金属、钢筋和钢丝等杂物，建设方对施工中产生的固体废物完全按《中华人民共和国固体废弃物污染防治法》第十六条和第十七条的规定妥善收集、合理处置，可减小对环境的影响。</w:t>
      </w:r>
    </w:p>
    <w:p>
      <w:pPr>
        <w:pStyle w:val="55"/>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生活垃圾主要是施工人员用餐后的废弃饭盒、塑料袋等，产生量较小，送至垃圾桶收集，再由环卫部门统一清运至城市垃圾填埋卫生填埋，采取上诉措施后，可以消除其影响。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施工期生态环境影响分析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巴陵石化分公司炼油部厂区内，施工场地为工业用地，项目建设期不会产生土地利用现状的改变，场地内也无珍稀动植物存在，施工中对土地扰动较小，水土流失量也不大。因此，项目建设期生态影响很小。</w:t>
      </w:r>
    </w:p>
    <w:p>
      <w:pPr>
        <w:pStyle w:val="4"/>
        <w:rPr>
          <w:color w:val="000000" w:themeColor="text1"/>
          <w14:textFill>
            <w14:solidFill>
              <w14:schemeClr w14:val="tx1"/>
            </w14:solidFill>
          </w14:textFill>
        </w:rPr>
      </w:pPr>
      <w:bookmarkStart w:id="481" w:name="_Toc5564"/>
      <w:r>
        <w:rPr>
          <w:color w:val="000000" w:themeColor="text1"/>
          <w14:textFill>
            <w14:solidFill>
              <w14:schemeClr w14:val="tx1"/>
            </w14:solidFill>
          </w14:textFill>
        </w:rPr>
        <w:t>营运期环境影响分析</w:t>
      </w:r>
      <w:bookmarkEnd w:id="481"/>
    </w:p>
    <w:p>
      <w:pPr>
        <w:pStyle w:val="5"/>
        <w:rPr>
          <w:color w:val="000000" w:themeColor="text1"/>
          <w14:textFill>
            <w14:solidFill>
              <w14:schemeClr w14:val="tx1"/>
            </w14:solidFill>
          </w14:textFill>
        </w:rPr>
      </w:pPr>
      <w:r>
        <w:rPr>
          <w:color w:val="000000" w:themeColor="text1"/>
          <w14:textFill>
            <w14:solidFill>
              <w14:schemeClr w14:val="tx1"/>
            </w14:solidFill>
          </w14:textFill>
        </w:rPr>
        <w:t>营运期大气环境影响分析</w:t>
      </w:r>
    </w:p>
    <w:p>
      <w:pPr>
        <w:pStyle w:val="6"/>
        <w:rPr>
          <w:color w:val="000000" w:themeColor="text1"/>
          <w14:textFill>
            <w14:solidFill>
              <w14:schemeClr w14:val="tx1"/>
            </w14:solidFill>
          </w14:textFill>
        </w:rPr>
      </w:pPr>
      <w:r>
        <w:rPr>
          <w:color w:val="000000" w:themeColor="text1"/>
          <w14:textFill>
            <w14:solidFill>
              <w14:schemeClr w14:val="tx1"/>
            </w14:solidFill>
          </w14:textFill>
        </w:rPr>
        <w:t>气象分析</w:t>
      </w:r>
    </w:p>
    <w:p>
      <w:pPr>
        <w:spacing w:line="360" w:lineRule="auto"/>
        <w:ind w:firstLine="482" w:firstLineChars="20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（1）多年气象特征分析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中石化巴陵石油化工有限公司炼油部厂区内，经查询，在环境空气质量模型技术支持服务系统内，距离本项目最近的气象站为临湘气象站，云溪并没有可供使用的气象站。本评价地面气象数据采用岳阳市临湘气象站（57585）数据，该气象站据本项目约19.6km，与本项目区地理特征相似，可以用作本项目气象资料使用。</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根据临湘气象观测站近20年来的气温、气压、湿度、降水量、蒸发量等地面气象要素的统计分析，具体情况如下。</w:t>
      </w:r>
    </w:p>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临湘气象站常规气象项目统计（1999~2018）</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2920"/>
        <w:gridCol w:w="1689"/>
        <w:gridCol w:w="1845"/>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12"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统计项目</w:t>
            </w:r>
          </w:p>
        </w:tc>
        <w:tc>
          <w:tcPr>
            <w:tcW w:w="914" w:type="pct"/>
            <w:tcBorders>
              <w:top w:val="single" w:color="auto" w:sz="12" w:space="0"/>
              <w:left w:val="nil"/>
              <w:bottom w:val="single" w:color="auto" w:sz="4" w:space="0"/>
              <w:right w:val="single" w:color="auto" w:sz="4" w:space="0"/>
            </w:tcBorders>
            <w:noWrap w:val="0"/>
            <w:vAlign w:val="center"/>
          </w:tcPr>
          <w:p>
            <w:pPr>
              <w:pStyle w:val="88"/>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统计值</w:t>
            </w:r>
          </w:p>
        </w:tc>
        <w:tc>
          <w:tcPr>
            <w:tcW w:w="998" w:type="pct"/>
            <w:tcBorders>
              <w:top w:val="single" w:color="auto" w:sz="12" w:space="0"/>
              <w:left w:val="nil"/>
              <w:bottom w:val="single" w:color="auto" w:sz="4" w:space="0"/>
              <w:right w:val="single" w:color="auto" w:sz="4" w:space="0"/>
            </w:tcBorders>
            <w:noWrap w:val="0"/>
            <w:vAlign w:val="center"/>
          </w:tcPr>
          <w:p>
            <w:pPr>
              <w:pStyle w:val="88"/>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极值出现时间</w:t>
            </w:r>
          </w:p>
        </w:tc>
        <w:tc>
          <w:tcPr>
            <w:tcW w:w="811" w:type="pct"/>
            <w:tcBorders>
              <w:top w:val="single" w:color="auto" w:sz="12" w:space="0"/>
              <w:left w:val="nil"/>
              <w:bottom w:val="single" w:color="auto" w:sz="4" w:space="0"/>
              <w:right w:val="nil"/>
            </w:tcBorders>
            <w:noWrap w:val="0"/>
            <w:vAlign w:val="center"/>
          </w:tcPr>
          <w:p>
            <w:pPr>
              <w:pStyle w:val="88"/>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多年平均气温（℃）</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17.39</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累年极端最高气温（℃）</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38.58</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2006-08-11</w:t>
            </w: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累年极端最低气温（℃）</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-5.21</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2001-01-22</w:t>
            </w: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多年平均气压（hPa）</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1008.43</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多年平均水汽压（hPa）</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16.59</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多年平均相对湿度(%)</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75.63</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多年平均降雨量(mm)</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1789.35</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1999-06-23</w:t>
            </w: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276.50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Merge w:val="restart"/>
            <w:tcBorders>
              <w:top w:val="single" w:color="auto" w:sz="4" w:space="0"/>
              <w:left w:val="nil"/>
              <w:bottom w:val="single" w:color="auto" w:sz="4" w:space="0"/>
              <w:right w:val="single" w:color="auto" w:sz="4" w:space="0"/>
            </w:tcBorders>
            <w:noWrap w:val="0"/>
            <w:vAlign w:val="center"/>
          </w:tcPr>
          <w:p>
            <w:pPr>
              <w:pStyle w:val="8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灾害天气统计</w:t>
            </w:r>
          </w:p>
        </w:tc>
        <w:tc>
          <w:tcPr>
            <w:tcW w:w="15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多年平均沙暴日数(d)</w:t>
            </w:r>
          </w:p>
        </w:tc>
        <w:tc>
          <w:tcPr>
            <w:tcW w:w="9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0.0</w:t>
            </w:r>
          </w:p>
        </w:tc>
        <w:tc>
          <w:tcPr>
            <w:tcW w:w="9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single" w:color="auto" w:sz="4" w:space="0"/>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Merge w:val="continue"/>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580" w:type="pct"/>
            <w:tcBorders>
              <w:top w:val="single" w:color="auto" w:sz="4" w:space="0"/>
              <w:left w:val="single" w:color="auto" w:sz="4" w:space="0"/>
              <w:bottom w:val="single" w:color="auto" w:sz="4" w:space="0"/>
              <w:right w:val="single" w:color="auto" w:sz="4" w:space="0"/>
            </w:tcBorders>
            <w:noWrap w:val="0"/>
            <w:vAlign w:val="center"/>
          </w:tcPr>
          <w:p>
            <w:pPr>
              <w:pStyle w:val="8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多年平均雷暴日数(d)</w:t>
            </w:r>
          </w:p>
        </w:tc>
        <w:tc>
          <w:tcPr>
            <w:tcW w:w="914" w:type="pct"/>
            <w:tcBorders>
              <w:top w:val="single" w:color="auto" w:sz="4" w:space="0"/>
              <w:left w:val="single" w:color="auto" w:sz="4" w:space="0"/>
              <w:bottom w:val="single" w:color="auto" w:sz="4" w:space="0"/>
              <w:right w:val="single" w:color="auto" w:sz="4" w:space="0"/>
            </w:tcBorders>
            <w:noWrap w:val="0"/>
            <w:vAlign w:val="center"/>
          </w:tcPr>
          <w:p>
            <w:pPr>
              <w:pStyle w:val="88"/>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32.88</w:t>
            </w:r>
          </w:p>
        </w:tc>
        <w:tc>
          <w:tcPr>
            <w:tcW w:w="9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single" w:color="auto" w:sz="4" w:space="0"/>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Merge w:val="continue"/>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580" w:type="pct"/>
            <w:tcBorders>
              <w:top w:val="single" w:color="auto" w:sz="4" w:space="0"/>
              <w:left w:val="single" w:color="auto" w:sz="4" w:space="0"/>
              <w:bottom w:val="single" w:color="auto" w:sz="4" w:space="0"/>
              <w:right w:val="single" w:color="auto" w:sz="4" w:space="0"/>
            </w:tcBorders>
            <w:noWrap w:val="0"/>
            <w:vAlign w:val="center"/>
          </w:tcPr>
          <w:p>
            <w:pPr>
              <w:pStyle w:val="8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多年平均冰雹日数(d)</w:t>
            </w:r>
          </w:p>
        </w:tc>
        <w:tc>
          <w:tcPr>
            <w:tcW w:w="914" w:type="pct"/>
            <w:tcBorders>
              <w:top w:val="single" w:color="auto" w:sz="4" w:space="0"/>
              <w:left w:val="single" w:color="auto" w:sz="4" w:space="0"/>
              <w:bottom w:val="single" w:color="auto" w:sz="4" w:space="0"/>
              <w:right w:val="single" w:color="auto" w:sz="4" w:space="0"/>
            </w:tcBorders>
            <w:noWrap w:val="0"/>
            <w:vAlign w:val="center"/>
          </w:tcPr>
          <w:p>
            <w:pPr>
              <w:pStyle w:val="88"/>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0.20</w:t>
            </w:r>
          </w:p>
        </w:tc>
        <w:tc>
          <w:tcPr>
            <w:tcW w:w="9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single" w:color="auto" w:sz="4" w:space="0"/>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Merge w:val="continue"/>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580" w:type="pct"/>
            <w:tcBorders>
              <w:top w:val="single" w:color="auto" w:sz="4" w:space="0"/>
              <w:left w:val="single" w:color="auto" w:sz="4" w:space="0"/>
              <w:bottom w:val="single" w:color="auto" w:sz="4" w:space="0"/>
              <w:right w:val="single" w:color="auto" w:sz="4" w:space="0"/>
            </w:tcBorders>
            <w:noWrap w:val="0"/>
            <w:vAlign w:val="center"/>
          </w:tcPr>
          <w:p>
            <w:pPr>
              <w:pStyle w:val="88"/>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多年平均大风日数(d)</w:t>
            </w:r>
          </w:p>
        </w:tc>
        <w:tc>
          <w:tcPr>
            <w:tcW w:w="914" w:type="pct"/>
            <w:tcBorders>
              <w:top w:val="single" w:color="auto" w:sz="4" w:space="0"/>
              <w:left w:val="single" w:color="auto" w:sz="4" w:space="0"/>
              <w:bottom w:val="single" w:color="auto" w:sz="4" w:space="0"/>
              <w:right w:val="single" w:color="auto" w:sz="4" w:space="0"/>
            </w:tcBorders>
            <w:noWrap w:val="0"/>
            <w:vAlign w:val="center"/>
          </w:tcPr>
          <w:p>
            <w:pPr>
              <w:pStyle w:val="88"/>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1.15</w:t>
            </w:r>
          </w:p>
        </w:tc>
        <w:tc>
          <w:tcPr>
            <w:tcW w:w="9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single" w:color="auto" w:sz="4" w:space="0"/>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多年实测极大风速（m/s）、相应风向</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16.89</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2000-02-12</w:t>
            </w: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21.00S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多年平均风速（m/s）</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1.65</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多年主导风向、风向频率(%)</w:t>
            </w:r>
          </w:p>
        </w:tc>
        <w:tc>
          <w:tcPr>
            <w:tcW w:w="914"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NNE 16.8</w:t>
            </w:r>
          </w:p>
        </w:tc>
        <w:tc>
          <w:tcPr>
            <w:tcW w:w="998" w:type="pct"/>
            <w:tcBorders>
              <w:top w:val="single" w:color="auto" w:sz="4" w:space="0"/>
              <w:left w:val="nil"/>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7" w:type="pct"/>
            <w:gridSpan w:val="2"/>
            <w:tcBorders>
              <w:top w:val="single" w:color="auto" w:sz="4" w:space="0"/>
              <w:left w:val="nil"/>
              <w:bottom w:val="single" w:color="auto" w:sz="12"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多年静风频率(风速&lt;0.2m/s)(%)</w:t>
            </w:r>
          </w:p>
        </w:tc>
        <w:tc>
          <w:tcPr>
            <w:tcW w:w="914" w:type="pct"/>
            <w:tcBorders>
              <w:top w:val="single" w:color="auto" w:sz="4" w:space="0"/>
              <w:left w:val="nil"/>
              <w:bottom w:val="single" w:color="auto" w:sz="12"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17.6</w:t>
            </w:r>
          </w:p>
        </w:tc>
        <w:tc>
          <w:tcPr>
            <w:tcW w:w="998" w:type="pct"/>
            <w:tcBorders>
              <w:top w:val="single" w:color="auto" w:sz="4" w:space="0"/>
              <w:left w:val="nil"/>
              <w:bottom w:val="single" w:color="auto" w:sz="12"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811" w:type="pct"/>
            <w:tcBorders>
              <w:top w:val="single" w:color="auto" w:sz="4" w:space="0"/>
              <w:left w:val="nil"/>
              <w:bottom w:val="single" w:color="auto" w:sz="12"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①风速</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临湘气象站月平均风速如下表，4月、7月平均风速最大（1.9米/秒），10月风速最小（1.4米/秒）。</w:t>
      </w:r>
    </w:p>
    <w:p>
      <w:pPr>
        <w:keepNext/>
        <w:spacing w:line="360" w:lineRule="auto"/>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临湘气象站月平均风速统计</w:t>
      </w:r>
    </w:p>
    <w:p>
      <w:pPr>
        <w:keepNext/>
        <w:ind w:firstLine="482" w:firstLineChars="200"/>
        <w:jc w:val="right"/>
        <w:rPr>
          <w:b/>
          <w:color w:val="000000" w:themeColor="text1"/>
          <w14:textFill>
            <w14:solidFill>
              <w14:schemeClr w14:val="tx1"/>
            </w14:solidFill>
          </w14:textFill>
        </w:rPr>
      </w:pPr>
      <w:r>
        <w:rPr>
          <w:b/>
          <w:color w:val="000000" w:themeColor="text1"/>
          <w14:textFill>
            <w14:solidFill>
              <w14:schemeClr w14:val="tx1"/>
            </w14:solidFill>
          </w14:textFill>
        </w:rPr>
        <w:t>单位：m/s</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062"/>
        <w:gridCol w:w="682"/>
        <w:gridCol w:w="676"/>
        <w:gridCol w:w="678"/>
        <w:gridCol w:w="678"/>
        <w:gridCol w:w="676"/>
        <w:gridCol w:w="678"/>
        <w:gridCol w:w="680"/>
        <w:gridCol w:w="674"/>
        <w:gridCol w:w="676"/>
        <w:gridCol w:w="676"/>
        <w:gridCol w:w="674"/>
        <w:gridCol w:w="67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7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月份</w:t>
            </w:r>
          </w:p>
        </w:tc>
        <w:tc>
          <w:tcPr>
            <w:tcW w:w="371"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369"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369"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369"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370"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367"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10</w:t>
            </w:r>
          </w:p>
        </w:tc>
        <w:tc>
          <w:tcPr>
            <w:tcW w:w="367"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57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平均风速</w:t>
            </w:r>
          </w:p>
        </w:tc>
        <w:tc>
          <w:tcPr>
            <w:tcW w:w="371"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1.6</w:t>
            </w:r>
          </w:p>
        </w:tc>
        <w:tc>
          <w:tcPr>
            <w:tcW w:w="369"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w:t>
            </w:r>
          </w:p>
        </w:tc>
        <w:tc>
          <w:tcPr>
            <w:tcW w:w="369"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1.7</w:t>
            </w:r>
          </w:p>
        </w:tc>
        <w:tc>
          <w:tcPr>
            <w:tcW w:w="369"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1.6</w:t>
            </w:r>
          </w:p>
        </w:tc>
        <w:tc>
          <w:tcPr>
            <w:tcW w:w="370"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1.9</w:t>
            </w:r>
          </w:p>
        </w:tc>
        <w:tc>
          <w:tcPr>
            <w:tcW w:w="367"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1.8</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1.6</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1.4</w:t>
            </w:r>
          </w:p>
        </w:tc>
        <w:tc>
          <w:tcPr>
            <w:tcW w:w="367"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c>
          <w:tcPr>
            <w:tcW w:w="368" w:type="pct"/>
            <w:noWrap w:val="0"/>
            <w:tcMar>
              <w:top w:w="80" w:type="dxa"/>
              <w:left w:w="80" w:type="dxa"/>
              <w:bottom w:w="80" w:type="dxa"/>
              <w:right w:w="80" w:type="dxa"/>
            </w:tcMar>
            <w:vAlign w:val="center"/>
          </w:tcPr>
          <w:p>
            <w:pPr>
              <w:pStyle w:val="109"/>
              <w:keepNext w:val="0"/>
              <w:keepLines w:val="0"/>
              <w:suppressLineNumbers w:val="0"/>
              <w:spacing w:before="0" w:beforeAutospacing="0" w:after="0" w:afterAutospacing="0" w:line="240" w:lineRule="auto"/>
              <w:ind w:left="0" w:right="0" w:firstLine="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1.5</w:t>
            </w:r>
          </w:p>
        </w:tc>
      </w:tr>
    </w:tbl>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②风向</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近20年资料分析的风向玫瑰图如下图，临湘气象站主要风向为N,NNE,NE和C，占54.8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，其中以NNE为主风向，占到全年16.8</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左右。</w:t>
      </w:r>
    </w:p>
    <w:p>
      <w:pPr>
        <w:pStyle w:val="20"/>
        <w:ind w:left="480" w:firstLine="480"/>
        <w:rPr>
          <w:color w:val="000000" w:themeColor="text1"/>
          <w14:textFill>
            <w14:solidFill>
              <w14:schemeClr w14:val="tx1"/>
            </w14:solidFill>
          </w14:textFill>
        </w:rPr>
      </w:pPr>
    </w:p>
    <w:p>
      <w:pPr>
        <w:keepNext/>
        <w:spacing w:line="360" w:lineRule="auto"/>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临湘气象站年风向频率统计</w:t>
      </w:r>
    </w:p>
    <w:p>
      <w:pPr>
        <w:pStyle w:val="92"/>
        <w:spacing w:line="240" w:lineRule="auto"/>
        <w:ind w:firstLine="0" w:firstLineChars="0"/>
        <w:jc w:val="right"/>
        <w:rPr>
          <w:rFonts w:ascii="Times New Roman" w:hAnsi="Times New Roman" w:eastAsia="PMingLiU"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单位：%</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596"/>
        <w:gridCol w:w="489"/>
        <w:gridCol w:w="546"/>
        <w:gridCol w:w="610"/>
        <w:gridCol w:w="487"/>
        <w:gridCol w:w="487"/>
        <w:gridCol w:w="487"/>
        <w:gridCol w:w="612"/>
        <w:gridCol w:w="487"/>
        <w:gridCol w:w="487"/>
        <w:gridCol w:w="487"/>
        <w:gridCol w:w="364"/>
        <w:gridCol w:w="364"/>
        <w:gridCol w:w="487"/>
        <w:gridCol w:w="487"/>
        <w:gridCol w:w="487"/>
        <w:gridCol w:w="612"/>
        <w:gridCol w:w="6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2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风向</w:t>
            </w:r>
          </w:p>
        </w:tc>
        <w:tc>
          <w:tcPr>
            <w:tcW w:w="266"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w:t>
            </w:r>
          </w:p>
        </w:tc>
        <w:tc>
          <w:tcPr>
            <w:tcW w:w="297"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NNE</w:t>
            </w:r>
          </w:p>
        </w:tc>
        <w:tc>
          <w:tcPr>
            <w:tcW w:w="332"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NE</w:t>
            </w:r>
          </w:p>
        </w:tc>
        <w:tc>
          <w:tcPr>
            <w:tcW w:w="26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ENE</w:t>
            </w:r>
          </w:p>
        </w:tc>
        <w:tc>
          <w:tcPr>
            <w:tcW w:w="26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w:t>
            </w:r>
          </w:p>
        </w:tc>
        <w:tc>
          <w:tcPr>
            <w:tcW w:w="26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ESE</w:t>
            </w:r>
          </w:p>
        </w:tc>
        <w:tc>
          <w:tcPr>
            <w:tcW w:w="333"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SE</w:t>
            </w:r>
          </w:p>
        </w:tc>
        <w:tc>
          <w:tcPr>
            <w:tcW w:w="26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SSE</w:t>
            </w:r>
          </w:p>
        </w:tc>
        <w:tc>
          <w:tcPr>
            <w:tcW w:w="26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w:t>
            </w:r>
          </w:p>
        </w:tc>
        <w:tc>
          <w:tcPr>
            <w:tcW w:w="26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SSW</w:t>
            </w:r>
          </w:p>
        </w:tc>
        <w:tc>
          <w:tcPr>
            <w:tcW w:w="198" w:type="pct"/>
            <w:noWrap w:val="0"/>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SW</w:t>
            </w:r>
          </w:p>
        </w:tc>
        <w:tc>
          <w:tcPr>
            <w:tcW w:w="198" w:type="pct"/>
            <w:noWrap w:val="0"/>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WSW</w:t>
            </w:r>
          </w:p>
        </w:tc>
        <w:tc>
          <w:tcPr>
            <w:tcW w:w="265" w:type="pct"/>
            <w:noWrap w:val="0"/>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w:t>
            </w:r>
          </w:p>
        </w:tc>
        <w:tc>
          <w:tcPr>
            <w:tcW w:w="265" w:type="pct"/>
            <w:noWrap w:val="0"/>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WNW</w:t>
            </w:r>
          </w:p>
        </w:tc>
        <w:tc>
          <w:tcPr>
            <w:tcW w:w="265" w:type="pct"/>
            <w:noWrap w:val="0"/>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NW</w:t>
            </w:r>
          </w:p>
        </w:tc>
        <w:tc>
          <w:tcPr>
            <w:tcW w:w="333"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NNW</w:t>
            </w:r>
          </w:p>
        </w:tc>
        <w:tc>
          <w:tcPr>
            <w:tcW w:w="332"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25" w:type="pct"/>
            <w:noWrap w:val="0"/>
            <w:tcMar>
              <w:top w:w="80" w:type="dxa"/>
              <w:left w:w="80" w:type="dxa"/>
              <w:bottom w:w="80" w:type="dxa"/>
              <w:right w:w="80" w:type="dxa"/>
            </w:tcMar>
            <w:vAlign w:val="center"/>
          </w:tcPr>
          <w:p>
            <w:pPr>
              <w:pStyle w:val="92"/>
              <w:keepNext w:val="0"/>
              <w:keepLines w:val="0"/>
              <w:suppressLineNumbers w:val="0"/>
              <w:spacing w:before="48" w:beforeLines="20" w:beforeAutospacing="0" w:after="48" w:afterLines="20" w:afterAutospacing="0" w:line="240" w:lineRule="auto"/>
              <w:ind w:left="-120" w:leftChars="-50" w:right="-120" w:rightChars="-50"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频率</w:t>
            </w:r>
          </w:p>
        </w:tc>
        <w:tc>
          <w:tcPr>
            <w:tcW w:w="266"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9.3</w:t>
            </w:r>
          </w:p>
        </w:tc>
        <w:tc>
          <w:tcPr>
            <w:tcW w:w="297"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16.8</w:t>
            </w:r>
          </w:p>
        </w:tc>
        <w:tc>
          <w:tcPr>
            <w:tcW w:w="332"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11.1</w:t>
            </w:r>
          </w:p>
        </w:tc>
        <w:tc>
          <w:tcPr>
            <w:tcW w:w="265"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4.5</w:t>
            </w:r>
          </w:p>
        </w:tc>
        <w:tc>
          <w:tcPr>
            <w:tcW w:w="265"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2.3</w:t>
            </w:r>
          </w:p>
        </w:tc>
        <w:tc>
          <w:tcPr>
            <w:tcW w:w="265"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1.3</w:t>
            </w:r>
          </w:p>
        </w:tc>
        <w:tc>
          <w:tcPr>
            <w:tcW w:w="333"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1.1</w:t>
            </w:r>
          </w:p>
        </w:tc>
        <w:tc>
          <w:tcPr>
            <w:tcW w:w="265"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1.6</w:t>
            </w:r>
          </w:p>
        </w:tc>
        <w:tc>
          <w:tcPr>
            <w:tcW w:w="265"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6.3</w:t>
            </w:r>
          </w:p>
        </w:tc>
        <w:tc>
          <w:tcPr>
            <w:tcW w:w="265"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9.1</w:t>
            </w:r>
          </w:p>
        </w:tc>
        <w:tc>
          <w:tcPr>
            <w:tcW w:w="198" w:type="pct"/>
            <w:noWrap w:val="0"/>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6.2</w:t>
            </w:r>
          </w:p>
        </w:tc>
        <w:tc>
          <w:tcPr>
            <w:tcW w:w="198" w:type="pct"/>
            <w:noWrap w:val="0"/>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2.2</w:t>
            </w:r>
          </w:p>
        </w:tc>
        <w:tc>
          <w:tcPr>
            <w:tcW w:w="265" w:type="pct"/>
            <w:noWrap w:val="0"/>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1.3</w:t>
            </w:r>
          </w:p>
        </w:tc>
        <w:tc>
          <w:tcPr>
            <w:tcW w:w="265" w:type="pct"/>
            <w:noWrap w:val="0"/>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265" w:type="pct"/>
            <w:noWrap w:val="0"/>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333"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4.3</w:t>
            </w:r>
          </w:p>
        </w:tc>
        <w:tc>
          <w:tcPr>
            <w:tcW w:w="332" w:type="pct"/>
            <w:noWrap w:val="0"/>
            <w:tcMar>
              <w:top w:w="80" w:type="dxa"/>
              <w:left w:w="80" w:type="dxa"/>
              <w:bottom w:w="80" w:type="dxa"/>
              <w:right w:w="80" w:type="dxa"/>
            </w:tcMar>
            <w:vAlign w:val="center"/>
          </w:tcPr>
          <w:p>
            <w:pPr>
              <w:keepNext w:val="0"/>
              <w:keepLines w:val="0"/>
              <w:suppressLineNumbers w:val="0"/>
              <w:spacing w:before="48" w:beforeLines="20" w:beforeAutospacing="0" w:after="48" w:afterLines="20" w:afterAutospacing="0"/>
              <w:ind w:left="-120" w:leftChars="-50" w:right="-120" w:rightChars="-50"/>
              <w:jc w:val="center"/>
              <w:rPr>
                <w:rFonts w:eastAsia="宋体" w:cs="Times New Roman"/>
                <w:b/>
                <w:color w:val="000000" w:themeColor="text1"/>
                <w:sz w:val="21"/>
                <w:szCs w:val="44"/>
                <w14:textFill>
                  <w14:solidFill>
                    <w14:schemeClr w14:val="tx1"/>
                  </w14:solidFill>
                </w14:textFill>
              </w:rPr>
            </w:pPr>
            <w:r>
              <w:rPr>
                <w:rFonts w:eastAsia="宋体" w:cs="Times New Roman"/>
                <w:color w:val="000000" w:themeColor="text1"/>
                <w:sz w:val="21"/>
                <w14:textFill>
                  <w14:solidFill>
                    <w14:schemeClr w14:val="tx1"/>
                  </w14:solidFill>
                </w14:textFill>
              </w:rPr>
              <w:t>17.6</w:t>
            </w:r>
          </w:p>
        </w:tc>
      </w:tr>
    </w:tbl>
    <w:p>
      <w:pPr>
        <w:pStyle w:val="83"/>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331210" cy="2496185"/>
            <wp:effectExtent l="0" t="0" r="2540" b="18415"/>
            <wp:docPr id="10" name="图片 29" descr="C:\Users\Administrator\AppData\Local\Temp\ksohtml399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C:\Users\Administrator\AppData\Local\Temp\ksohtml3992\wps1.jpg"/>
                    <pic:cNvPicPr>
                      <a:picLocks noChangeAspect="1"/>
                    </pic:cNvPicPr>
                  </pic:nvPicPr>
                  <pic:blipFill>
                    <a:blip r:embed="rId39"/>
                    <a:stretch>
                      <a:fillRect/>
                    </a:stretch>
                  </pic:blipFill>
                  <pic:spPr>
                    <a:xfrm>
                      <a:off x="0" y="0"/>
                      <a:ext cx="3331210" cy="2496185"/>
                    </a:xfrm>
                    <a:prstGeom prst="rect">
                      <a:avLst/>
                    </a:prstGeom>
                    <a:noFill/>
                    <a:ln>
                      <a:noFill/>
                    </a:ln>
                  </pic:spPr>
                </pic:pic>
              </a:graphicData>
            </a:graphic>
          </wp:inline>
        </w:drawing>
      </w:r>
    </w:p>
    <w:p>
      <w:pPr>
        <w:pStyle w:val="83"/>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图</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7</w:t>
      </w:r>
      <w:r>
        <w:rPr>
          <w:rFonts w:hint="eastAsia" w:ascii="Times New Roman" w:hAnsi="Times New Roman" w:cs="Times New Roman"/>
          <w:b/>
          <w:color w:val="000000" w:themeColor="text1"/>
          <w:sz w:val="24"/>
          <w:szCs w:val="24"/>
          <w:lang w:val="en-US" w:eastAsia="zh-CN"/>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SEQ 图 \* ARABIC \s 2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1</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t xml:space="preserve">  临湘风向玫瑰图（静风频率 17.6%）</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③气温</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临湘气象站07月气温最高（29.31℃），01月气温最低（4.63℃），近二十年极端最高温度出现在2006-08-11，为41.00℃，极端最低温度出现在2001-01-22，为-7.00℃。</w:t>
      </w:r>
    </w:p>
    <w:p>
      <w:pPr>
        <w:pStyle w:val="83"/>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4079240" cy="3061335"/>
            <wp:effectExtent l="0" t="0" r="16510" b="5715"/>
            <wp:docPr id="11" name="图片 35" descr="C:\Users\Administrator\AppData\Local\Temp\ksohtml399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C:\Users\Administrator\AppData\Local\Temp\ksohtml3992\wps2.jpg"/>
                    <pic:cNvPicPr>
                      <a:picLocks noChangeAspect="1"/>
                    </pic:cNvPicPr>
                  </pic:nvPicPr>
                  <pic:blipFill>
                    <a:blip r:embed="rId40"/>
                    <a:stretch>
                      <a:fillRect/>
                    </a:stretch>
                  </pic:blipFill>
                  <pic:spPr>
                    <a:xfrm>
                      <a:off x="0" y="0"/>
                      <a:ext cx="4079240" cy="3061335"/>
                    </a:xfrm>
                    <a:prstGeom prst="rect">
                      <a:avLst/>
                    </a:prstGeom>
                    <a:noFill/>
                    <a:ln>
                      <a:noFill/>
                    </a:ln>
                  </pic:spPr>
                </pic:pic>
              </a:graphicData>
            </a:graphic>
          </wp:inline>
        </w:drawing>
      </w:r>
    </w:p>
    <w:p>
      <w:pPr>
        <w:pStyle w:val="83"/>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图</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7</w:t>
      </w:r>
      <w:r>
        <w:rPr>
          <w:rFonts w:hint="eastAsia" w:ascii="Times New Roman" w:hAnsi="Times New Roman" w:cs="Times New Roman"/>
          <w:b/>
          <w:color w:val="000000" w:themeColor="text1"/>
          <w:sz w:val="24"/>
          <w:szCs w:val="24"/>
          <w:lang w:val="en-US" w:eastAsia="zh-CN"/>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SEQ 图 \* ARABIC \s 2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t xml:space="preserve">  临湘月平均气温（单位：℃）</w:t>
      </w:r>
    </w:p>
    <w:p>
      <w:pPr>
        <w:pStyle w:val="6"/>
        <w:rPr>
          <w:color w:val="000000" w:themeColor="text1"/>
          <w14:textFill>
            <w14:solidFill>
              <w14:schemeClr w14:val="tx1"/>
            </w14:solidFill>
          </w14:textFill>
        </w:rPr>
      </w:pPr>
      <w:r>
        <w:rPr>
          <w:color w:val="000000" w:themeColor="text1"/>
          <w14:textFill>
            <w14:solidFill>
              <w14:schemeClr w14:val="tx1"/>
            </w14:solidFill>
          </w14:textFill>
        </w:rPr>
        <w:t>基准年气象特征分析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（1）地面气象资料</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本评价的基准年为2018年，采用临湘气象站2018年1月1日~2018年12月31日一年的气象资料作为地面气象资料。地面观测气象数据信息见下表所示。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观测气象数据信息</w:t>
      </w:r>
    </w:p>
    <w:tbl>
      <w:tblPr>
        <w:tblStyle w:val="4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95"/>
        <w:gridCol w:w="992"/>
        <w:gridCol w:w="994"/>
        <w:gridCol w:w="1153"/>
        <w:gridCol w:w="1071"/>
        <w:gridCol w:w="1000"/>
        <w:gridCol w:w="754"/>
        <w:gridCol w:w="904"/>
        <w:gridCol w:w="11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5"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气象站名称</w:t>
            </w:r>
          </w:p>
        </w:tc>
        <w:tc>
          <w:tcPr>
            <w:tcW w:w="992"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气象站编号</w:t>
            </w:r>
          </w:p>
        </w:tc>
        <w:tc>
          <w:tcPr>
            <w:tcW w:w="994"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气象站等级</w:t>
            </w:r>
          </w:p>
        </w:tc>
        <w:tc>
          <w:tcPr>
            <w:tcW w:w="2224" w:type="dxa"/>
            <w:gridSpan w:val="2"/>
            <w:shd w:val="clear" w:color="auto" w:fill="FFFFFF"/>
            <w:noWrap w:val="0"/>
            <w:vAlign w:val="center"/>
          </w:tcPr>
          <w:p>
            <w:pPr>
              <w:pStyle w:val="114"/>
              <w:keepNext w:val="0"/>
              <w:keepLines w:val="0"/>
              <w:suppressLineNumbers w:val="0"/>
              <w:spacing w:before="0" w:beforeAutospacing="0" w:afterAutospacing="0" w:line="240" w:lineRule="auto"/>
              <w:ind w:left="0" w:right="0" w:firstLine="2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气象站经纬度</w:t>
            </w:r>
          </w:p>
        </w:tc>
        <w:tc>
          <w:tcPr>
            <w:tcW w:w="1000"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相对距离/km</w:t>
            </w:r>
          </w:p>
        </w:tc>
        <w:tc>
          <w:tcPr>
            <w:tcW w:w="754"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海拔高度/m</w:t>
            </w:r>
          </w:p>
        </w:tc>
        <w:tc>
          <w:tcPr>
            <w:tcW w:w="904"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数据年份</w:t>
            </w:r>
          </w:p>
        </w:tc>
        <w:tc>
          <w:tcPr>
            <w:tcW w:w="1141"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气象要素</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5"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92"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94" w:type="dxa"/>
            <w:vMerge w:val="continue"/>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153" w:type="dxa"/>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24"/>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经度</w:t>
            </w:r>
          </w:p>
        </w:tc>
        <w:tc>
          <w:tcPr>
            <w:tcW w:w="1071" w:type="dxa"/>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24"/>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纬度</w:t>
            </w:r>
          </w:p>
        </w:tc>
        <w:tc>
          <w:tcPr>
            <w:tcW w:w="100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75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9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14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95"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24"/>
                <w14:textFill>
                  <w14:solidFill>
                    <w14:schemeClr w14:val="tx1"/>
                  </w14:solidFill>
                </w14:textFill>
              </w:rPr>
              <w:t>临湘气象站</w:t>
            </w:r>
          </w:p>
        </w:tc>
        <w:tc>
          <w:tcPr>
            <w:tcW w:w="992"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24"/>
                <w14:textFill>
                  <w14:solidFill>
                    <w14:schemeClr w14:val="tx1"/>
                  </w14:solidFill>
                </w14:textFill>
              </w:rPr>
              <w:t>57585</w:t>
            </w:r>
          </w:p>
        </w:tc>
        <w:tc>
          <w:tcPr>
            <w:tcW w:w="994"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24"/>
                <w14:textFill>
                  <w14:solidFill>
                    <w14:schemeClr w14:val="tx1"/>
                  </w14:solidFill>
                </w14:textFill>
              </w:rPr>
              <w:t>一般</w:t>
            </w:r>
            <w:r>
              <w:rPr>
                <w:rFonts w:ascii="Times New Roman" w:hAnsi="Times New Roman" w:cs="Times New Roman"/>
                <w:color w:val="000000" w:themeColor="text1"/>
                <w14:textFill>
                  <w14:solidFill>
                    <w14:schemeClr w14:val="tx1"/>
                  </w14:solidFill>
                </w14:textFill>
              </w:rPr>
              <w:t>站</w:t>
            </w:r>
          </w:p>
        </w:tc>
        <w:tc>
          <w:tcPr>
            <w:tcW w:w="1153" w:type="dxa"/>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24"/>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113.48E</w:t>
            </w:r>
          </w:p>
        </w:tc>
        <w:tc>
          <w:tcPr>
            <w:tcW w:w="1071" w:type="dxa"/>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kern w:val="24"/>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29.48N</w:t>
            </w:r>
          </w:p>
        </w:tc>
        <w:tc>
          <w:tcPr>
            <w:tcW w:w="1000" w:type="dxa"/>
            <w:shd w:val="clear" w:color="auto" w:fill="FFFFFF"/>
            <w:noWrap w:val="0"/>
            <w:vAlign w:val="center"/>
          </w:tcPr>
          <w:p>
            <w:pPr>
              <w:pStyle w:val="114"/>
              <w:keepNext w:val="0"/>
              <w:keepLines w:val="0"/>
              <w:suppressLineNumbers w:val="0"/>
              <w:spacing w:before="0" w:beforeAutospacing="0" w:afterAutospacing="0" w:line="240" w:lineRule="auto"/>
              <w:ind w:left="0" w:right="0" w:firstLine="2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23.0</w:t>
            </w:r>
          </w:p>
        </w:tc>
        <w:tc>
          <w:tcPr>
            <w:tcW w:w="754"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55.1m</w:t>
            </w:r>
          </w:p>
        </w:tc>
        <w:tc>
          <w:tcPr>
            <w:tcW w:w="904"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2018</w:t>
            </w:r>
          </w:p>
        </w:tc>
        <w:tc>
          <w:tcPr>
            <w:tcW w:w="1141" w:type="dxa"/>
            <w:shd w:val="clear" w:color="auto" w:fill="FFFFFF"/>
            <w:noWrap w:val="0"/>
            <w:vAlign w:val="center"/>
          </w:tcPr>
          <w:p>
            <w:pPr>
              <w:pStyle w:val="114"/>
              <w:keepNext w:val="0"/>
              <w:keepLines w:val="0"/>
              <w:suppressLineNumbers w:val="0"/>
              <w:spacing w:before="0" w:beforeAutospacing="0" w:afterAutospacing="0" w:line="240" w:lineRule="auto"/>
              <w:ind w:left="0" w:right="0" w:firstLine="2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温度、风向、风速、总云、低云</w:t>
            </w:r>
          </w:p>
        </w:tc>
      </w:tr>
    </w:tbl>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根据临湘气象站2018年全年小时数据对当地的温度、风速、风向风频等进行统计，具体情况如下：</w:t>
      </w:r>
    </w:p>
    <w:p>
      <w:pPr>
        <w:pStyle w:val="83"/>
        <w:keepNext/>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①温度</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2018年平均温度月变化情况见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_Ref54010384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t>，曲线图见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_Ref54010670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keepNext/>
        <w:ind w:firstLine="480"/>
        <w:jc w:val="center"/>
        <w:rPr>
          <w:b/>
          <w:color w:val="000000" w:themeColor="text1"/>
          <w14:textFill>
            <w14:solidFill>
              <w14:schemeClr w14:val="tx1"/>
            </w14:solidFill>
          </w14:textFill>
        </w:rPr>
      </w:pPr>
      <w:bookmarkStart w:id="482" w:name="_Ref54010384"/>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bookmarkEnd w:id="482"/>
      <w:r>
        <w:rPr>
          <w:b/>
          <w:color w:val="000000" w:themeColor="text1"/>
          <w14:textFill>
            <w14:solidFill>
              <w14:schemeClr w14:val="tx1"/>
            </w14:solidFill>
          </w14:textFill>
        </w:rPr>
        <w:t xml:space="preserve">  2018年平均温度的月变化</w:t>
      </w:r>
    </w:p>
    <w:tbl>
      <w:tblPr>
        <w:tblStyle w:val="41"/>
        <w:tblW w:w="893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286"/>
        <w:gridCol w:w="637"/>
        <w:gridCol w:w="638"/>
        <w:gridCol w:w="637"/>
        <w:gridCol w:w="637"/>
        <w:gridCol w:w="637"/>
        <w:gridCol w:w="637"/>
        <w:gridCol w:w="637"/>
        <w:gridCol w:w="636"/>
        <w:gridCol w:w="638"/>
        <w:gridCol w:w="637"/>
        <w:gridCol w:w="637"/>
        <w:gridCol w:w="6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86"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月份</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1月</w:t>
            </w:r>
          </w:p>
        </w:tc>
        <w:tc>
          <w:tcPr>
            <w:tcW w:w="638"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7月</w:t>
            </w:r>
          </w:p>
        </w:tc>
        <w:tc>
          <w:tcPr>
            <w:tcW w:w="636"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8月</w:t>
            </w:r>
          </w:p>
        </w:tc>
        <w:tc>
          <w:tcPr>
            <w:tcW w:w="638"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9月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11月</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86"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温度(℃)</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3.66</w:t>
            </w:r>
          </w:p>
        </w:tc>
        <w:tc>
          <w:tcPr>
            <w:tcW w:w="638"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7.38</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14.16</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19.89</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24.19</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26.89</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30.08</w:t>
            </w:r>
          </w:p>
        </w:tc>
        <w:tc>
          <w:tcPr>
            <w:tcW w:w="636"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29.00</w:t>
            </w:r>
          </w:p>
        </w:tc>
        <w:tc>
          <w:tcPr>
            <w:tcW w:w="638"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25.27</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17.91</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12.86</w:t>
            </w:r>
          </w:p>
        </w:tc>
        <w:tc>
          <w:tcPr>
            <w:tcW w:w="637" w:type="dxa"/>
            <w:noWrap/>
            <w:tcMar>
              <w:top w:w="15" w:type="dxa"/>
              <w:left w:w="15" w:type="dxa"/>
              <w:bottom w:w="0" w:type="dxa"/>
              <w:right w:w="15" w:type="dxa"/>
            </w:tcMar>
            <w:vAlign w:val="center"/>
          </w:tcPr>
          <w:p>
            <w:pPr>
              <w:keepNext w:val="0"/>
              <w:keepLines w:val="0"/>
              <w:suppressLineNumbers w:val="0"/>
              <w:spacing w:before="0" w:beforeAutospacing="0" w:after="0" w:afterAutospacing="0" w:line="360" w:lineRule="auto"/>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6.09</w:t>
            </w:r>
          </w:p>
        </w:tc>
      </w:tr>
    </w:tbl>
    <w:p>
      <w:pPr>
        <w:ind w:firstLine="480"/>
        <w:rPr>
          <w:color w:val="000000" w:themeColor="text1"/>
          <w14:textFill>
            <w14:solidFill>
              <w14:schemeClr w14:val="tx1"/>
            </w14:solidFill>
          </w14:textFill>
        </w:rPr>
      </w:pPr>
      <w:r>
        <w:rPr>
          <w:b/>
          <w:color w:val="000000" w:themeColor="text1"/>
          <w14:textFill>
            <w14:solidFill>
              <w14:schemeClr w14:val="tx1"/>
            </w14:solidFill>
          </w14:textFill>
        </w:rPr>
        <w:tab/>
      </w:r>
      <w:r>
        <w:rPr>
          <w:color w:val="000000" w:themeColor="text1"/>
          <w14:textFill>
            <w14:solidFill>
              <w14:schemeClr w14:val="tx1"/>
            </w14:solidFill>
          </w14:textFill>
        </w:rPr>
        <w:drawing>
          <wp:inline distT="0" distB="0" distL="114300" distR="114300">
            <wp:extent cx="5669280" cy="2194560"/>
            <wp:effectExtent l="0" t="0" r="7620" b="15240"/>
            <wp:docPr id="12" name="图片 42" descr="C:\Users\Administrator\AppData\Local\Temp\ksohtml399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2" descr="C:\Users\Administrator\AppData\Local\Temp\ksohtml3992\wps3.jpg"/>
                    <pic:cNvPicPr>
                      <a:picLocks noChangeAspect="1"/>
                    </pic:cNvPicPr>
                  </pic:nvPicPr>
                  <pic:blipFill>
                    <a:blip r:embed="rId41"/>
                    <a:stretch>
                      <a:fillRect/>
                    </a:stretch>
                  </pic:blipFill>
                  <pic:spPr>
                    <a:xfrm>
                      <a:off x="0" y="0"/>
                      <a:ext cx="5669280" cy="2194560"/>
                    </a:xfrm>
                    <a:prstGeom prst="rect">
                      <a:avLst/>
                    </a:prstGeom>
                    <a:noFill/>
                    <a:ln>
                      <a:noFill/>
                    </a:ln>
                  </pic:spPr>
                </pic:pic>
              </a:graphicData>
            </a:graphic>
          </wp:inline>
        </w:drawing>
      </w:r>
    </w:p>
    <w:p>
      <w:pPr>
        <w:adjustRightInd w:val="0"/>
        <w:snapToGrid w:val="0"/>
        <w:jc w:val="center"/>
        <w:rPr>
          <w:b/>
          <w:color w:val="000000" w:themeColor="text1"/>
          <w14:textFill>
            <w14:solidFill>
              <w14:schemeClr w14:val="tx1"/>
            </w14:solidFill>
          </w14:textFill>
        </w:rPr>
      </w:pPr>
      <w:bookmarkStart w:id="483" w:name="_Ref54010670"/>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bookmarkEnd w:id="483"/>
      <w:r>
        <w:rPr>
          <w:b/>
          <w:color w:val="000000" w:themeColor="text1"/>
          <w14:textFill>
            <w14:solidFill>
              <w14:schemeClr w14:val="tx1"/>
            </w14:solidFill>
          </w14:textFill>
        </w:rPr>
        <w:t xml:space="preserve">  2018年年平均风速月变化曲线</w:t>
      </w:r>
    </w:p>
    <w:p>
      <w:pPr>
        <w:spacing w:line="360" w:lineRule="auto"/>
        <w:ind w:firstLine="482"/>
        <w:rPr>
          <w:color w:val="000000" w:themeColor="text1"/>
          <w14:textFill>
            <w14:solidFill>
              <w14:schemeClr w14:val="tx1"/>
            </w14:solidFill>
          </w14:textFill>
        </w:rPr>
      </w:pPr>
      <w:r>
        <w:rPr>
          <w:color w:val="000000" w:themeColor="text1"/>
          <w14:textFill>
            <w14:solidFill>
              <w14:schemeClr w14:val="tx1"/>
            </w14:solidFill>
          </w14:textFill>
        </w:rPr>
        <w:t>②风向、风频</w:t>
      </w:r>
    </w:p>
    <w:p>
      <w:pPr>
        <w:pStyle w:val="83"/>
        <w:spacing w:line="360" w:lineRule="auto"/>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2018年全年月平均风频情</w:t>
      </w:r>
      <w:r>
        <w:rPr>
          <w:rFonts w:hint="default" w:ascii="Times New Roman" w:hAnsi="Times New Roman" w:cs="Times New Roman"/>
          <w:color w:val="000000" w:themeColor="text1"/>
          <w:sz w:val="24"/>
          <w:szCs w:val="24"/>
          <w14:textFill>
            <w14:solidFill>
              <w14:schemeClr w14:val="tx1"/>
            </w14:solidFill>
          </w14:textFill>
        </w:rPr>
        <w:t>况见</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REF _Ref54010582 \h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表</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STYLEREF 2 \s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7</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noBreakHyphen/>
      </w:r>
      <w:r>
        <w:rPr>
          <w:rFonts w:hint="default" w:ascii="Times New Roman" w:hAnsi="Times New Roman" w:cs="Times New Roman"/>
          <w:color w:val="000000" w:themeColor="text1"/>
          <w:sz w:val="24"/>
          <w:szCs w:val="24"/>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，风玫瑰</w:t>
      </w:r>
      <w:r>
        <w:rPr>
          <w:rFonts w:hint="default" w:ascii="Times New Roman" w:hAnsi="Times New Roman" w:cs="Times New Roman"/>
          <w:color w:val="000000" w:themeColor="text1"/>
          <w:sz w:val="24"/>
          <w:szCs w:val="24"/>
          <w14:textFill>
            <w14:solidFill>
              <w14:schemeClr w14:val="tx1"/>
            </w14:solidFill>
          </w14:textFill>
        </w:rPr>
        <w:t>图见</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REF _Ref54010670 \h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图</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STYLEREF 2 \s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7</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noBreakHyphen/>
      </w:r>
      <w:r>
        <w:rPr>
          <w:rFonts w:hint="default"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w:t>
      </w:r>
    </w:p>
    <w:p>
      <w:pPr>
        <w:ind w:firstLine="480"/>
        <w:jc w:val="center"/>
        <w:rPr>
          <w:b/>
          <w:color w:val="000000" w:themeColor="text1"/>
          <w14:textFill>
            <w14:solidFill>
              <w14:schemeClr w14:val="tx1"/>
            </w14:solidFill>
          </w14:textFill>
        </w:rPr>
      </w:pPr>
      <w:bookmarkStart w:id="484" w:name="_Ref54010582"/>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7</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6</w:t>
      </w:r>
      <w:r>
        <w:rPr>
          <w:b/>
          <w:color w:val="000000" w:themeColor="text1"/>
          <w:szCs w:val="24"/>
          <w14:textFill>
            <w14:solidFill>
              <w14:schemeClr w14:val="tx1"/>
            </w14:solidFill>
          </w14:textFill>
        </w:rPr>
        <w:fldChar w:fldCharType="end"/>
      </w:r>
      <w:bookmarkEnd w:id="484"/>
      <w:r>
        <w:rPr>
          <w:b/>
          <w:color w:val="000000" w:themeColor="text1"/>
          <w:szCs w:val="24"/>
          <w14:textFill>
            <w14:solidFill>
              <w14:schemeClr w14:val="tx1"/>
            </w14:solidFill>
          </w14:textFill>
        </w:rPr>
        <w:t xml:space="preserve">  </w:t>
      </w:r>
      <w:r>
        <w:rPr>
          <w:b/>
          <w:color w:val="000000" w:themeColor="text1"/>
          <w14:textFill>
            <w14:solidFill>
              <w14:schemeClr w14:val="tx1"/>
            </w14:solidFill>
          </w14:textFill>
        </w:rPr>
        <w:t>2018年年均风频的月变化及年变化情况</w:t>
      </w:r>
    </w:p>
    <w:tbl>
      <w:tblPr>
        <w:tblStyle w:val="41"/>
        <w:tblW w:w="94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6"/>
        <w:gridCol w:w="716"/>
        <w:gridCol w:w="571"/>
        <w:gridCol w:w="493"/>
        <w:gridCol w:w="494"/>
        <w:gridCol w:w="495"/>
        <w:gridCol w:w="494"/>
        <w:gridCol w:w="495"/>
        <w:gridCol w:w="494"/>
        <w:gridCol w:w="495"/>
        <w:gridCol w:w="494"/>
        <w:gridCol w:w="495"/>
        <w:gridCol w:w="494"/>
        <w:gridCol w:w="495"/>
        <w:gridCol w:w="520"/>
        <w:gridCol w:w="495"/>
        <w:gridCol w:w="494"/>
        <w:gridCol w:w="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月份</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NNE</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NE</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ENE</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E</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ESE</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SE</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SSE</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S</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SSW</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SW</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WSW</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WNW</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NW</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NNW</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静风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一月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27.69</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21.37</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13.71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4.03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3.76</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0.13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5.78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1.75</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1.34</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3.49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二月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22.77</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21.58</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7.74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3.87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0.6</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0.74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9.97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3.87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1.93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1.04</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2.23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2.83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三月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18.55</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14.38</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8.87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4.44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2.42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13.84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13.31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7.12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2.15</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3.63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四月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14.31</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14.31</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5.56</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6.53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0.83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0.42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2.36</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21.25</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15.69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6.39</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2.78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0.97</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0.83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1.67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五月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12.5</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15.46</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11.42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5.91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2.96</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0.81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16.53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12.5</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6.45</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4.44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六月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14.03</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12.64</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10.97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4.72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1.94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0.42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14.72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16.94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10.42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1.81</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3.33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七月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13.04</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10.89</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9.41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8.47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0.67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17.07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15.19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10.22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2.82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0.81</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0.81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2.96</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八月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22.04</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19.22</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15.59</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9.27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9.14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8.06</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1.61</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2.69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九月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23.06</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23.06</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14.31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7.92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0.14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5.42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5.42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4.58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1.39</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2.22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3.89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十月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26.88</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17.34</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15.59</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4.44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3.23</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0.67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1.08</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3.36</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5.24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十一月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27.08</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19.58</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12.36</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5.69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4.03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0.83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6.11</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4.17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2.78</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1.11</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1.94</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1.67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3.47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3.47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十二月</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23.66</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35.35</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12.23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3.76</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1.75</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4.17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3.09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0.94</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0.13</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1.08</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1.75</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3.49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全年</w:t>
            </w:r>
          </w:p>
        </w:tc>
        <w:tc>
          <w:tcPr>
            <w:tcW w:w="716"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20.46</w:t>
            </w:r>
          </w:p>
        </w:tc>
        <w:tc>
          <w:tcPr>
            <w:tcW w:w="571"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18.76</w:t>
            </w:r>
          </w:p>
        </w:tc>
        <w:tc>
          <w:tcPr>
            <w:tcW w:w="493"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11.93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6.35</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2.43</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0.72</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0.57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0.96</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10.7</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8.84</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4.89</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1.56</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1.21</w:t>
            </w:r>
          </w:p>
        </w:tc>
        <w:tc>
          <w:tcPr>
            <w:tcW w:w="520"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1.39</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2.02</w:t>
            </w:r>
          </w:p>
        </w:tc>
        <w:tc>
          <w:tcPr>
            <w:tcW w:w="494"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3.47</w:t>
            </w:r>
          </w:p>
        </w:tc>
        <w:tc>
          <w:tcPr>
            <w:tcW w:w="495" w:type="dxa"/>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textAlignment w:val="bottom"/>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3.76</w:t>
            </w:r>
          </w:p>
        </w:tc>
      </w:tr>
    </w:tbl>
    <w:p>
      <w:pPr>
        <w:ind w:firstLine="480"/>
        <w:jc w:val="center"/>
        <w:rPr>
          <w:b/>
          <w:color w:val="000000" w:themeColor="text1"/>
          <w14:textFill>
            <w14:solidFill>
              <w14:schemeClr w14:val="tx1"/>
            </w14:solidFill>
          </w14:textFill>
        </w:rPr>
      </w:pPr>
    </w:p>
    <w:p>
      <w:pPr>
        <w:pStyle w:val="83"/>
        <w:keepNext/>
        <w:spacing w:line="360" w:lineRule="auto"/>
        <w:ind w:firstLine="482"/>
        <w:rPr>
          <w:rFonts w:ascii="Times New Roman" w:hAnsi="Times New Roman" w:cs="Times New Roman"/>
          <w:color w:val="000000" w:themeColor="text1"/>
          <w14:textFill>
            <w14:solidFill>
              <w14:schemeClr w14:val="tx1"/>
            </w14:solidFill>
          </w14:textFill>
        </w:rPr>
      </w:pPr>
    </w:p>
    <w:p>
      <w:pPr>
        <w:pStyle w:val="83"/>
        <w:rPr>
          <w:rFonts w:ascii="Times New Roman" w:hAnsi="Times New Roman" w:cs="Times New Roman"/>
          <w:b/>
          <w:color w:val="000000" w:themeColor="text1"/>
          <w14:textFill>
            <w14:solidFill>
              <w14:schemeClr w14:val="tx1"/>
            </w14:solidFill>
          </w14:textFill>
        </w:rPr>
      </w:pPr>
    </w:p>
    <w:p>
      <w:pPr>
        <w:ind w:firstLine="480"/>
        <w:jc w:val="center"/>
        <w:rPr>
          <w:b/>
          <w:color w:val="000000" w:themeColor="text1"/>
          <w14:textFill>
            <w14:solidFill>
              <w14:schemeClr w14:val="tx1"/>
            </w14:solidFill>
          </w14:textFill>
        </w:rPr>
      </w:pPr>
      <w:r>
        <w:rPr>
          <w:b/>
          <w:color w:val="000000" w:themeColor="text1"/>
          <w14:textFill>
            <w14:solidFill>
              <w14:schemeClr w14:val="tx1"/>
            </w14:solidFill>
          </w14:textFill>
        </w:rPr>
        <w:drawing>
          <wp:inline distT="0" distB="0" distL="114300" distR="114300">
            <wp:extent cx="5072380" cy="5072380"/>
            <wp:effectExtent l="0" t="0" r="13970" b="13970"/>
            <wp:docPr id="13" name="图片 50" descr="C:\Users\Administrator\AppData\Local\Temp\ksohtml399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0" descr="C:\Users\Administrator\AppData\Local\Temp\ksohtml3992\wps4.png"/>
                    <pic:cNvPicPr>
                      <a:picLocks noChangeAspect="1"/>
                    </pic:cNvPicPr>
                  </pic:nvPicPr>
                  <pic:blipFill>
                    <a:blip r:embed="rId42"/>
                    <a:stretch>
                      <a:fillRect/>
                    </a:stretch>
                  </pic:blipFill>
                  <pic:spPr>
                    <a:xfrm>
                      <a:off x="0" y="0"/>
                      <a:ext cx="5072380" cy="5072380"/>
                    </a:xfrm>
                    <a:prstGeom prst="rect">
                      <a:avLst/>
                    </a:prstGeom>
                    <a:noFill/>
                    <a:ln>
                      <a:noFill/>
                    </a:ln>
                  </pic:spPr>
                </pic:pic>
              </a:graphicData>
            </a:graphic>
          </wp:inline>
        </w:drawing>
      </w:r>
    </w:p>
    <w:p>
      <w:pPr>
        <w:ind w:firstLine="480"/>
        <w:jc w:val="center"/>
        <w:rPr>
          <w:color w:val="000000" w:themeColor="text1"/>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项目区域2018年风频玫瑰图</w:t>
      </w:r>
    </w:p>
    <w:p>
      <w:pPr>
        <w:keepNext/>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（2）高空气象资料</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本数据是采用大气环境影响评价数值模式WRF模拟生成。模式计算过程中把全国共划分为189×159个网格，分辨率为27km×27km。模式采用的原始数据有地形高度、土地利用、陆地-水体标志、植被组成等数据，数据源主要为美国的USGS数据。模式采用美国国家环境预报中心（NCEP)的再分析数据作为模型输入场和边界场。</w:t>
      </w:r>
    </w:p>
    <w:p>
      <w:pPr>
        <w:ind w:firstLine="48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模拟气象数据信息</w:t>
      </w:r>
    </w:p>
    <w:tbl>
      <w:tblPr>
        <w:tblStyle w:val="4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18"/>
        <w:gridCol w:w="1019"/>
        <w:gridCol w:w="1603"/>
        <w:gridCol w:w="1412"/>
        <w:gridCol w:w="1842"/>
        <w:gridCol w:w="18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37" w:type="dxa"/>
            <w:gridSpan w:val="2"/>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模拟点经纬度</w:t>
            </w:r>
          </w:p>
        </w:tc>
        <w:tc>
          <w:tcPr>
            <w:tcW w:w="1603"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相对距离/km</w:t>
            </w:r>
          </w:p>
        </w:tc>
        <w:tc>
          <w:tcPr>
            <w:tcW w:w="1412"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数据年份</w:t>
            </w:r>
          </w:p>
        </w:tc>
        <w:tc>
          <w:tcPr>
            <w:tcW w:w="1842"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firstLine="2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模拟气象要素</w:t>
            </w:r>
          </w:p>
        </w:tc>
        <w:tc>
          <w:tcPr>
            <w:tcW w:w="1889" w:type="dxa"/>
            <w:vMerge w:val="restart"/>
            <w:shd w:val="clear" w:color="auto" w:fill="FFFFFF"/>
            <w:noWrap w:val="0"/>
            <w:vAlign w:val="center"/>
          </w:tcPr>
          <w:p>
            <w:pPr>
              <w:pStyle w:val="114"/>
              <w:keepNext w:val="0"/>
              <w:keepLines w:val="0"/>
              <w:suppressLineNumbers w:val="0"/>
              <w:spacing w:before="0" w:beforeAutospacing="0" w:afterAutospacing="0" w:line="240" w:lineRule="auto"/>
              <w:ind w:left="0" w:right="0" w:firstLine="21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模拟方式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8" w:type="dxa"/>
            <w:shd w:val="clear" w:color="auto" w:fill="FFFFFF"/>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kern w:val="24"/>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经度</w:t>
            </w:r>
          </w:p>
        </w:tc>
        <w:tc>
          <w:tcPr>
            <w:tcW w:w="1019" w:type="dxa"/>
            <w:shd w:val="clear" w:color="auto" w:fill="FFFFFF"/>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kern w:val="24"/>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纬度</w:t>
            </w:r>
          </w:p>
        </w:tc>
        <w:tc>
          <w:tcPr>
            <w:tcW w:w="1603" w:type="dxa"/>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412" w:type="dxa"/>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842" w:type="dxa"/>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889" w:type="dxa"/>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18" w:type="dxa"/>
            <w:shd w:val="clear" w:color="auto" w:fill="FFFFFF"/>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113.48E</w:t>
            </w:r>
          </w:p>
        </w:tc>
        <w:tc>
          <w:tcPr>
            <w:tcW w:w="1019" w:type="dxa"/>
            <w:shd w:val="clear" w:color="auto" w:fill="FFFFFF"/>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kern w:val="24"/>
                <w:sz w:val="21"/>
                <w14:textFill>
                  <w14:solidFill>
                    <w14:schemeClr w14:val="tx1"/>
                  </w14:solidFill>
                </w14:textFill>
              </w:rPr>
              <w:t>29.48N</w:t>
            </w:r>
          </w:p>
        </w:tc>
        <w:tc>
          <w:tcPr>
            <w:tcW w:w="1603"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23.0</w:t>
            </w:r>
          </w:p>
        </w:tc>
        <w:tc>
          <w:tcPr>
            <w:tcW w:w="1412"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2018</w:t>
            </w:r>
          </w:p>
        </w:tc>
        <w:tc>
          <w:tcPr>
            <w:tcW w:w="1842"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气压、离地高度、干球温度</w:t>
            </w:r>
          </w:p>
        </w:tc>
        <w:tc>
          <w:tcPr>
            <w:tcW w:w="1889" w:type="dxa"/>
            <w:shd w:val="clear" w:color="auto" w:fill="FFFFFF"/>
            <w:noWrap w:val="0"/>
            <w:vAlign w:val="center"/>
          </w:tcPr>
          <w:p>
            <w:pPr>
              <w:pStyle w:val="114"/>
              <w:keepNext w:val="0"/>
              <w:keepLines w:val="0"/>
              <w:suppressLineNumbers w:val="0"/>
              <w:spacing w:before="0" w:beforeAutospacing="0" w:afterAutospacing="0" w:line="240" w:lineRule="auto"/>
              <w:ind w:left="0" w:right="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中尺度气象模型WRF模拟数据</w:t>
            </w: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评价等级判定</w:t>
      </w:r>
    </w:p>
    <w:p>
      <w:pPr>
        <w:autoSpaceDE w:val="0"/>
        <w:autoSpaceDN w:val="0"/>
        <w:adjustRightInd w:val="0"/>
        <w:snapToGrid w:val="0"/>
        <w:spacing w:line="360" w:lineRule="auto"/>
        <w:ind w:firstLine="480"/>
        <w:rPr>
          <w:color w:val="000000" w:themeColor="text1"/>
          <w14:textFill>
            <w14:solidFill>
              <w14:schemeClr w14:val="tx1"/>
            </w14:solidFill>
          </w14:textFill>
        </w:rPr>
      </w:pPr>
      <w:r>
        <w:rPr>
          <w:color w:val="000000" w:themeColor="text1"/>
          <w:kern w:val="0"/>
          <w14:textFill>
            <w14:solidFill>
              <w14:schemeClr w14:val="tx1"/>
            </w14:solidFill>
          </w14:textFill>
        </w:rPr>
        <w:t>按照《环境影响评价技术导则—大气环境》（HJ2.2-2018）中相关规定，评价等级采用AERSCREEN估算模式进行计算，分别计算项目排放主要污染物的最大地面空气浓度占标率。根据工程分析结果，计算污染物的最大地面浓度占标率P</w:t>
      </w:r>
      <w:r>
        <w:rPr>
          <w:color w:val="000000" w:themeColor="text1"/>
          <w:kern w:val="0"/>
          <w:vertAlign w:val="subscript"/>
          <w14:textFill>
            <w14:solidFill>
              <w14:schemeClr w14:val="tx1"/>
            </w14:solidFill>
          </w14:textFill>
        </w:rPr>
        <w:t>i</w:t>
      </w:r>
      <w:r>
        <w:rPr>
          <w:color w:val="000000" w:themeColor="text1"/>
          <w:kern w:val="0"/>
          <w14:textFill>
            <w14:solidFill>
              <w14:schemeClr w14:val="tx1"/>
            </w14:solidFill>
          </w14:textFill>
        </w:rPr>
        <w:t>（第i个污染物），及第i个污染物的地面浓度达到标准限值10%时所对应的最远距离D</w:t>
      </w:r>
      <w:r>
        <w:rPr>
          <w:color w:val="000000" w:themeColor="text1"/>
          <w:kern w:val="0"/>
          <w:vertAlign w:val="subscript"/>
          <w14:textFill>
            <w14:solidFill>
              <w14:schemeClr w14:val="tx1"/>
            </w14:solidFill>
          </w14:textFill>
        </w:rPr>
        <w:t>10</w:t>
      </w:r>
      <w:r>
        <w:rPr>
          <w:color w:val="000000" w:themeColor="text1"/>
          <w:kern w:val="0"/>
          <w14:textFill>
            <w14:solidFill>
              <w14:schemeClr w14:val="tx1"/>
            </w14:solidFill>
          </w14:textFill>
        </w:rPr>
        <w:t>%。其中P</w:t>
      </w:r>
      <w:r>
        <w:rPr>
          <w:color w:val="000000" w:themeColor="text1"/>
          <w:kern w:val="0"/>
          <w:vertAlign w:val="subscript"/>
          <w14:textFill>
            <w14:solidFill>
              <w14:schemeClr w14:val="tx1"/>
            </w14:solidFill>
          </w14:textFill>
        </w:rPr>
        <w:t>i</w:t>
      </w:r>
      <w:r>
        <w:rPr>
          <w:color w:val="000000" w:themeColor="text1"/>
          <w:kern w:val="0"/>
          <w14:textFill>
            <w14:solidFill>
              <w14:schemeClr w14:val="tx1"/>
            </w14:solidFill>
          </w14:textFill>
        </w:rPr>
        <w:t>定义为：</w:t>
      </w:r>
    </w:p>
    <w:p>
      <w:pPr>
        <w:pStyle w:val="98"/>
        <w:spacing w:before="0" w:line="360" w:lineRule="auto"/>
        <w:ind w:firstLine="480"/>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position w:val="-30"/>
          <w14:textFill>
            <w14:solidFill>
              <w14:schemeClr w14:val="tx1"/>
            </w14:solidFill>
          </w14:textFill>
        </w:rPr>
        <w:object>
          <v:shape id="_x0000_i1035" o:spt="75" type="#_x0000_t75" style="height:34.55pt;width:79.5pt;" o:ole="t" filled="f" o:preferrelative="t" stroked="f" coordsize="21600,21600">
            <v:path/>
            <v:fill on="f" focussize="0,0"/>
            <v:stroke on="f"/>
            <v:imagedata r:id="rId14" o:title=""/>
            <o:lock v:ext="edit" aspectratio="t"/>
            <w10:wrap type="none"/>
            <w10:anchorlock/>
          </v:shape>
          <o:OLEObject Type="Embed" ProgID="Equation.3" ShapeID="_x0000_i1035" DrawAspect="Content" ObjectID="_1468075735" r:id="rId43">
            <o:LockedField>false</o:LockedField>
          </o:OLEObject>
        </w:object>
      </w:r>
    </w:p>
    <w:p>
      <w:pPr>
        <w:pStyle w:val="98"/>
        <w:spacing w:before="0"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式中：P</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——第i个污染物的最大地面浓度占标率，%；</w:t>
      </w:r>
    </w:p>
    <w:p>
      <w:pPr>
        <w:pStyle w:val="98"/>
        <w:spacing w:before="0" w:line="360" w:lineRule="auto"/>
        <w:ind w:left="2"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      C</w:t>
      </w:r>
      <w:r>
        <w:rPr>
          <w:rFonts w:ascii="Times New Roman" w:hAnsi="Times New Roman"/>
          <w:color w:val="000000" w:themeColor="text1"/>
          <w:vertAlign w:val="subscript"/>
          <w14:textFill>
            <w14:solidFill>
              <w14:schemeClr w14:val="tx1"/>
            </w14:solidFill>
          </w14:textFill>
        </w:rPr>
        <w:t>i</w:t>
      </w:r>
      <w:r>
        <w:rPr>
          <w:rFonts w:ascii="Times New Roman" w:hAnsi="Times New Roman"/>
          <w:color w:val="000000" w:themeColor="text1"/>
          <w14:textFill>
            <w14:solidFill>
              <w14:schemeClr w14:val="tx1"/>
            </w14:solidFill>
          </w14:textFill>
        </w:rPr>
        <w:t>——采用估算模式计算出的第i个污染物的最大地面浓度，mg/m</w:t>
      </w:r>
      <w:r>
        <w:rPr>
          <w:rFonts w:ascii="Times New Roman" w:hAnsi="Times New Roman"/>
          <w:color w:val="000000" w:themeColor="text1"/>
          <w:vertAlign w:val="superscript"/>
          <w14:textFill>
            <w14:solidFill>
              <w14:schemeClr w14:val="tx1"/>
            </w14:solidFill>
          </w14:textFill>
        </w:rPr>
        <w:t>3</w:t>
      </w:r>
      <w:r>
        <w:rPr>
          <w:rFonts w:ascii="Times New Roman" w:hAnsi="Times New Roman"/>
          <w:color w:val="000000" w:themeColor="text1"/>
          <w14:textFill>
            <w14:solidFill>
              <w14:schemeClr w14:val="tx1"/>
            </w14:solidFill>
          </w14:textFill>
        </w:rPr>
        <w:t>；</w:t>
      </w:r>
    </w:p>
    <w:p>
      <w:pPr>
        <w:adjustRightInd w:val="0"/>
        <w:snapToGrid w:val="0"/>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0i</w:t>
      </w:r>
      <w:r>
        <w:rPr>
          <w:color w:val="000000" w:themeColor="text1"/>
          <w14:textFill>
            <w14:solidFill>
              <w14:schemeClr w14:val="tx1"/>
            </w14:solidFill>
          </w14:textFill>
        </w:rPr>
        <w:t>——</w:t>
      </w:r>
      <w:r>
        <w:rPr>
          <w:color w:val="000000" w:themeColor="text1"/>
          <w:kern w:val="0"/>
          <w:szCs w:val="20"/>
          <w14:textFill>
            <w14:solidFill>
              <w14:schemeClr w14:val="tx1"/>
            </w14:solidFill>
          </w14:textFill>
        </w:rPr>
        <w:t>第i个污染物的环境空气质量标准</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 xml:space="preserve">，对于无小时浓度限值的污染物，可取日平均浓度限制的三倍值，对该标准未包含的污染物。 </w:t>
      </w:r>
    </w:p>
    <w:p>
      <w:pPr>
        <w:autoSpaceDE w:val="0"/>
        <w:autoSpaceDN w:val="0"/>
        <w:adjustRightInd w:val="0"/>
        <w:snapToGrid w:val="0"/>
        <w:spacing w:line="360" w:lineRule="auto"/>
        <w:ind w:firstLine="480"/>
        <w:rPr>
          <w:rFonts w:hint="default" w:ascii="Times New Roman" w:hAnsi="Times New Roman" w:cs="Times New Roman"/>
          <w:color w:val="000000" w:themeColor="text1"/>
          <w:kern w:val="0"/>
          <w:szCs w:val="24"/>
          <w14:textFill>
            <w14:solidFill>
              <w14:schemeClr w14:val="tx1"/>
            </w14:solidFill>
          </w14:textFill>
        </w:rPr>
      </w:pPr>
      <w:r>
        <w:rPr>
          <w:rFonts w:hint="default" w:ascii="Times New Roman" w:hAnsi="Times New Roman" w:cs="Times New Roman"/>
          <w:color w:val="000000" w:themeColor="text1"/>
          <w:kern w:val="0"/>
          <w:szCs w:val="24"/>
          <w14:textFill>
            <w14:solidFill>
              <w14:schemeClr w14:val="tx1"/>
            </w14:solidFill>
          </w14:textFill>
        </w:rPr>
        <w:t>本项目主要大气污染物的最大落地浓度和占标率见</w:t>
      </w:r>
      <w:r>
        <w:rPr>
          <w:rFonts w:hint="default" w:ascii="Times New Roman" w:hAnsi="Times New Roman" w:cs="Times New Roman"/>
          <w:color w:val="000000" w:themeColor="text1"/>
          <w:kern w:val="0"/>
          <w:szCs w:val="24"/>
          <w:lang w:val="en-US" w:eastAsia="zh-CN"/>
          <w14:textFill>
            <w14:solidFill>
              <w14:schemeClr w14:val="tx1"/>
            </w14:solidFill>
          </w14:textFill>
        </w:rPr>
        <w:t>2</w:t>
      </w:r>
      <w:r>
        <w:rPr>
          <w:rFonts w:hint="default" w:ascii="Times New Roman" w:hAnsi="Times New Roman" w:cs="Times New Roman"/>
          <w:color w:val="000000" w:themeColor="text1"/>
          <w:kern w:val="0"/>
          <w:szCs w:val="24"/>
          <w14:textFill>
            <w14:solidFill>
              <w14:schemeClr w14:val="tx1"/>
            </w14:solidFill>
          </w14:textFill>
        </w:rPr>
        <w:t>.7-</w:t>
      </w:r>
      <w:r>
        <w:rPr>
          <w:rFonts w:hint="default" w:ascii="Times New Roman" w:hAnsi="Times New Roman" w:cs="Times New Roman"/>
          <w:color w:val="000000" w:themeColor="text1"/>
          <w:kern w:val="0"/>
          <w:szCs w:val="24"/>
          <w:lang w:val="en-US" w:eastAsia="zh-CN"/>
          <w14:textFill>
            <w14:solidFill>
              <w14:schemeClr w14:val="tx1"/>
            </w14:solidFill>
          </w14:textFill>
        </w:rPr>
        <w:t>5</w:t>
      </w:r>
      <w:r>
        <w:rPr>
          <w:rFonts w:hint="default" w:ascii="Times New Roman" w:hAnsi="Times New Roman" w:cs="Times New Roman"/>
          <w:color w:val="000000" w:themeColor="text1"/>
          <w:kern w:val="0"/>
          <w:szCs w:val="24"/>
          <w14:textFill>
            <w14:solidFill>
              <w14:schemeClr w14:val="tx1"/>
            </w14:solidFill>
          </w14:textFill>
        </w:rPr>
        <w:t>，再根据表</w:t>
      </w:r>
      <w:r>
        <w:rPr>
          <w:rFonts w:hint="default" w:ascii="Times New Roman" w:hAnsi="Times New Roman" w:cs="Times New Roman"/>
          <w:color w:val="000000" w:themeColor="text1"/>
          <w:kern w:val="0"/>
          <w:szCs w:val="24"/>
          <w:lang w:val="en-US" w:eastAsia="zh-CN"/>
          <w14:textFill>
            <w14:solidFill>
              <w14:schemeClr w14:val="tx1"/>
            </w14:solidFill>
          </w14:textFill>
        </w:rPr>
        <w:t>2</w:t>
      </w:r>
      <w:r>
        <w:rPr>
          <w:rFonts w:hint="default" w:ascii="Times New Roman" w:hAnsi="Times New Roman" w:cs="Times New Roman"/>
          <w:color w:val="000000" w:themeColor="text1"/>
          <w:kern w:val="0"/>
          <w:szCs w:val="24"/>
          <w14:textFill>
            <w14:solidFill>
              <w14:schemeClr w14:val="tx1"/>
            </w14:solidFill>
          </w14:textFill>
        </w:rPr>
        <w:t>.7-1，确定大气环境影响评价等级为</w:t>
      </w:r>
      <w:r>
        <w:rPr>
          <w:rFonts w:hint="default" w:ascii="Times New Roman" w:hAnsi="Times New Roman" w:cs="Times New Roman"/>
          <w:color w:val="000000" w:themeColor="text1"/>
          <w:kern w:val="0"/>
          <w:szCs w:val="24"/>
          <w:lang w:eastAsia="zh-CN"/>
          <w14:textFill>
            <w14:solidFill>
              <w14:schemeClr w14:val="tx1"/>
            </w14:solidFill>
          </w14:textFill>
        </w:rPr>
        <w:t>三</w:t>
      </w:r>
      <w:r>
        <w:rPr>
          <w:rFonts w:hint="default" w:ascii="Times New Roman" w:hAnsi="Times New Roman" w:cs="Times New Roman"/>
          <w:color w:val="000000" w:themeColor="text1"/>
          <w:kern w:val="0"/>
          <w:szCs w:val="24"/>
          <w14:textFill>
            <w14:solidFill>
              <w14:schemeClr w14:val="tx1"/>
            </w14:solidFill>
          </w14:textFill>
        </w:rPr>
        <w:t>级。</w:t>
      </w:r>
      <w:r>
        <w:rPr>
          <w:rFonts w:hint="default" w:ascii="Times New Roman" w:hAnsi="Times New Roman" w:cs="Times New Roman"/>
          <w:color w:val="000000" w:themeColor="text1"/>
          <w:kern w:val="0"/>
          <w14:textFill>
            <w14:solidFill>
              <w14:schemeClr w14:val="tx1"/>
            </w14:solidFill>
          </w14:textFill>
        </w:rPr>
        <w:t>估算模式计算参数表见表</w:t>
      </w:r>
      <w:r>
        <w:rPr>
          <w:rFonts w:hint="default" w:ascii="Times New Roman" w:hAnsi="Times New Roman" w:cs="Times New Roman"/>
          <w:color w:val="000000" w:themeColor="text1"/>
          <w:kern w:val="0"/>
          <w:lang w:val="en-US" w:eastAsia="zh-CN"/>
          <w14:textFill>
            <w14:solidFill>
              <w14:schemeClr w14:val="tx1"/>
            </w14:solidFill>
          </w14:textFill>
        </w:rPr>
        <w:t>2</w:t>
      </w:r>
      <w:r>
        <w:rPr>
          <w:rFonts w:hint="default" w:ascii="Times New Roman" w:hAnsi="Times New Roman" w:cs="Times New Roman"/>
          <w:color w:val="000000" w:themeColor="text1"/>
          <w:kern w:val="0"/>
          <w14:textFill>
            <w14:solidFill>
              <w14:schemeClr w14:val="tx1"/>
            </w14:solidFill>
          </w14:textFill>
        </w:rPr>
        <w:t>.7-</w:t>
      </w:r>
      <w:r>
        <w:rPr>
          <w:rFonts w:hint="default" w:ascii="Times New Roman" w:hAnsi="Times New Roman" w:cs="Times New Roman"/>
          <w:color w:val="000000" w:themeColor="text1"/>
          <w:kern w:val="0"/>
          <w:lang w:val="en-US" w:eastAsia="zh-CN"/>
          <w14:textFill>
            <w14:solidFill>
              <w14:schemeClr w14:val="tx1"/>
            </w14:solidFill>
          </w14:textFill>
        </w:rPr>
        <w:t>3</w:t>
      </w:r>
      <w:r>
        <w:rPr>
          <w:rFonts w:hint="default" w:ascii="Times New Roman" w:hAnsi="Times New Roman" w:cs="Times New Roman"/>
          <w:color w:val="000000" w:themeColor="text1"/>
          <w:kern w:val="0"/>
          <w14:textFill>
            <w14:solidFill>
              <w14:schemeClr w14:val="tx1"/>
            </w14:solidFill>
          </w14:textFill>
        </w:rPr>
        <w:t>。</w:t>
      </w:r>
    </w:p>
    <w:p>
      <w:pPr>
        <w:pStyle w:val="14"/>
        <w:spacing w:line="240" w:lineRule="auto"/>
        <w:rPr>
          <w:color w:val="000000" w:themeColor="text1"/>
          <w14:textFill>
            <w14:solidFill>
              <w14:schemeClr w14:val="tx1"/>
            </w14:solidFill>
          </w14:textFill>
        </w:rPr>
      </w:pPr>
      <w:r>
        <w:rPr>
          <w:color w:val="000000" w:themeColor="text1"/>
          <w:kern w:val="0"/>
          <w:szCs w:val="24"/>
          <w14:textFill>
            <w14:solidFill>
              <w14:schemeClr w14:val="tx1"/>
            </w14:solidFill>
          </w14:textFill>
        </w:rPr>
        <w:t>表</w:t>
      </w:r>
      <w:r>
        <w:rPr>
          <w:color w:val="000000" w:themeColor="text1"/>
          <w:kern w:val="0"/>
          <w:szCs w:val="24"/>
          <w14:textFill>
            <w14:solidFill>
              <w14:schemeClr w14:val="tx1"/>
            </w14:solidFill>
          </w14:textFill>
        </w:rPr>
        <w:fldChar w:fldCharType="begin"/>
      </w:r>
      <w:r>
        <w:rPr>
          <w:color w:val="000000" w:themeColor="text1"/>
          <w:kern w:val="0"/>
          <w:szCs w:val="24"/>
          <w14:textFill>
            <w14:solidFill>
              <w14:schemeClr w14:val="tx1"/>
            </w14:solidFill>
          </w14:textFill>
        </w:rPr>
        <w:instrText xml:space="preserve"> STYLEREF 2 \s </w:instrText>
      </w:r>
      <w:r>
        <w:rPr>
          <w:color w:val="000000" w:themeColor="text1"/>
          <w:kern w:val="0"/>
          <w:szCs w:val="24"/>
          <w14:textFill>
            <w14:solidFill>
              <w14:schemeClr w14:val="tx1"/>
            </w14:solidFill>
          </w14:textFill>
        </w:rPr>
        <w:fldChar w:fldCharType="separate"/>
      </w:r>
      <w:r>
        <w:rPr>
          <w:color w:val="000000" w:themeColor="text1"/>
          <w:kern w:val="0"/>
          <w:szCs w:val="24"/>
          <w14:textFill>
            <w14:solidFill>
              <w14:schemeClr w14:val="tx1"/>
            </w14:solidFill>
          </w14:textFill>
        </w:rPr>
        <w:t>7</w:t>
      </w:r>
      <w:r>
        <w:rPr>
          <w:rFonts w:hint="eastAsia"/>
          <w:color w:val="000000" w:themeColor="text1"/>
          <w:kern w:val="0"/>
          <w:szCs w:val="24"/>
          <w:lang w:val="en-US" w:eastAsia="zh-CN"/>
          <w14:textFill>
            <w14:solidFill>
              <w14:schemeClr w14:val="tx1"/>
            </w14:solidFill>
          </w14:textFill>
        </w:rPr>
        <w:t>.</w:t>
      </w:r>
      <w:r>
        <w:rPr>
          <w:color w:val="000000" w:themeColor="text1"/>
          <w:kern w:val="0"/>
          <w:szCs w:val="24"/>
          <w14:textFill>
            <w14:solidFill>
              <w14:schemeClr w14:val="tx1"/>
            </w14:solidFill>
          </w14:textFill>
        </w:rPr>
        <w:t>2</w:t>
      </w:r>
      <w:r>
        <w:rPr>
          <w:color w:val="000000" w:themeColor="text1"/>
          <w:kern w:val="0"/>
          <w:szCs w:val="24"/>
          <w14:textFill>
            <w14:solidFill>
              <w14:schemeClr w14:val="tx1"/>
            </w14:solidFill>
          </w14:textFill>
        </w:rPr>
        <w:fldChar w:fldCharType="end"/>
      </w:r>
      <w:r>
        <w:rPr>
          <w:color w:val="000000" w:themeColor="text1"/>
          <w:kern w:val="0"/>
          <w:szCs w:val="24"/>
          <w14:textFill>
            <w14:solidFill>
              <w14:schemeClr w14:val="tx1"/>
            </w14:solidFill>
          </w14:textFill>
        </w:rPr>
        <w:noBreakHyphen/>
      </w:r>
      <w:r>
        <w:rPr>
          <w:color w:val="000000" w:themeColor="text1"/>
          <w:kern w:val="0"/>
          <w:szCs w:val="24"/>
          <w14:textFill>
            <w14:solidFill>
              <w14:schemeClr w14:val="tx1"/>
            </w14:solidFill>
          </w14:textFill>
        </w:rPr>
        <w:fldChar w:fldCharType="begin"/>
      </w:r>
      <w:r>
        <w:rPr>
          <w:color w:val="000000" w:themeColor="text1"/>
          <w:kern w:val="0"/>
          <w:szCs w:val="24"/>
          <w14:textFill>
            <w14:solidFill>
              <w14:schemeClr w14:val="tx1"/>
            </w14:solidFill>
          </w14:textFill>
        </w:rPr>
        <w:instrText xml:space="preserve"> SEQ 表 \* ARABIC \s 2 </w:instrText>
      </w:r>
      <w:r>
        <w:rPr>
          <w:color w:val="000000" w:themeColor="text1"/>
          <w:kern w:val="0"/>
          <w:szCs w:val="24"/>
          <w14:textFill>
            <w14:solidFill>
              <w14:schemeClr w14:val="tx1"/>
            </w14:solidFill>
          </w14:textFill>
        </w:rPr>
        <w:fldChar w:fldCharType="separate"/>
      </w:r>
      <w:r>
        <w:rPr>
          <w:color w:val="000000" w:themeColor="text1"/>
          <w:kern w:val="0"/>
          <w:szCs w:val="24"/>
          <w14:textFill>
            <w14:solidFill>
              <w14:schemeClr w14:val="tx1"/>
            </w14:solidFill>
          </w14:textFill>
        </w:rPr>
        <w:t>8</w:t>
      </w:r>
      <w:r>
        <w:rPr>
          <w:color w:val="000000" w:themeColor="text1"/>
          <w:kern w:val="0"/>
          <w:szCs w:val="24"/>
          <w14:textFill>
            <w14:solidFill>
              <w14:schemeClr w14:val="tx1"/>
            </w14:solidFill>
          </w14:textFill>
        </w:rPr>
        <w:fldChar w:fldCharType="end"/>
      </w:r>
      <w:r>
        <w:rPr>
          <w:rFonts w:hint="eastAsia"/>
          <w:color w:val="000000" w:themeColor="text1"/>
          <w:kern w:val="0"/>
          <w:szCs w:val="24"/>
          <w:lang w:val="en-US" w:eastAsia="zh-CN"/>
          <w14:textFill>
            <w14:solidFill>
              <w14:schemeClr w14:val="tx1"/>
            </w14:solidFill>
          </w14:textFill>
        </w:rPr>
        <w:t xml:space="preserve"> </w:t>
      </w:r>
      <w:r>
        <w:rPr>
          <w:color w:val="000000" w:themeColor="text1"/>
          <w:kern w:val="0"/>
          <w:szCs w:val="24"/>
          <w14:textFill>
            <w14:solidFill>
              <w14:schemeClr w14:val="tx1"/>
            </w14:solidFill>
          </w14:textFill>
        </w:rPr>
        <w:t xml:space="preserve"> </w:t>
      </w:r>
      <w:r>
        <w:rPr>
          <w:bCs/>
          <w:color w:val="000000" w:themeColor="text1"/>
          <w14:textFill>
            <w14:solidFill>
              <w14:schemeClr w14:val="tx1"/>
            </w14:solidFill>
          </w14:textFill>
        </w:rPr>
        <w:t>大气环境影响评价工作等级</w:t>
      </w:r>
    </w:p>
    <w:tbl>
      <w:tblPr>
        <w:tblStyle w:val="41"/>
        <w:tblW w:w="924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评价工作等级</w:t>
            </w:r>
          </w:p>
        </w:tc>
        <w:tc>
          <w:tcPr>
            <w:tcW w:w="4621" w:type="dxa"/>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评价工作等级评价工作分级判据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kern w:val="0"/>
                <w:sz w:val="21"/>
                <w:szCs w:val="21"/>
                <w14:textFill>
                  <w14:solidFill>
                    <w14:schemeClr w14:val="tx1"/>
                  </w14:solidFill>
                </w14:textFill>
              </w:rPr>
            </w:pPr>
            <w:r>
              <w:rPr>
                <w:b w:val="0"/>
                <w:color w:val="000000" w:themeColor="text1"/>
                <w:kern w:val="0"/>
                <w:sz w:val="21"/>
                <w:szCs w:val="21"/>
                <w14:textFill>
                  <w14:solidFill>
                    <w14:schemeClr w14:val="tx1"/>
                  </w14:solidFill>
                </w14:textFill>
              </w:rPr>
              <w:t>一级</w:t>
            </w:r>
          </w:p>
        </w:tc>
        <w:tc>
          <w:tcPr>
            <w:tcW w:w="4621" w:type="dxa"/>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kern w:val="0"/>
                <w:sz w:val="21"/>
                <w:szCs w:val="21"/>
                <w14:textFill>
                  <w14:solidFill>
                    <w14:schemeClr w14:val="tx1"/>
                  </w14:solidFill>
                </w14:textFill>
              </w:rPr>
            </w:pPr>
            <w:r>
              <w:rPr>
                <w:b w:val="0"/>
                <w:color w:val="000000" w:themeColor="text1"/>
                <w:kern w:val="0"/>
                <w:sz w:val="21"/>
                <w:szCs w:val="21"/>
                <w14:textFill>
                  <w14:solidFill>
                    <w14:schemeClr w14:val="tx1"/>
                  </w14:solidFill>
                </w14:textFill>
              </w:rPr>
              <w:t>Pmax ≥10%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kern w:val="0"/>
                <w:sz w:val="21"/>
                <w:szCs w:val="21"/>
                <w14:textFill>
                  <w14:solidFill>
                    <w14:schemeClr w14:val="tx1"/>
                  </w14:solidFill>
                </w14:textFill>
              </w:rPr>
            </w:pPr>
            <w:r>
              <w:rPr>
                <w:b w:val="0"/>
                <w:color w:val="000000" w:themeColor="text1"/>
                <w:kern w:val="0"/>
                <w:sz w:val="21"/>
                <w:szCs w:val="21"/>
                <w14:textFill>
                  <w14:solidFill>
                    <w14:schemeClr w14:val="tx1"/>
                  </w14:solidFill>
                </w14:textFill>
              </w:rPr>
              <w:t>二级</w:t>
            </w:r>
          </w:p>
        </w:tc>
        <w:tc>
          <w:tcPr>
            <w:tcW w:w="4621" w:type="dxa"/>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kern w:val="0"/>
                <w:sz w:val="21"/>
                <w:szCs w:val="21"/>
                <w14:textFill>
                  <w14:solidFill>
                    <w14:schemeClr w14:val="tx1"/>
                  </w14:solidFill>
                </w14:textFill>
              </w:rPr>
            </w:pPr>
            <w:r>
              <w:rPr>
                <w:b w:val="0"/>
                <w:color w:val="000000" w:themeColor="text1"/>
                <w:kern w:val="0"/>
                <w:sz w:val="21"/>
                <w:szCs w:val="21"/>
                <w14:textFill>
                  <w14:solidFill>
                    <w14:schemeClr w14:val="tx1"/>
                  </w14:solidFill>
                </w14:textFill>
              </w:rPr>
              <w:t>1% ≤P 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1" w:type="dxa"/>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kern w:val="0"/>
                <w:sz w:val="21"/>
                <w:szCs w:val="21"/>
                <w14:textFill>
                  <w14:solidFill>
                    <w14:schemeClr w14:val="tx1"/>
                  </w14:solidFill>
                </w14:textFill>
              </w:rPr>
            </w:pPr>
            <w:r>
              <w:rPr>
                <w:b w:val="0"/>
                <w:color w:val="000000" w:themeColor="text1"/>
                <w:kern w:val="0"/>
                <w:sz w:val="21"/>
                <w:szCs w:val="21"/>
                <w14:textFill>
                  <w14:solidFill>
                    <w14:schemeClr w14:val="tx1"/>
                  </w14:solidFill>
                </w14:textFill>
              </w:rPr>
              <w:t>三级</w:t>
            </w:r>
          </w:p>
        </w:tc>
        <w:tc>
          <w:tcPr>
            <w:tcW w:w="4621" w:type="dxa"/>
            <w:noWrap w:val="0"/>
            <w:vAlign w:val="center"/>
          </w:tcPr>
          <w:p>
            <w:pPr>
              <w:pStyle w:val="14"/>
              <w:keepNext w:val="0"/>
              <w:keepLines w:val="0"/>
              <w:suppressLineNumbers w:val="0"/>
              <w:spacing w:before="0" w:beforeAutospacing="0" w:after="0" w:afterAutospacing="0" w:line="240" w:lineRule="auto"/>
              <w:ind w:left="0" w:right="0"/>
              <w:rPr>
                <w:b w:val="0"/>
                <w:color w:val="000000" w:themeColor="text1"/>
                <w:kern w:val="0"/>
                <w:sz w:val="21"/>
                <w:szCs w:val="21"/>
                <w14:textFill>
                  <w14:solidFill>
                    <w14:schemeClr w14:val="tx1"/>
                  </w14:solidFill>
                </w14:textFill>
              </w:rPr>
            </w:pPr>
            <w:r>
              <w:rPr>
                <w:b w:val="0"/>
                <w:color w:val="000000" w:themeColor="text1"/>
                <w:kern w:val="0"/>
                <w:sz w:val="21"/>
                <w:szCs w:val="21"/>
                <w14:textFill>
                  <w14:solidFill>
                    <w14:schemeClr w14:val="tx1"/>
                  </w14:solidFill>
                </w14:textFill>
              </w:rPr>
              <w:t>Pmax＜1%</w:t>
            </w:r>
          </w:p>
        </w:tc>
      </w:tr>
    </w:tbl>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同一项目有多个污染源（两个及以上）时，则按各污染源分别确定评价等级，并取评价等级最高者作为项目的评价等级。</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（1）污染物评价标准</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本项目评价因子和评价标准见下表。</w:t>
      </w:r>
    </w:p>
    <w:p>
      <w:pPr>
        <w:pStyle w:val="14"/>
        <w:spacing w:line="240" w:lineRule="auto"/>
        <w:rPr>
          <w:color w:val="000000" w:themeColor="text1"/>
          <w:szCs w:val="24"/>
          <w14:textFill>
            <w14:solidFill>
              <w14:schemeClr w14:val="tx1"/>
            </w14:solidFill>
          </w14:textFill>
        </w:rPr>
      </w:pPr>
      <w:r>
        <w:rPr>
          <w:color w:val="000000" w:themeColor="text1"/>
          <w:szCs w:val="24"/>
          <w14:textFill>
            <w14:solidFill>
              <w14:schemeClr w14:val="tx1"/>
            </w14:solidFill>
          </w14:textFill>
        </w:rPr>
        <w:t>表</w:t>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STYLEREF 2 \s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7</w:t>
      </w:r>
      <w:r>
        <w:rPr>
          <w:rFonts w:hint="eastAsia"/>
          <w:color w:val="000000" w:themeColor="text1"/>
          <w:szCs w:val="24"/>
          <w:lang w:val="en-US" w:eastAsia="zh-CN"/>
          <w14:textFill>
            <w14:solidFill>
              <w14:schemeClr w14:val="tx1"/>
            </w14:solidFill>
          </w14:textFill>
        </w:rPr>
        <w:t>.</w:t>
      </w:r>
      <w:r>
        <w:rPr>
          <w:color w:val="000000" w:themeColor="text1"/>
          <w:szCs w:val="24"/>
          <w14:textFill>
            <w14:solidFill>
              <w14:schemeClr w14:val="tx1"/>
            </w14:solidFill>
          </w14:textFill>
        </w:rPr>
        <w:t>2</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noBreakHyphen/>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SEQ 表 \* ARABIC \s 2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9</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t xml:space="preserve">  评价因子和评价标准</w:t>
      </w:r>
    </w:p>
    <w:tbl>
      <w:tblPr>
        <w:tblStyle w:val="4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26"/>
        <w:gridCol w:w="1465"/>
        <w:gridCol w:w="1541"/>
        <w:gridCol w:w="51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57" w:type="pct"/>
            <w:noWrap w:val="0"/>
            <w:vAlign w:val="center"/>
          </w:tcPr>
          <w:p>
            <w:pPr>
              <w:pStyle w:val="112"/>
              <w:keepNext w:val="0"/>
              <w:keepLines w:val="0"/>
              <w:suppressLineNumbers w:val="0"/>
              <w:spacing w:before="29" w:beforeAutospacing="0" w:after="0" w:afterAutospacing="0"/>
              <w:ind w:left="152" w:right="14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评价因子</w:t>
            </w:r>
          </w:p>
        </w:tc>
        <w:tc>
          <w:tcPr>
            <w:tcW w:w="812" w:type="pct"/>
            <w:noWrap w:val="0"/>
            <w:vAlign w:val="center"/>
          </w:tcPr>
          <w:p>
            <w:pPr>
              <w:pStyle w:val="112"/>
              <w:keepNext w:val="0"/>
              <w:keepLines w:val="0"/>
              <w:suppressLineNumbers w:val="0"/>
              <w:spacing w:before="29" w:beforeAutospacing="0" w:after="0" w:afterAutospacing="0"/>
              <w:ind w:left="136" w:right="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平均时段</w:t>
            </w:r>
          </w:p>
        </w:tc>
        <w:tc>
          <w:tcPr>
            <w:tcW w:w="854" w:type="pct"/>
            <w:noWrap w:val="0"/>
            <w:vAlign w:val="center"/>
          </w:tcPr>
          <w:p>
            <w:pPr>
              <w:pStyle w:val="112"/>
              <w:keepNext w:val="0"/>
              <w:keepLines w:val="0"/>
              <w:suppressLineNumbers w:val="0"/>
              <w:spacing w:before="29" w:beforeAutospacing="0" w:after="0" w:afterAutospacing="0"/>
              <w:ind w:left="303" w:right="298"/>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标准值/（μg/m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2875" w:type="pct"/>
            <w:noWrap w:val="0"/>
            <w:vAlign w:val="center"/>
          </w:tcPr>
          <w:p>
            <w:pPr>
              <w:pStyle w:val="112"/>
              <w:keepNext w:val="0"/>
              <w:keepLines w:val="0"/>
              <w:suppressLineNumbers w:val="0"/>
              <w:spacing w:before="29" w:beforeAutospacing="0" w:after="0" w:afterAutospacing="0"/>
              <w:ind w:left="64" w:right="6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45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TVOC</w:t>
            </w:r>
          </w:p>
        </w:tc>
        <w:tc>
          <w:tcPr>
            <w:tcW w:w="812" w:type="pct"/>
            <w:noWrap w:val="0"/>
            <w:vAlign w:val="center"/>
          </w:tcPr>
          <w:p>
            <w:pPr>
              <w:pStyle w:val="112"/>
              <w:keepNext w:val="0"/>
              <w:keepLines w:val="0"/>
              <w:suppressLineNumbers w:val="0"/>
              <w:spacing w:before="40" w:beforeAutospacing="0" w:after="0" w:afterAutospacing="0"/>
              <w:ind w:left="149" w:right="132"/>
              <w:rPr>
                <w:rFonts w:hint="default" w:ascii="Times New Roman" w:hAnsi="Times New Roman" w:cs="Times New Roman"/>
                <w:color w:val="000000" w:themeColor="text1"/>
                <w:position w:val="2"/>
                <w:sz w:val="21"/>
                <w14:textFill>
                  <w14:solidFill>
                    <w14:schemeClr w14:val="tx1"/>
                  </w14:solidFill>
                </w14:textFill>
              </w:rPr>
            </w:pPr>
            <w:r>
              <w:rPr>
                <w:rFonts w:hint="default" w:ascii="Times New Roman" w:hAnsi="Times New Roman" w:cs="Times New Roman"/>
                <w:color w:val="000000" w:themeColor="text1"/>
                <w:position w:val="2"/>
                <w:sz w:val="21"/>
                <w14:textFill>
                  <w14:solidFill>
                    <w14:schemeClr w14:val="tx1"/>
                  </w14:solidFill>
                </w14:textFill>
              </w:rPr>
              <w:t>8h平均折算1小时平均</w:t>
            </w:r>
          </w:p>
        </w:tc>
        <w:tc>
          <w:tcPr>
            <w:tcW w:w="85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position w:val="2"/>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600</w:t>
            </w:r>
          </w:p>
        </w:tc>
        <w:tc>
          <w:tcPr>
            <w:tcW w:w="2875" w:type="pct"/>
            <w:noWrap w:val="0"/>
            <w:vAlign w:val="center"/>
          </w:tcPr>
          <w:p>
            <w:pPr>
              <w:pStyle w:val="112"/>
              <w:keepNext w:val="0"/>
              <w:keepLines w:val="0"/>
              <w:suppressLineNumbers w:val="0"/>
              <w:spacing w:before="30" w:beforeAutospacing="0" w:after="0" w:afterAutospacing="0"/>
              <w:ind w:left="34" w:right="-15" w:hanging="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《环境影响评价技术导则（大气环境）》（HJ2.2-2018）附录D其他污染物空气质量浓度参考限值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45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非甲烷总烃</w:t>
            </w:r>
          </w:p>
        </w:tc>
        <w:tc>
          <w:tcPr>
            <w:tcW w:w="812" w:type="pct"/>
            <w:noWrap w:val="0"/>
            <w:vAlign w:val="center"/>
          </w:tcPr>
          <w:p>
            <w:pPr>
              <w:pStyle w:val="112"/>
              <w:keepNext w:val="0"/>
              <w:keepLines w:val="0"/>
              <w:suppressLineNumbers w:val="0"/>
              <w:spacing w:before="40" w:beforeAutospacing="0" w:after="0" w:afterAutospacing="0"/>
              <w:ind w:left="149" w:right="132"/>
              <w:rPr>
                <w:rFonts w:hint="default" w:ascii="Times New Roman" w:hAnsi="Times New Roman" w:cs="Times New Roman"/>
                <w:color w:val="000000" w:themeColor="text1"/>
                <w:position w:val="2"/>
                <w:sz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1次值作为1小时平均</w:t>
            </w:r>
          </w:p>
        </w:tc>
        <w:tc>
          <w:tcPr>
            <w:tcW w:w="85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2000</w:t>
            </w:r>
          </w:p>
        </w:tc>
        <w:tc>
          <w:tcPr>
            <w:tcW w:w="2875" w:type="pct"/>
            <w:noWrap w:val="0"/>
            <w:vAlign w:val="center"/>
          </w:tcPr>
          <w:p>
            <w:pPr>
              <w:pStyle w:val="112"/>
              <w:keepNext w:val="0"/>
              <w:keepLines w:val="0"/>
              <w:suppressLineNumbers w:val="0"/>
              <w:spacing w:before="30" w:beforeAutospacing="0" w:after="0" w:afterAutospacing="0"/>
              <w:ind w:left="34" w:right="-15" w:hanging="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《大气污染物综合排放标准详解》(国家环境保护局科技标准司)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45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NH</w:t>
            </w:r>
            <w:r>
              <w:rPr>
                <w:rFonts w:hint="default" w:ascii="Times New Roman" w:hAnsi="Times New Roman" w:eastAsia="宋体" w:cs="Times New Roman"/>
                <w:color w:val="000000" w:themeColor="text1"/>
                <w:sz w:val="21"/>
                <w:vertAlign w:val="subscript"/>
                <w14:textFill>
                  <w14:solidFill>
                    <w14:schemeClr w14:val="tx1"/>
                  </w14:solidFill>
                </w14:textFill>
              </w:rPr>
              <w:t>3</w:t>
            </w:r>
          </w:p>
        </w:tc>
        <w:tc>
          <w:tcPr>
            <w:tcW w:w="812" w:type="pct"/>
            <w:noWrap w:val="0"/>
            <w:vAlign w:val="center"/>
          </w:tcPr>
          <w:p>
            <w:pPr>
              <w:pStyle w:val="112"/>
              <w:keepNext w:val="0"/>
              <w:keepLines w:val="0"/>
              <w:suppressLineNumbers w:val="0"/>
              <w:spacing w:before="40" w:beforeAutospacing="0" w:after="0" w:afterAutospacing="0"/>
              <w:ind w:left="149" w:right="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1小时平均</w:t>
            </w:r>
          </w:p>
        </w:tc>
        <w:tc>
          <w:tcPr>
            <w:tcW w:w="85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200</w:t>
            </w:r>
          </w:p>
        </w:tc>
        <w:tc>
          <w:tcPr>
            <w:tcW w:w="2875" w:type="pct"/>
            <w:noWrap w:val="0"/>
            <w:vAlign w:val="center"/>
          </w:tcPr>
          <w:p>
            <w:pPr>
              <w:pStyle w:val="112"/>
              <w:keepNext w:val="0"/>
              <w:keepLines w:val="0"/>
              <w:suppressLineNumbers w:val="0"/>
              <w:spacing w:before="30" w:beforeAutospacing="0" w:after="0" w:afterAutospacing="0"/>
              <w:ind w:left="34" w:right="-15" w:hanging="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《环境影响评价技术导则大气环境》(HJ 2.2-2018)附录D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45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H</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S</w:t>
            </w:r>
          </w:p>
        </w:tc>
        <w:tc>
          <w:tcPr>
            <w:tcW w:w="812" w:type="pct"/>
            <w:noWrap w:val="0"/>
            <w:vAlign w:val="center"/>
          </w:tcPr>
          <w:p>
            <w:pPr>
              <w:pStyle w:val="112"/>
              <w:keepNext w:val="0"/>
              <w:keepLines w:val="0"/>
              <w:suppressLineNumbers w:val="0"/>
              <w:spacing w:before="40" w:beforeAutospacing="0" w:after="0" w:afterAutospacing="0"/>
              <w:ind w:left="149" w:right="1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1小时平均</w:t>
            </w:r>
          </w:p>
        </w:tc>
        <w:tc>
          <w:tcPr>
            <w:tcW w:w="85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2875" w:type="pct"/>
            <w:noWrap w:val="0"/>
            <w:vAlign w:val="center"/>
          </w:tcPr>
          <w:p>
            <w:pPr>
              <w:pStyle w:val="112"/>
              <w:keepNext w:val="0"/>
              <w:keepLines w:val="0"/>
              <w:suppressLineNumbers w:val="0"/>
              <w:spacing w:before="30" w:beforeAutospacing="0" w:after="0" w:afterAutospacing="0"/>
              <w:ind w:left="34" w:right="-15" w:hanging="3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《环境影响评价技术导则大气环境》(HJ 2.2-2018)附录D</w:t>
            </w:r>
          </w:p>
        </w:tc>
      </w:tr>
    </w:tbl>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（2）估算模型参数</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本项目估算模型参数见下表所示。</w:t>
      </w:r>
    </w:p>
    <w:p>
      <w:pPr>
        <w:pStyle w:val="14"/>
        <w:spacing w:line="240" w:lineRule="auto"/>
        <w:rPr>
          <w:color w:val="000000" w:themeColor="text1"/>
          <w:szCs w:val="24"/>
          <w14:textFill>
            <w14:solidFill>
              <w14:schemeClr w14:val="tx1"/>
            </w14:solidFill>
          </w14:textFill>
        </w:rPr>
      </w:pPr>
    </w:p>
    <w:p>
      <w:pPr>
        <w:pStyle w:val="14"/>
        <w:spacing w:line="240" w:lineRule="auto"/>
        <w:rPr>
          <w:color w:val="000000" w:themeColor="text1"/>
          <w:szCs w:val="24"/>
          <w14:textFill>
            <w14:solidFill>
              <w14:schemeClr w14:val="tx1"/>
            </w14:solidFill>
          </w14:textFill>
        </w:rPr>
      </w:pPr>
    </w:p>
    <w:p>
      <w:pPr>
        <w:pStyle w:val="14"/>
        <w:spacing w:line="240" w:lineRule="auto"/>
        <w:rPr>
          <w:color w:val="000000" w:themeColor="text1"/>
          <w:szCs w:val="24"/>
          <w14:textFill>
            <w14:solidFill>
              <w14:schemeClr w14:val="tx1"/>
            </w14:solidFill>
          </w14:textFill>
        </w:rPr>
      </w:pPr>
    </w:p>
    <w:p>
      <w:pPr>
        <w:pStyle w:val="14"/>
        <w:spacing w:line="240" w:lineRule="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表</w:t>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STYLEREF 2 \s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7</w:t>
      </w:r>
      <w:r>
        <w:rPr>
          <w:rFonts w:hint="default" w:ascii="Times New Roman" w:hAnsi="Times New Roman" w:cs="Times New Roman"/>
          <w:color w:val="000000" w:themeColor="text1"/>
          <w:szCs w:val="24"/>
          <w:lang w:val="en-US"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noBreakHyphen/>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SEQ 表 \* ARABIC \s 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t xml:space="preserve">  估算模式参数表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498"/>
        <w:gridCol w:w="3343"/>
        <w:gridCol w:w="31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noWrap w:val="0"/>
            <w:vAlign w:val="center"/>
          </w:tcPr>
          <w:p>
            <w:pPr>
              <w:pStyle w:val="112"/>
              <w:keepNext w:val="0"/>
              <w:keepLines w:val="0"/>
              <w:suppressLineNumbers w:val="0"/>
              <w:spacing w:before="0" w:beforeAutospacing="0" w:after="0" w:afterAutospacing="0" w:line="320" w:lineRule="exact"/>
              <w:ind w:left="2321" w:right="1891"/>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参数</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取值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4" w:type="pct"/>
            <w:vMerge w:val="restart"/>
            <w:noWrap w:val="0"/>
            <w:vAlign w:val="center"/>
          </w:tcPr>
          <w:p>
            <w:pPr>
              <w:pStyle w:val="112"/>
              <w:keepNext w:val="0"/>
              <w:keepLines w:val="0"/>
              <w:suppressLineNumbers w:val="0"/>
              <w:spacing w:before="0" w:beforeAutospacing="0" w:after="0" w:afterAutospacing="0"/>
              <w:ind w:left="0" w:right="0" w:firstLine="525" w:firstLineChars="25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城市/农村选项</w:t>
            </w:r>
          </w:p>
        </w:tc>
        <w:tc>
          <w:tcPr>
            <w:tcW w:w="1852" w:type="pct"/>
            <w:noWrap w:val="0"/>
            <w:vAlign w:val="center"/>
          </w:tcPr>
          <w:p>
            <w:pPr>
              <w:pStyle w:val="112"/>
              <w:keepNext w:val="0"/>
              <w:keepLines w:val="0"/>
              <w:suppressLineNumbers w:val="0"/>
              <w:spacing w:before="37" w:beforeAutospacing="0" w:after="0" w:afterAutospacing="0"/>
              <w:ind w:left="794" w:right="36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城市/农村</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城市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852" w:type="pct"/>
            <w:noWrap w:val="0"/>
            <w:vAlign w:val="center"/>
          </w:tcPr>
          <w:p>
            <w:pPr>
              <w:pStyle w:val="112"/>
              <w:keepNext w:val="0"/>
              <w:keepLines w:val="0"/>
              <w:suppressLineNumbers w:val="0"/>
              <w:spacing w:before="39" w:beforeAutospacing="0" w:after="0" w:afterAutospacing="0"/>
              <w:ind w:left="795" w:right="36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人口数（城市选项时）</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17.7万人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noWrap w:val="0"/>
            <w:vAlign w:val="center"/>
          </w:tcPr>
          <w:p>
            <w:pPr>
              <w:pStyle w:val="112"/>
              <w:keepNext w:val="0"/>
              <w:keepLines w:val="0"/>
              <w:suppressLineNumbers w:val="0"/>
              <w:spacing w:before="37" w:beforeAutospacing="0" w:after="0" w:afterAutospacing="0"/>
              <w:ind w:left="2321" w:right="1891"/>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最高环境温度/℃</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38.58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noWrap w:val="0"/>
            <w:vAlign w:val="center"/>
          </w:tcPr>
          <w:p>
            <w:pPr>
              <w:pStyle w:val="112"/>
              <w:keepNext w:val="0"/>
              <w:keepLines w:val="0"/>
              <w:suppressLineNumbers w:val="0"/>
              <w:spacing w:before="37" w:beforeAutospacing="0" w:after="0" w:afterAutospacing="0"/>
              <w:ind w:left="2321" w:right="1891"/>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最低环境温度/℃</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noWrap w:val="0"/>
            <w:vAlign w:val="center"/>
          </w:tcPr>
          <w:p>
            <w:pPr>
              <w:pStyle w:val="112"/>
              <w:keepNext w:val="0"/>
              <w:keepLines w:val="0"/>
              <w:suppressLineNumbers w:val="0"/>
              <w:spacing w:before="37" w:beforeAutospacing="0" w:after="0" w:afterAutospacing="0"/>
              <w:ind w:left="2321" w:right="1891"/>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土地利用类型</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阔叶林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36" w:type="pct"/>
            <w:gridSpan w:val="2"/>
            <w:noWrap w:val="0"/>
            <w:vAlign w:val="center"/>
          </w:tcPr>
          <w:p>
            <w:pPr>
              <w:pStyle w:val="112"/>
              <w:keepNext w:val="0"/>
              <w:keepLines w:val="0"/>
              <w:suppressLineNumbers w:val="0"/>
              <w:spacing w:before="37" w:beforeAutospacing="0" w:after="0" w:afterAutospacing="0"/>
              <w:ind w:left="2321" w:right="1891"/>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区域湿度条件</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潮湿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1384" w:type="pct"/>
            <w:vMerge w:val="restart"/>
            <w:noWrap w:val="0"/>
            <w:vAlign w:val="center"/>
          </w:tcPr>
          <w:p>
            <w:pPr>
              <w:pStyle w:val="112"/>
              <w:keepNext w:val="0"/>
              <w:keepLines w:val="0"/>
              <w:suppressLineNumbers w:val="0"/>
              <w:spacing w:before="9" w:beforeAutospacing="0" w:after="0" w:afterAutospacing="0"/>
              <w:ind w:left="0" w:right="0"/>
              <w:rPr>
                <w:rFonts w:hint="default" w:ascii="Times New Roman" w:hAnsi="Times New Roman" w:cs="Times New Roman"/>
                <w:b/>
                <w:bCs/>
                <w:color w:val="000000" w:themeColor="text1"/>
                <w:sz w:val="11"/>
                <w:szCs w:val="11"/>
                <w14:textFill>
                  <w14:solidFill>
                    <w14:schemeClr w14:val="tx1"/>
                  </w14:solidFill>
                </w14:textFill>
              </w:rPr>
            </w:pPr>
          </w:p>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是否考虑地形</w:t>
            </w:r>
          </w:p>
        </w:tc>
        <w:tc>
          <w:tcPr>
            <w:tcW w:w="1852" w:type="pct"/>
            <w:noWrap w:val="0"/>
            <w:vAlign w:val="center"/>
          </w:tcPr>
          <w:p>
            <w:pPr>
              <w:pStyle w:val="112"/>
              <w:keepNext w:val="0"/>
              <w:keepLines w:val="0"/>
              <w:suppressLineNumbers w:val="0"/>
              <w:spacing w:before="37" w:beforeAutospacing="0" w:after="0" w:afterAutospacing="0"/>
              <w:ind w:left="795" w:right="36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考虑地形</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852" w:type="pct"/>
            <w:noWrap w:val="0"/>
            <w:vAlign w:val="center"/>
          </w:tcPr>
          <w:p>
            <w:pPr>
              <w:pStyle w:val="112"/>
              <w:keepNext w:val="0"/>
              <w:keepLines w:val="0"/>
              <w:suppressLineNumbers w:val="0"/>
              <w:spacing w:before="39" w:beforeAutospacing="0" w:after="0" w:afterAutospacing="0"/>
              <w:ind w:left="794" w:right="36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地形数据分辨率</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restart"/>
            <w:noWrap w:val="0"/>
            <w:vAlign w:val="center"/>
          </w:tcPr>
          <w:p>
            <w:pPr>
              <w:pStyle w:val="112"/>
              <w:keepNext w:val="0"/>
              <w:keepLines w:val="0"/>
              <w:suppressLineNumbers w:val="0"/>
              <w:spacing w:before="0" w:beforeAutospacing="0" w:after="0" w:afterAutospacing="0"/>
              <w:ind w:left="0" w:right="15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是否考虑海岸线熏烟</w:t>
            </w:r>
          </w:p>
        </w:tc>
        <w:tc>
          <w:tcPr>
            <w:tcW w:w="1852" w:type="pct"/>
            <w:noWrap w:val="0"/>
            <w:vAlign w:val="center"/>
          </w:tcPr>
          <w:p>
            <w:pPr>
              <w:pStyle w:val="112"/>
              <w:keepNext w:val="0"/>
              <w:keepLines w:val="0"/>
              <w:suppressLineNumbers w:val="0"/>
              <w:spacing w:before="37" w:beforeAutospacing="0" w:after="0" w:afterAutospacing="0"/>
              <w:ind w:left="794" w:right="36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考虑岸线熏烟</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852" w:type="pct"/>
            <w:noWrap w:val="0"/>
            <w:vAlign w:val="center"/>
          </w:tcPr>
          <w:p>
            <w:pPr>
              <w:pStyle w:val="112"/>
              <w:keepNext w:val="0"/>
              <w:keepLines w:val="0"/>
              <w:suppressLineNumbers w:val="0"/>
              <w:spacing w:before="37" w:beforeAutospacing="0" w:after="0" w:afterAutospacing="0"/>
              <w:ind w:left="795" w:right="367"/>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海岸线距离/m</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84"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852" w:type="pct"/>
            <w:noWrap w:val="0"/>
            <w:vAlign w:val="center"/>
          </w:tcPr>
          <w:p>
            <w:pPr>
              <w:pStyle w:val="112"/>
              <w:keepNext w:val="0"/>
              <w:keepLines w:val="0"/>
              <w:suppressLineNumbers w:val="0"/>
              <w:spacing w:before="37" w:beforeAutospacing="0" w:after="0" w:afterAutospacing="0"/>
              <w:ind w:left="795" w:right="365"/>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海岸线方向/°</w:t>
            </w:r>
          </w:p>
        </w:tc>
        <w:tc>
          <w:tcPr>
            <w:tcW w:w="1764" w:type="pct"/>
            <w:noWrap w:val="0"/>
            <w:vAlign w:val="center"/>
          </w:tcPr>
          <w:p>
            <w:pPr>
              <w:pStyle w:val="112"/>
              <w:keepNext w:val="0"/>
              <w:keepLines w:val="0"/>
              <w:suppressLineNumbers w:val="0"/>
              <w:spacing w:before="3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bl>
    <w:p>
      <w:pPr>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（3）污染源强确定及评价因子选取</w:t>
      </w:r>
    </w:p>
    <w:p>
      <w:pPr>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根据项目工程分析结果，本项目估算模式预测所采用的有组织和无组织污染源强分别见下表所示。</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矩形面源参数表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418"/>
        <w:gridCol w:w="1075"/>
        <w:gridCol w:w="1169"/>
        <w:gridCol w:w="430"/>
        <w:gridCol w:w="430"/>
        <w:gridCol w:w="430"/>
        <w:gridCol w:w="418"/>
        <w:gridCol w:w="430"/>
        <w:gridCol w:w="620"/>
        <w:gridCol w:w="418"/>
        <w:gridCol w:w="671"/>
        <w:gridCol w:w="671"/>
        <w:gridCol w:w="873"/>
        <w:gridCol w:w="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编号</w:t>
            </w:r>
          </w:p>
        </w:tc>
        <w:tc>
          <w:tcPr>
            <w:tcW w:w="226"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名称</w:t>
            </w:r>
          </w:p>
        </w:tc>
        <w:tc>
          <w:tcPr>
            <w:tcW w:w="1214" w:type="pct"/>
            <w:gridSpan w:val="2"/>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面源起点坐标/m</w:t>
            </w:r>
          </w:p>
        </w:tc>
        <w:tc>
          <w:tcPr>
            <w:tcW w:w="232"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面源海拔高度/m</w:t>
            </w:r>
          </w:p>
        </w:tc>
        <w:tc>
          <w:tcPr>
            <w:tcW w:w="232"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面源长度/m</w:t>
            </w:r>
          </w:p>
        </w:tc>
        <w:tc>
          <w:tcPr>
            <w:tcW w:w="232"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面源宽度/m</w:t>
            </w:r>
          </w:p>
        </w:tc>
        <w:tc>
          <w:tcPr>
            <w:tcW w:w="226"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与正北向夹角/°</w:t>
            </w:r>
          </w:p>
        </w:tc>
        <w:tc>
          <w:tcPr>
            <w:tcW w:w="232"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面源有效排放高度/m</w:t>
            </w:r>
          </w:p>
        </w:tc>
        <w:tc>
          <w:tcPr>
            <w:tcW w:w="335"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年排放小时数/h</w:t>
            </w:r>
          </w:p>
        </w:tc>
        <w:tc>
          <w:tcPr>
            <w:tcW w:w="226" w:type="pct"/>
            <w:vMerge w:val="restar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排放工况</w:t>
            </w:r>
          </w:p>
        </w:tc>
        <w:tc>
          <w:tcPr>
            <w:tcW w:w="1615" w:type="pct"/>
            <w:gridSpan w:val="4"/>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25"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226"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581"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X</w:t>
            </w:r>
          </w:p>
        </w:tc>
        <w:tc>
          <w:tcPr>
            <w:tcW w:w="632"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Y</w:t>
            </w:r>
          </w:p>
        </w:tc>
        <w:tc>
          <w:tcPr>
            <w:tcW w:w="232"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232"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232"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226"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232"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35"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226" w:type="pct"/>
            <w:vMerge w:val="continue"/>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p>
        </w:tc>
        <w:tc>
          <w:tcPr>
            <w:tcW w:w="36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VOCs</w:t>
            </w:r>
          </w:p>
        </w:tc>
        <w:tc>
          <w:tcPr>
            <w:tcW w:w="36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非甲烷总烃</w:t>
            </w:r>
          </w:p>
        </w:tc>
        <w:tc>
          <w:tcPr>
            <w:tcW w:w="41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H</w:t>
            </w:r>
            <w:r>
              <w:rPr>
                <w:rFonts w:hint="default" w:ascii="Times New Roman" w:hAnsi="Times New Roman" w:eastAsia="宋体" w:cs="Times New Roman"/>
                <w:color w:val="000000" w:themeColor="text1"/>
                <w:sz w:val="18"/>
                <w:szCs w:val="18"/>
                <w:vertAlign w:val="subscript"/>
                <w14:textFill>
                  <w14:solidFill>
                    <w14:schemeClr w14:val="tx1"/>
                  </w14:solidFill>
                </w14:textFill>
              </w:rPr>
              <w:t>2</w:t>
            </w:r>
            <w:r>
              <w:rPr>
                <w:rFonts w:hint="default" w:ascii="Times New Roman" w:hAnsi="Times New Roman" w:eastAsia="宋体" w:cs="Times New Roman"/>
                <w:color w:val="000000" w:themeColor="text1"/>
                <w:sz w:val="18"/>
                <w:szCs w:val="18"/>
                <w14:textFill>
                  <w14:solidFill>
                    <w14:schemeClr w14:val="tx1"/>
                  </w14:solidFill>
                </w14:textFill>
              </w:rPr>
              <w:t>S</w:t>
            </w:r>
          </w:p>
        </w:tc>
        <w:tc>
          <w:tcPr>
            <w:tcW w:w="47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NH</w:t>
            </w:r>
            <w:r>
              <w:rPr>
                <w:rFonts w:hint="default" w:ascii="Times New Roman" w:hAnsi="Times New Roman" w:eastAsia="宋体" w:cs="Times New Roman"/>
                <w:color w:val="000000" w:themeColor="text1"/>
                <w:sz w:val="18"/>
                <w:szCs w:val="18"/>
                <w:vertAlign w:val="sub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5"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w:t>
            </w:r>
          </w:p>
        </w:tc>
        <w:tc>
          <w:tcPr>
            <w:tcW w:w="226"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生产装置区面源</w:t>
            </w:r>
          </w:p>
        </w:tc>
        <w:tc>
          <w:tcPr>
            <w:tcW w:w="581"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29.465345</w:t>
            </w:r>
          </w:p>
        </w:tc>
        <w:tc>
          <w:tcPr>
            <w:tcW w:w="632"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113.315123</w:t>
            </w:r>
          </w:p>
        </w:tc>
        <w:tc>
          <w:tcPr>
            <w:tcW w:w="232"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81</w:t>
            </w:r>
          </w:p>
        </w:tc>
        <w:tc>
          <w:tcPr>
            <w:tcW w:w="232"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31</w:t>
            </w:r>
          </w:p>
        </w:tc>
        <w:tc>
          <w:tcPr>
            <w:tcW w:w="232"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23</w:t>
            </w:r>
          </w:p>
        </w:tc>
        <w:tc>
          <w:tcPr>
            <w:tcW w:w="226" w:type="pct"/>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0</w:t>
            </w:r>
          </w:p>
        </w:tc>
        <w:tc>
          <w:tcPr>
            <w:tcW w:w="232" w:type="pct"/>
            <w:noWrap w:val="0"/>
            <w:vAlign w:val="center"/>
          </w:tcPr>
          <w:p>
            <w:pPr>
              <w:pStyle w:val="14"/>
              <w:keepNext w:val="0"/>
              <w:keepLines w:val="0"/>
              <w:suppressLineNumbers w:val="0"/>
              <w:spacing w:before="0" w:beforeAutospacing="0" w:after="0" w:afterAutospacing="0"/>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10</w:t>
            </w:r>
          </w:p>
        </w:tc>
        <w:tc>
          <w:tcPr>
            <w:tcW w:w="335" w:type="pct"/>
            <w:noWrap w:val="0"/>
            <w:vAlign w:val="center"/>
          </w:tcPr>
          <w:p>
            <w:pPr>
              <w:pStyle w:val="14"/>
              <w:keepNext w:val="0"/>
              <w:keepLines w:val="0"/>
              <w:suppressLineNumbers w:val="0"/>
              <w:spacing w:before="0" w:beforeAutospacing="0" w:after="0" w:afterAutospacing="0"/>
              <w:ind w:left="0" w:right="0"/>
              <w:rPr>
                <w:rFonts w:hint="default" w:ascii="Times New Roman" w:hAnsi="Times New Roman" w:cs="Times New Roman"/>
                <w:b w:val="0"/>
                <w:color w:val="000000" w:themeColor="text1"/>
                <w:sz w:val="21"/>
                <w14:textFill>
                  <w14:solidFill>
                    <w14:schemeClr w14:val="tx1"/>
                  </w14:solidFill>
                </w14:textFill>
              </w:rPr>
            </w:pPr>
            <w:r>
              <w:rPr>
                <w:rFonts w:hint="default" w:ascii="Times New Roman" w:hAnsi="Times New Roman" w:cs="Times New Roman"/>
                <w:b w:val="0"/>
                <w:color w:val="000000" w:themeColor="text1"/>
                <w:sz w:val="21"/>
                <w14:textFill>
                  <w14:solidFill>
                    <w14:schemeClr w14:val="tx1"/>
                  </w14:solidFill>
                </w14:textFill>
              </w:rPr>
              <w:t>8760</w:t>
            </w:r>
          </w:p>
        </w:tc>
        <w:tc>
          <w:tcPr>
            <w:tcW w:w="226" w:type="pct"/>
            <w:noWrap w:val="0"/>
            <w:vAlign w:val="center"/>
          </w:tcPr>
          <w:p>
            <w:pPr>
              <w:pStyle w:val="14"/>
              <w:keepNext w:val="0"/>
              <w:keepLines w:val="0"/>
              <w:suppressLineNumbers w:val="0"/>
              <w:spacing w:before="0" w:beforeAutospacing="0" w:after="0" w:afterAutospacing="0"/>
              <w:ind w:left="0" w:right="0"/>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正常</w:t>
            </w:r>
          </w:p>
        </w:tc>
        <w:tc>
          <w:tcPr>
            <w:tcW w:w="363" w:type="pct"/>
            <w:noWrap w:val="0"/>
            <w:vAlign w:val="center"/>
          </w:tcPr>
          <w:p>
            <w:pPr>
              <w:pStyle w:val="114"/>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0.031</w:t>
            </w:r>
          </w:p>
        </w:tc>
        <w:tc>
          <w:tcPr>
            <w:tcW w:w="363" w:type="pct"/>
            <w:noWrap w:val="0"/>
            <w:vAlign w:val="center"/>
          </w:tcPr>
          <w:p>
            <w:pPr>
              <w:pStyle w:val="114"/>
              <w:keepNext w:val="0"/>
              <w:keepLines w:val="0"/>
              <w:suppressLineNumbers w:val="0"/>
              <w:spacing w:before="24" w:beforeAutospacing="0" w:after="24" w:afterAutospacing="0"/>
              <w:ind w:left="0" w:right="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0.031</w:t>
            </w:r>
          </w:p>
        </w:tc>
        <w:tc>
          <w:tcPr>
            <w:tcW w:w="417" w:type="pct"/>
            <w:noWrap w:val="0"/>
            <w:vAlign w:val="center"/>
          </w:tcPr>
          <w:p>
            <w:pPr>
              <w:pStyle w:val="114"/>
              <w:keepNext w:val="0"/>
              <w:keepLines w:val="0"/>
              <w:suppressLineNumbers w:val="0"/>
              <w:spacing w:before="24" w:beforeAutospacing="0" w:after="24" w:afterAutospacing="0"/>
              <w:ind w:left="0" w:right="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0.00009</w:t>
            </w:r>
          </w:p>
        </w:tc>
        <w:tc>
          <w:tcPr>
            <w:tcW w:w="472" w:type="pct"/>
            <w:noWrap w:val="0"/>
            <w:vAlign w:val="center"/>
          </w:tcPr>
          <w:p>
            <w:pPr>
              <w:pStyle w:val="114"/>
              <w:keepNext w:val="0"/>
              <w:keepLines w:val="0"/>
              <w:suppressLineNumbers w:val="0"/>
              <w:spacing w:before="24" w:beforeAutospacing="0" w:after="24" w:afterAutospacing="0"/>
              <w:ind w:left="0" w:right="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0.0008</w:t>
            </w:r>
          </w:p>
        </w:tc>
      </w:tr>
    </w:tbl>
    <w:p>
      <w:pPr>
        <w:pStyle w:val="14"/>
        <w:ind w:firstLine="480" w:firstLineChars="200"/>
        <w:jc w:val="both"/>
        <w:rPr>
          <w:b w:val="0"/>
          <w:color w:val="000000" w:themeColor="text1"/>
          <w14:textFill>
            <w14:solidFill>
              <w14:schemeClr w14:val="tx1"/>
            </w14:solidFill>
          </w14:textFill>
        </w:rPr>
      </w:pPr>
      <w:r>
        <w:rPr>
          <w:b w:val="0"/>
          <w:color w:val="000000" w:themeColor="text1"/>
          <w14:textFill>
            <w14:solidFill>
              <w14:schemeClr w14:val="tx1"/>
            </w14:solidFill>
          </w14:textFill>
        </w:rPr>
        <w:t>（4）估算模式数据</w:t>
      </w:r>
    </w:p>
    <w:p>
      <w:pPr>
        <w:pStyle w:val="14"/>
        <w:ind w:firstLine="480" w:firstLineChars="200"/>
        <w:jc w:val="both"/>
        <w:rPr>
          <w:b w:val="0"/>
          <w:bCs/>
          <w:color w:val="000000" w:themeColor="text1"/>
          <w:kern w:val="0"/>
          <w14:textFill>
            <w14:solidFill>
              <w14:schemeClr w14:val="tx1"/>
            </w14:solidFill>
          </w14:textFill>
        </w:rPr>
      </w:pPr>
      <w:r>
        <w:rPr>
          <w:b w:val="0"/>
          <w:bCs/>
          <w:color w:val="000000" w:themeColor="text1"/>
          <w:kern w:val="0"/>
          <w14:textFill>
            <w14:solidFill>
              <w14:schemeClr w14:val="tx1"/>
            </w14:solidFill>
          </w14:textFill>
        </w:rPr>
        <w:t>本项目采用AERSCREEN估算模式进行计算，估算结果见下表所示。</w:t>
      </w: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无组织排放预测结果一览表</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454"/>
        <w:gridCol w:w="1392"/>
        <w:gridCol w:w="1372"/>
        <w:gridCol w:w="1392"/>
        <w:gridCol w:w="1275"/>
        <w:gridCol w:w="1392"/>
        <w:gridCol w:w="96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73" w:hRule="atLeast"/>
        </w:trPr>
        <w:tc>
          <w:tcPr>
            <w:tcW w:w="787" w:type="pct"/>
            <w:vMerge w:val="restart"/>
            <w:tcBorders>
              <w:top w:val="single" w:color="auto" w:sz="12"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下风向距离（m）</w:t>
            </w:r>
          </w:p>
        </w:tc>
        <w:tc>
          <w:tcPr>
            <w:tcW w:w="4212" w:type="pct"/>
            <w:gridSpan w:val="6"/>
            <w:tcBorders>
              <w:top w:val="single" w:color="auto" w:sz="12"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矩形面源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787" w:type="pct"/>
            <w:vMerge w:val="continue"/>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非甲烷总烃浓度(μg/m³)</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非甲烷总烃占标率(%)</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VOCs浓度(μg/m³)</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VOCs占标率(%)</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S浓度(μg/m³)</w:t>
            </w:r>
          </w:p>
        </w:tc>
        <w:tc>
          <w:tcPr>
            <w:tcW w:w="518"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65"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4.0836</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4.0836</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0.34</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0.012</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0.119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43"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1.6600</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0.08</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1.6600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0.14</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0.005</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0"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0.6063</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0.6063</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0.002</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5"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0.3317</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0.3317</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7"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0.2147</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0.2147</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5"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0.1533</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0.1533</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2"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0.1165</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0.1165</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3"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0.0924</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0.0924</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7"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0.0757</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0.0757</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0"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0.0636</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0.0636</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5"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0.0544</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0.0544</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03"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0.0416</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0.0416</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8"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0.0333</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0.0333</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7"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0.0274</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0.0274</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0.0231</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0.0231</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90"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0.0199</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0.0199</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w:t>
            </w:r>
          </w:p>
        </w:tc>
        <w:tc>
          <w:tcPr>
            <w:tcW w:w="13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c>
          <w:tcPr>
            <w:tcW w:w="963"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55"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下风向最大浓度</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6.3289</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0.32</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6.3289</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0.53</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0.018</w:t>
            </w:r>
          </w:p>
        </w:tc>
        <w:tc>
          <w:tcPr>
            <w:tcW w:w="518"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0.184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787"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下风向最大浓度出现距离</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74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w:t>
            </w:r>
          </w:p>
        </w:tc>
        <w:tc>
          <w:tcPr>
            <w:tcW w:w="7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16.0</w:t>
            </w:r>
          </w:p>
        </w:tc>
        <w:tc>
          <w:tcPr>
            <w:tcW w:w="518"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787" w:type="pct"/>
            <w:tcBorders>
              <w:top w:val="single" w:color="auto" w:sz="4" w:space="0"/>
              <w:left w:val="nil"/>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D10%最远距离</w:t>
            </w:r>
          </w:p>
        </w:tc>
        <w:tc>
          <w:tcPr>
            <w:tcW w:w="753"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42"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53"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90"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53"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18" w:type="pct"/>
            <w:tcBorders>
              <w:top w:val="single" w:color="auto" w:sz="4" w:space="0"/>
              <w:left w:val="single" w:color="auto" w:sz="4"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无组织排放预测结果一览表</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25"/>
        <w:gridCol w:w="3044"/>
        <w:gridCol w:w="287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4" w:hRule="atLeast"/>
        </w:trPr>
        <w:tc>
          <w:tcPr>
            <w:tcW w:w="1799" w:type="pct"/>
            <w:vMerge w:val="restart"/>
            <w:tcBorders>
              <w:top w:val="single" w:color="auto" w:sz="12"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下风向距离</w:t>
            </w:r>
          </w:p>
        </w:tc>
        <w:tc>
          <w:tcPr>
            <w:tcW w:w="3200" w:type="pct"/>
            <w:gridSpan w:val="2"/>
            <w:tcBorders>
              <w:top w:val="single" w:color="auto" w:sz="12"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矩形面源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76" w:hRule="atLeast"/>
        </w:trPr>
        <w:tc>
          <w:tcPr>
            <w:tcW w:w="1799" w:type="pct"/>
            <w:vMerge w:val="continue"/>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1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NH</w:t>
            </w:r>
            <w:r>
              <w:rPr>
                <w:rFonts w:eastAsia="宋体" w:cs="Times New Roman"/>
                <w:color w:val="000000" w:themeColor="text1"/>
                <w:sz w:val="21"/>
                <w:szCs w:val="21"/>
                <w:vertAlign w:val="sub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浓度(μg/m³)</w:t>
            </w:r>
          </w:p>
        </w:tc>
        <w:tc>
          <w:tcPr>
            <w:tcW w:w="1553"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NH</w:t>
            </w:r>
            <w:r>
              <w:rPr>
                <w:rFonts w:eastAsia="宋体" w:cs="Times New Roman"/>
                <w:color w:val="000000" w:themeColor="text1"/>
                <w:sz w:val="21"/>
                <w:szCs w:val="21"/>
                <w:vertAlign w:val="subscript"/>
                <w14:textFill>
                  <w14:solidFill>
                    <w14:schemeClr w14:val="tx1"/>
                  </w14:solidFill>
                </w14:textFill>
              </w:rPr>
              <w:t>3</w:t>
            </w:r>
            <w:r>
              <w:rPr>
                <w:rFonts w:eastAsia="宋体" w:cs="Times New Roman"/>
                <w:color w:val="000000" w:themeColor="text1"/>
                <w:sz w:val="21"/>
                <w:szCs w:val="21"/>
                <w14:textFill>
                  <w14:solidFill>
                    <w14:schemeClr w14:val="tx1"/>
                  </w14:solidFill>
                </w14:textFill>
              </w:rPr>
              <w:t>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5"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0.105</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8"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0.043</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3"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0.016</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37"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0.009</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1"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400.0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0.006</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87"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0.004</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39"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600.0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0.003</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1"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700.0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0.002</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0"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800.0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0.002</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1"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900.0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0.002</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34"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1000.0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94"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1200.0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7"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1400.0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0"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1600.0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02"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1800.0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22"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2000.0</w:t>
            </w:r>
          </w:p>
        </w:tc>
        <w:tc>
          <w:tcPr>
            <w:tcW w:w="30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0.001</w:t>
            </w:r>
          </w:p>
        </w:tc>
        <w:tc>
          <w:tcPr>
            <w:tcW w:w="2871"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color w:val="000000" w:themeColor="text1"/>
                <w:sz w:val="23"/>
                <w:szCs w:val="23"/>
                <w14:textFill>
                  <w14:solidFill>
                    <w14:schemeClr w14:val="tx1"/>
                  </w14:solidFill>
                </w14:textFill>
              </w:rPr>
              <w:t>0.000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37"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下风向最大浓度</w:t>
            </w:r>
          </w:p>
        </w:tc>
        <w:tc>
          <w:tcPr>
            <w:tcW w:w="1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0.163</w:t>
            </w:r>
          </w:p>
        </w:tc>
        <w:tc>
          <w:tcPr>
            <w:tcW w:w="1553"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0.082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18" w:hRule="atLeast"/>
        </w:trPr>
        <w:tc>
          <w:tcPr>
            <w:tcW w:w="1799" w:type="pct"/>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下风向最大浓度出现距离</w:t>
            </w:r>
          </w:p>
        </w:tc>
        <w:tc>
          <w:tcPr>
            <w:tcW w:w="16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16.0</w:t>
            </w:r>
          </w:p>
        </w:tc>
        <w:tc>
          <w:tcPr>
            <w:tcW w:w="1553" w:type="pct"/>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18" w:hRule="atLeast"/>
        </w:trPr>
        <w:tc>
          <w:tcPr>
            <w:tcW w:w="1799" w:type="pct"/>
            <w:tcBorders>
              <w:top w:val="single" w:color="auto" w:sz="4" w:space="0"/>
              <w:left w:val="nil"/>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D10%最远距离</w:t>
            </w:r>
          </w:p>
        </w:tc>
        <w:tc>
          <w:tcPr>
            <w:tcW w:w="164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c>
          <w:tcPr>
            <w:tcW w:w="1553" w:type="pct"/>
            <w:tcBorders>
              <w:top w:val="single" w:color="auto" w:sz="4" w:space="0"/>
              <w:left w:val="single" w:color="auto" w:sz="4" w:space="0"/>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p>
        </w:tc>
      </w:tr>
    </w:tbl>
    <w:p>
      <w:pPr>
        <w:pStyle w:val="14"/>
        <w:ind w:firstLine="480" w:firstLineChars="200"/>
        <w:jc w:val="both"/>
        <w:rPr>
          <w:b w:val="0"/>
          <w:color w:val="000000" w:themeColor="text1"/>
          <w14:textFill>
            <w14:solidFill>
              <w14:schemeClr w14:val="tx1"/>
            </w14:solidFill>
          </w14:textFill>
        </w:rPr>
      </w:pPr>
      <w:r>
        <w:rPr>
          <w:b w:val="0"/>
          <w:color w:val="000000" w:themeColor="text1"/>
          <w14:textFill>
            <w14:solidFill>
              <w14:schemeClr w14:val="tx1"/>
            </w14:solidFill>
          </w14:textFill>
        </w:rPr>
        <w:t>（5）评价工作等级确定</w:t>
      </w:r>
    </w:p>
    <w:p>
      <w:pPr>
        <w:spacing w:line="360" w:lineRule="auto"/>
        <w:ind w:firstLine="480" w:firstLineChars="200"/>
        <w:rPr>
          <w:color w:val="000000" w:themeColor="text1"/>
          <w:szCs w:val="24"/>
          <w14:textFill>
            <w14:solidFill>
              <w14:schemeClr w14:val="tx1"/>
            </w14:solidFill>
          </w14:textFill>
        </w:rPr>
      </w:pPr>
      <w:r>
        <w:rPr>
          <w:color w:val="000000" w:themeColor="text1"/>
          <w14:textFill>
            <w14:solidFill>
              <w14:schemeClr w14:val="tx1"/>
            </w14:solidFill>
          </w14:textFill>
        </w:rPr>
        <w:t>本项目所有污染源正常排放的污染物的</w:t>
      </w:r>
      <w:r>
        <w:rPr>
          <w:color w:val="000000" w:themeColor="text1"/>
          <w:szCs w:val="24"/>
          <w14:textFill>
            <w14:solidFill>
              <w14:schemeClr w14:val="tx1"/>
            </w14:solidFill>
          </w14:textFill>
        </w:rPr>
        <w:t>P</w:t>
      </w:r>
      <w:r>
        <w:rPr>
          <w:color w:val="000000" w:themeColor="text1"/>
          <w:szCs w:val="24"/>
          <w:vertAlign w:val="subscript"/>
          <w14:textFill>
            <w14:solidFill>
              <w14:schemeClr w14:val="tx1"/>
            </w14:solidFill>
          </w14:textFill>
        </w:rPr>
        <w:t>max</w:t>
      </w:r>
      <w:r>
        <w:rPr>
          <w:color w:val="000000" w:themeColor="text1"/>
          <w:szCs w:val="24"/>
          <w14:textFill>
            <w14:solidFill>
              <w14:schemeClr w14:val="tx1"/>
            </w14:solidFill>
          </w14:textFill>
        </w:rPr>
        <w:t>和D</w:t>
      </w:r>
      <w:r>
        <w:rPr>
          <w:color w:val="000000" w:themeColor="text1"/>
          <w:szCs w:val="24"/>
          <w:vertAlign w:val="subscript"/>
          <w14:textFill>
            <w14:solidFill>
              <w14:schemeClr w14:val="tx1"/>
            </w14:solidFill>
          </w14:textFill>
        </w:rPr>
        <w:t>10%</w:t>
      </w:r>
      <w:r>
        <w:rPr>
          <w:color w:val="000000" w:themeColor="text1"/>
          <w:szCs w:val="24"/>
          <w14:textFill>
            <w14:solidFill>
              <w14:schemeClr w14:val="tx1"/>
            </w14:solidFill>
          </w14:textFill>
        </w:rPr>
        <w:t>预测结果如下表所示：</w:t>
      </w:r>
    </w:p>
    <w:p>
      <w:pPr>
        <w:pStyle w:val="14"/>
        <w:spacing w:line="240" w:lineRule="auto"/>
        <w:rPr>
          <w:color w:val="000000" w:themeColor="text1"/>
          <w14:textFill>
            <w14:solidFill>
              <w14:schemeClr w14:val="tx1"/>
            </w14:solidFill>
          </w14:textFill>
        </w:rPr>
      </w:pPr>
      <w:r>
        <w:rPr>
          <w:color w:val="000000" w:themeColor="text1"/>
          <w:szCs w:val="24"/>
          <w14:textFill>
            <w14:solidFill>
              <w14:schemeClr w14:val="tx1"/>
            </w14:solidFill>
          </w14:textFill>
        </w:rPr>
        <w:t>表</w:t>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STYLEREF 2 \s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7</w:t>
      </w:r>
      <w:r>
        <w:rPr>
          <w:rFonts w:hint="eastAsia"/>
          <w:color w:val="000000" w:themeColor="text1"/>
          <w:szCs w:val="24"/>
          <w:lang w:val="en-US" w:eastAsia="zh-CN"/>
          <w14:textFill>
            <w14:solidFill>
              <w14:schemeClr w14:val="tx1"/>
            </w14:solidFill>
          </w14:textFill>
        </w:rPr>
        <w:t>.</w:t>
      </w:r>
      <w:r>
        <w:rPr>
          <w:color w:val="000000" w:themeColor="text1"/>
          <w:szCs w:val="24"/>
          <w14:textFill>
            <w14:solidFill>
              <w14:schemeClr w14:val="tx1"/>
            </w14:solidFill>
          </w14:textFill>
        </w:rPr>
        <w:t>2</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noBreakHyphen/>
      </w: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SEQ 表 \* ARABIC \s 2 </w:instrText>
      </w:r>
      <w:r>
        <w:rPr>
          <w:color w:val="000000" w:themeColor="text1"/>
          <w:szCs w:val="24"/>
          <w14:textFill>
            <w14:solidFill>
              <w14:schemeClr w14:val="tx1"/>
            </w14:solidFill>
          </w14:textFill>
        </w:rPr>
        <w:fldChar w:fldCharType="separate"/>
      </w:r>
      <w:r>
        <w:rPr>
          <w:color w:val="000000" w:themeColor="text1"/>
          <w:szCs w:val="24"/>
          <w14:textFill>
            <w14:solidFill>
              <w14:schemeClr w14:val="tx1"/>
            </w14:solidFill>
          </w14:textFill>
        </w:rPr>
        <w:t>14</w:t>
      </w:r>
      <w:r>
        <w:rPr>
          <w:color w:val="000000" w:themeColor="text1"/>
          <w:szCs w:val="24"/>
          <w14:textFill>
            <w14:solidFill>
              <w14:schemeClr w14:val="tx1"/>
            </w14:solidFill>
          </w14:textFill>
        </w:rPr>
        <w:fldChar w:fldCharType="end"/>
      </w:r>
      <w:r>
        <w:rPr>
          <w:color w:val="000000" w:themeColor="text1"/>
          <w:szCs w:val="24"/>
          <w14:textFill>
            <w14:solidFill>
              <w14:schemeClr w14:val="tx1"/>
            </w14:solidFill>
          </w14:textFill>
        </w:rPr>
        <w:t xml:space="preserve">  P</w:t>
      </w:r>
      <w:r>
        <w:rPr>
          <w:color w:val="000000" w:themeColor="text1"/>
          <w:szCs w:val="24"/>
          <w:vertAlign w:val="subscript"/>
          <w14:textFill>
            <w14:solidFill>
              <w14:schemeClr w14:val="tx1"/>
            </w14:solidFill>
          </w14:textFill>
        </w:rPr>
        <w:t>max</w:t>
      </w:r>
      <w:r>
        <w:rPr>
          <w:color w:val="000000" w:themeColor="text1"/>
          <w:szCs w:val="24"/>
          <w14:textFill>
            <w14:solidFill>
              <w14:schemeClr w14:val="tx1"/>
            </w14:solidFill>
          </w14:textFill>
        </w:rPr>
        <w:t>和D</w:t>
      </w:r>
      <w:r>
        <w:rPr>
          <w:color w:val="000000" w:themeColor="text1"/>
          <w:szCs w:val="24"/>
          <w:vertAlign w:val="subscript"/>
          <w14:textFill>
            <w14:solidFill>
              <w14:schemeClr w14:val="tx1"/>
            </w14:solidFill>
          </w14:textFill>
        </w:rPr>
        <w:t>10%</w:t>
      </w:r>
      <w:r>
        <w:rPr>
          <w:color w:val="000000" w:themeColor="text1"/>
          <w:szCs w:val="24"/>
          <w14:textFill>
            <w14:solidFill>
              <w14:schemeClr w14:val="tx1"/>
            </w14:solidFill>
          </w14:textFill>
        </w:rPr>
        <w:t>预测和计算结果一览表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43"/>
        <w:gridCol w:w="1540"/>
        <w:gridCol w:w="1927"/>
        <w:gridCol w:w="1526"/>
        <w:gridCol w:w="1498"/>
        <w:gridCol w:w="9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污染源名称</w:t>
            </w: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评价因子</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评价标准(μg/m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vertAlign w:val="subscript"/>
                <w14:textFill>
                  <w14:solidFill>
                    <w14:schemeClr w14:val="tx1"/>
                  </w14:solidFill>
                </w14:textFill>
              </w:rPr>
              <w:t>max</w:t>
            </w:r>
          </w:p>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vertAlign w:val="subscript"/>
                <w14:textFill>
                  <w14:solidFill>
                    <w14:schemeClr w14:val="tx1"/>
                  </w14:solidFill>
                </w14:textFill>
              </w:rPr>
              <w:t>max</w:t>
            </w:r>
          </w:p>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p>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矩形面源</w:t>
            </w: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2000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6.3289</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0.32</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position w:val="2"/>
                <w:sz w:val="21"/>
                <w:szCs w:val="21"/>
                <w:lang w:val="en-US" w:eastAsia="zh-CN"/>
                <w14:textFill>
                  <w14:solidFill>
                    <w14:schemeClr w14:val="tx1"/>
                  </w14:solidFill>
                </w14:textFill>
              </w:rPr>
            </w:pPr>
            <w:r>
              <w:rPr>
                <w:rFonts w:hint="default" w:ascii="Times New Roman" w:hAnsi="Times New Roman" w:cs="Times New Roman"/>
                <w:color w:val="000000" w:themeColor="text1"/>
                <w:position w:val="2"/>
                <w:sz w:val="21"/>
                <w:szCs w:val="21"/>
                <w:lang w:val="en-US" w:eastAsia="zh-CN"/>
                <w14:textFill>
                  <w14:solidFill>
                    <w14:schemeClr w14:val="tx1"/>
                  </w14:solidFill>
                </w14:textFill>
              </w:rPr>
              <w:t>600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6.3289</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0.53</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position w:val="2"/>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10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0.018</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0.184</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97"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104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position w:val="2"/>
                <w:sz w:val="21"/>
                <w:szCs w:val="21"/>
                <w14:textFill>
                  <w14:solidFill>
                    <w14:schemeClr w14:val="tx1"/>
                  </w14:solidFill>
                </w14:textFill>
              </w:rPr>
            </w:pPr>
            <w:r>
              <w:rPr>
                <w:rFonts w:hint="default" w:ascii="Times New Roman" w:hAnsi="Times New Roman" w:eastAsia="宋体" w:cs="Times New Roman"/>
                <w:color w:val="000000" w:themeColor="text1"/>
                <w:position w:val="2"/>
                <w:sz w:val="21"/>
                <w:szCs w:val="21"/>
                <w14:textFill>
                  <w14:solidFill>
                    <w14:schemeClr w14:val="tx1"/>
                  </w14:solidFill>
                </w14:textFill>
              </w:rPr>
              <w:t>200</w:t>
            </w:r>
          </w:p>
        </w:tc>
        <w:tc>
          <w:tcPr>
            <w:tcW w:w="825"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0.163</w:t>
            </w:r>
          </w:p>
        </w:tc>
        <w:tc>
          <w:tcPr>
            <w:tcW w:w="810"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0.082</w:t>
            </w:r>
          </w:p>
        </w:tc>
        <w:tc>
          <w:tcPr>
            <w:tcW w:w="491"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pStyle w:val="20"/>
        <w:spacing w:after="0" w:line="360" w:lineRule="auto"/>
        <w:ind w:left="0" w:leftChars="0" w:firstLine="480"/>
        <w:rPr>
          <w:rStyle w:val="45"/>
          <w:rFonts w:hint="default" w:ascii="Times New Roman" w:hAnsi="Times New Roman" w:eastAsia="宋体" w:cs="Times New Roman"/>
          <w:color w:val="000000" w:themeColor="text1"/>
          <w:u w:val="single"/>
          <w:lang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本项目不凝气依托现有火炬系统管网气柜回收轻烃，回收不完时引入火炬焚烧，火炬系统建于2000年，因此本项目估算模式主要考虑面源的污染影响情况</w:t>
      </w:r>
      <w:r>
        <w:rPr>
          <w:rFonts w:hint="default" w:ascii="Times New Roman" w:hAnsi="Times New Roman" w:cs="Times New Roman"/>
          <w:color w:val="000000" w:themeColor="text1"/>
          <w:u w:val="single"/>
          <w:lang w:eastAsia="zh-CN"/>
          <w14:textFill>
            <w14:solidFill>
              <w14:schemeClr w14:val="tx1"/>
            </w14:solidFill>
          </w14:textFill>
        </w:rPr>
        <w:t>。</w:t>
      </w:r>
    </w:p>
    <w:p>
      <w:pPr>
        <w:pStyle w:val="14"/>
        <w:ind w:firstLine="480" w:firstLineChars="200"/>
        <w:jc w:val="left"/>
        <w:rPr>
          <w:rFonts w:hint="default" w:ascii="Times New Roman" w:hAnsi="Times New Roman" w:eastAsia="宋体" w:cs="Times New Roman"/>
          <w:b w:val="0"/>
          <w:color w:val="000000" w:themeColor="text1"/>
          <w:szCs w:val="24"/>
          <w:u w:val="single"/>
          <w:lang w:eastAsia="zh-CN"/>
          <w14:textFill>
            <w14:solidFill>
              <w14:schemeClr w14:val="tx1"/>
            </w14:solidFill>
          </w14:textFill>
        </w:rPr>
      </w:pPr>
      <w:r>
        <w:rPr>
          <w:rFonts w:hint="default" w:ascii="Times New Roman" w:hAnsi="Times New Roman" w:cs="Times New Roman"/>
          <w:b w:val="0"/>
          <w:color w:val="000000" w:themeColor="text1"/>
          <w:szCs w:val="24"/>
          <w:u w:val="single"/>
          <w14:textFill>
            <w14:solidFill>
              <w14:schemeClr w14:val="tx1"/>
            </w14:solidFill>
          </w14:textFill>
        </w:rPr>
        <w:t>综合以上分析，本项目P</w:t>
      </w:r>
      <w:r>
        <w:rPr>
          <w:rFonts w:hint="default" w:ascii="Times New Roman" w:hAnsi="Times New Roman" w:cs="Times New Roman"/>
          <w:b w:val="0"/>
          <w:color w:val="000000" w:themeColor="text1"/>
          <w:szCs w:val="24"/>
          <w:u w:val="single"/>
          <w:vertAlign w:val="subscript"/>
          <w14:textFill>
            <w14:solidFill>
              <w14:schemeClr w14:val="tx1"/>
            </w14:solidFill>
          </w14:textFill>
        </w:rPr>
        <w:t>max</w:t>
      </w:r>
      <w:r>
        <w:rPr>
          <w:rFonts w:hint="default" w:ascii="Times New Roman" w:hAnsi="Times New Roman" w:cs="Times New Roman"/>
          <w:b w:val="0"/>
          <w:color w:val="000000" w:themeColor="text1"/>
          <w:szCs w:val="24"/>
          <w:u w:val="single"/>
          <w14:textFill>
            <w14:solidFill>
              <w14:schemeClr w14:val="tx1"/>
            </w14:solidFill>
          </w14:textFill>
        </w:rPr>
        <w:t>最大值出现为面源排放的VOCs，P</w:t>
      </w:r>
      <w:r>
        <w:rPr>
          <w:rFonts w:hint="default" w:ascii="Times New Roman" w:hAnsi="Times New Roman" w:cs="Times New Roman"/>
          <w:b w:val="0"/>
          <w:color w:val="000000" w:themeColor="text1"/>
          <w:szCs w:val="24"/>
          <w:u w:val="single"/>
          <w:vertAlign w:val="subscript"/>
          <w14:textFill>
            <w14:solidFill>
              <w14:schemeClr w14:val="tx1"/>
            </w14:solidFill>
          </w14:textFill>
        </w:rPr>
        <w:t>max</w:t>
      </w:r>
      <w:r>
        <w:rPr>
          <w:rFonts w:hint="default" w:ascii="Times New Roman" w:hAnsi="Times New Roman" w:cs="Times New Roman"/>
          <w:b w:val="0"/>
          <w:color w:val="000000" w:themeColor="text1"/>
          <w:szCs w:val="24"/>
          <w:u w:val="single"/>
          <w14:textFill>
            <w14:solidFill>
              <w14:schemeClr w14:val="tx1"/>
            </w14:solidFill>
          </w14:textFill>
        </w:rPr>
        <w:t>值为0.53%，C</w:t>
      </w:r>
      <w:r>
        <w:rPr>
          <w:rFonts w:hint="default" w:ascii="Times New Roman" w:hAnsi="Times New Roman" w:cs="Times New Roman"/>
          <w:b w:val="0"/>
          <w:color w:val="000000" w:themeColor="text1"/>
          <w:szCs w:val="24"/>
          <w:u w:val="single"/>
          <w:vertAlign w:val="subscript"/>
          <w14:textFill>
            <w14:solidFill>
              <w14:schemeClr w14:val="tx1"/>
            </w14:solidFill>
          </w14:textFill>
        </w:rPr>
        <w:t>max</w:t>
      </w:r>
      <w:r>
        <w:rPr>
          <w:rFonts w:hint="default" w:ascii="Times New Roman" w:hAnsi="Times New Roman" w:cs="Times New Roman"/>
          <w:b w:val="0"/>
          <w:color w:val="000000" w:themeColor="text1"/>
          <w:szCs w:val="24"/>
          <w:u w:val="single"/>
          <w14:textFill>
            <w14:solidFill>
              <w14:schemeClr w14:val="tx1"/>
            </w14:solidFill>
          </w14:textFill>
        </w:rPr>
        <w:t>为6.3289μg/m</w:t>
      </w:r>
      <w:r>
        <w:rPr>
          <w:rFonts w:hint="default" w:ascii="Times New Roman" w:hAnsi="Times New Roman" w:cs="Times New Roman"/>
          <w:b w:val="0"/>
          <w:color w:val="000000" w:themeColor="text1"/>
          <w:szCs w:val="24"/>
          <w:u w:val="single"/>
          <w:vertAlign w:val="superscript"/>
          <w14:textFill>
            <w14:solidFill>
              <w14:schemeClr w14:val="tx1"/>
            </w14:solidFill>
          </w14:textFill>
        </w:rPr>
        <w:t>3</w:t>
      </w:r>
      <w:r>
        <w:rPr>
          <w:rFonts w:hint="default" w:ascii="Times New Roman" w:hAnsi="Times New Roman" w:cs="Times New Roman"/>
          <w:b w:val="0"/>
          <w:color w:val="000000" w:themeColor="text1"/>
          <w:szCs w:val="24"/>
          <w:u w:val="single"/>
          <w14:textFill>
            <w14:solidFill>
              <w14:schemeClr w14:val="tx1"/>
            </w14:solidFill>
          </w14:textFill>
        </w:rPr>
        <w:t>，根据《环境影响评价技术导则大气环境》(HJ2.2-2018)分级判据，确定</w:t>
      </w:r>
      <w:r>
        <w:rPr>
          <w:rFonts w:hint="default" w:ascii="Times New Roman" w:hAnsi="Times New Roman" w:cs="Times New Roman"/>
          <w:b w:val="0"/>
          <w:color w:val="000000" w:themeColor="text1"/>
          <w:szCs w:val="24"/>
          <w:u w:val="single"/>
          <w:lang w:eastAsia="zh-CN"/>
          <w14:textFill>
            <w14:solidFill>
              <w14:schemeClr w14:val="tx1"/>
            </w14:solidFill>
          </w14:textFill>
        </w:rPr>
        <w:t>本项目大气环境影响评价工作等级为三级。</w:t>
      </w:r>
    </w:p>
    <w:p>
      <w:pPr>
        <w:pStyle w:val="6"/>
        <w:rPr>
          <w:color w:val="000000" w:themeColor="text1"/>
          <w14:textFill>
            <w14:solidFill>
              <w14:schemeClr w14:val="tx1"/>
            </w14:solidFill>
          </w14:textFill>
        </w:rPr>
      </w:pPr>
      <w:r>
        <w:rPr>
          <w:color w:val="000000" w:themeColor="text1"/>
          <w14:textFill>
            <w14:solidFill>
              <w14:schemeClr w14:val="tx1"/>
            </w14:solidFill>
          </w14:textFill>
        </w:rPr>
        <w:t>气柜依托的合理性分析</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炼油部现有火炬系统建于2000年，在装置开、停工或生产不正常时，排出的各种工艺气，经现有火炬系统管网送气柜回收轻烃，回收不完时引入火炬焚烧。处理量5000Nm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/min，火炬头直径DN600，高度120m。其处理工艺：在装置开、停工或生产不正常时，排出的各种工艺气，经收集进入火炬系统的600m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气柜（统称火炬气），火炬气经水封罐、气水分离罐进入压缩机，气体经过</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压缩后进入级间冷却器，将水冷凝脱除；未被冷凝的气体进入压缩机经二级压缩后，再经盐水冷却器冷凝将气体中可能冷凝的低分子烃分离出来，压入产品罐；未被冷凝的气体进入油吸收塔，不凝气体从从塔顶排出，而烃类气体被油吸收后，进入解析塔进行解吸、冷凝后回收，进入产品罐。当进气量大于气柜容量或是装置冷凝系统出现故障时，自动点火。本项目不凝气可依托炼油部现有装置进行处理。</w:t>
      </w:r>
    </w:p>
    <w:p>
      <w:pPr>
        <w:pStyle w:val="6"/>
        <w:rPr>
          <w:color w:val="000000" w:themeColor="text1"/>
          <w14:textFill>
            <w14:solidFill>
              <w14:schemeClr w14:val="tx1"/>
            </w14:solidFill>
          </w14:textFill>
        </w:rPr>
      </w:pPr>
      <w:r>
        <w:rPr>
          <w:color w:val="000000" w:themeColor="text1"/>
          <w14:textFill>
            <w14:solidFill>
              <w14:schemeClr w14:val="tx1"/>
            </w14:solidFill>
          </w14:textFill>
        </w:rPr>
        <w:t>大气防护距离</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大气环境》（HJ2.2-2018）中的8.7.5规定“对于项目厂界浓度满足大气污染物厂界浓度限值，但厂界外大气污染物短期贡献浓度超过环境质量浓度限值的，可以自厂界向外设置一定区域的大气环境防护区域，以确保大气环境防护区域外的污染物贡献浓度满足环境质量标准”；8.8.5.1规定“采用进一步预测模型模拟评价基准年内，本项目所有污染源对厂界外主要污染物的短期贡献浓度分布。厂界外预测网格分辨率不超过50m”。</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根据预测，本项目</w:t>
      </w:r>
      <w:r>
        <w:rPr>
          <w:color w:val="000000" w:themeColor="text1"/>
          <w:szCs w:val="24"/>
          <w14:textFill>
            <w14:solidFill>
              <w14:schemeClr w14:val="tx1"/>
            </w14:solidFill>
          </w14:textFill>
        </w:rPr>
        <w:t>装置生产及管道输送过程中的跑冒滴漏的无组织排放废气</w:t>
      </w:r>
      <w:r>
        <w:rPr>
          <w:color w:val="000000" w:themeColor="text1"/>
          <w14:textFill>
            <w14:solidFill>
              <w14:schemeClr w14:val="tx1"/>
            </w14:solidFill>
          </w14:textFill>
        </w:rPr>
        <w:t>能满足相应的环境质量标准，即无超标点。因此，本项目可不设置大气环境防护距离。</w:t>
      </w:r>
    </w:p>
    <w:p>
      <w:pPr>
        <w:pStyle w:val="6"/>
        <w:rPr>
          <w:color w:val="000000" w:themeColor="text1"/>
          <w14:textFill>
            <w14:solidFill>
              <w14:schemeClr w14:val="tx1"/>
            </w14:solidFill>
          </w14:textFill>
        </w:rPr>
      </w:pPr>
      <w:r>
        <w:rPr>
          <w:color w:val="000000" w:themeColor="text1"/>
          <w14:textFill>
            <w14:solidFill>
              <w14:schemeClr w14:val="tx1"/>
            </w14:solidFill>
          </w14:textFill>
        </w:rPr>
        <w:t>大气污染物排放量核算</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  大气环境》（HJ2.2-2018）及《排污许可证申请与核发技术规范 总则》(HJ942-2018)要求，化工类排污单位主要反应设备对应的排放口为主要排放口，其余污染物排放量相对较小的污染源对应的排污口为一般排放口。本项目没有有组织废气排放口。本项目大气污染物排放量核算表如下。</w:t>
      </w:r>
    </w:p>
    <w:p>
      <w:pPr>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表</w:t>
      </w:r>
      <w:r>
        <w:rPr>
          <w:b/>
          <w:bCs/>
          <w:color w:val="000000" w:themeColor="text1"/>
          <w:szCs w:val="24"/>
          <w14:textFill>
            <w14:solidFill>
              <w14:schemeClr w14:val="tx1"/>
            </w14:solidFill>
          </w14:textFill>
        </w:rPr>
        <w:fldChar w:fldCharType="begin"/>
      </w:r>
      <w:r>
        <w:rPr>
          <w:b/>
          <w:bCs/>
          <w:color w:val="000000" w:themeColor="text1"/>
          <w:szCs w:val="24"/>
          <w14:textFill>
            <w14:solidFill>
              <w14:schemeClr w14:val="tx1"/>
            </w14:solidFill>
          </w14:textFill>
        </w:rPr>
        <w:instrText xml:space="preserve"> STYLEREF 2 \s </w:instrText>
      </w:r>
      <w:r>
        <w:rPr>
          <w:b/>
          <w:bCs/>
          <w:color w:val="000000" w:themeColor="text1"/>
          <w:szCs w:val="24"/>
          <w14:textFill>
            <w14:solidFill>
              <w14:schemeClr w14:val="tx1"/>
            </w14:solidFill>
          </w14:textFill>
        </w:rPr>
        <w:fldChar w:fldCharType="separate"/>
      </w:r>
      <w:r>
        <w:rPr>
          <w:b/>
          <w:bCs/>
          <w:color w:val="000000" w:themeColor="text1"/>
          <w:szCs w:val="24"/>
          <w14:textFill>
            <w14:solidFill>
              <w14:schemeClr w14:val="tx1"/>
            </w14:solidFill>
          </w14:textFill>
        </w:rPr>
        <w:t>7</w:t>
      </w:r>
      <w:r>
        <w:rPr>
          <w:rFonts w:hint="eastAsia"/>
          <w:b/>
          <w:bCs/>
          <w:color w:val="000000" w:themeColor="text1"/>
          <w:szCs w:val="24"/>
          <w:lang w:val="en-US" w:eastAsia="zh-CN"/>
          <w14:textFill>
            <w14:solidFill>
              <w14:schemeClr w14:val="tx1"/>
            </w14:solidFill>
          </w14:textFill>
        </w:rPr>
        <w:t>.</w:t>
      </w:r>
      <w:r>
        <w:rPr>
          <w:b/>
          <w:bCs/>
          <w:color w:val="000000" w:themeColor="text1"/>
          <w:szCs w:val="24"/>
          <w14:textFill>
            <w14:solidFill>
              <w14:schemeClr w14:val="tx1"/>
            </w14:solidFill>
          </w14:textFill>
        </w:rPr>
        <w:t>2</w:t>
      </w:r>
      <w:r>
        <w:rPr>
          <w:b/>
          <w:bCs/>
          <w:color w:val="000000" w:themeColor="text1"/>
          <w:szCs w:val="24"/>
          <w14:textFill>
            <w14:solidFill>
              <w14:schemeClr w14:val="tx1"/>
            </w14:solidFill>
          </w14:textFill>
        </w:rPr>
        <w:fldChar w:fldCharType="end"/>
      </w:r>
      <w:r>
        <w:rPr>
          <w:b/>
          <w:bCs/>
          <w:color w:val="000000" w:themeColor="text1"/>
          <w:szCs w:val="24"/>
          <w14:textFill>
            <w14:solidFill>
              <w14:schemeClr w14:val="tx1"/>
            </w14:solidFill>
          </w14:textFill>
        </w:rPr>
        <w:noBreakHyphen/>
      </w:r>
      <w:r>
        <w:rPr>
          <w:b/>
          <w:bCs/>
          <w:color w:val="000000" w:themeColor="text1"/>
          <w:szCs w:val="24"/>
          <w14:textFill>
            <w14:solidFill>
              <w14:schemeClr w14:val="tx1"/>
            </w14:solidFill>
          </w14:textFill>
        </w:rPr>
        <w:fldChar w:fldCharType="begin"/>
      </w:r>
      <w:r>
        <w:rPr>
          <w:b/>
          <w:bCs/>
          <w:color w:val="000000" w:themeColor="text1"/>
          <w:szCs w:val="24"/>
          <w14:textFill>
            <w14:solidFill>
              <w14:schemeClr w14:val="tx1"/>
            </w14:solidFill>
          </w14:textFill>
        </w:rPr>
        <w:instrText xml:space="preserve"> SEQ 表 \* ARABIC \s 2 </w:instrText>
      </w:r>
      <w:r>
        <w:rPr>
          <w:b/>
          <w:bCs/>
          <w:color w:val="000000" w:themeColor="text1"/>
          <w:szCs w:val="24"/>
          <w14:textFill>
            <w14:solidFill>
              <w14:schemeClr w14:val="tx1"/>
            </w14:solidFill>
          </w14:textFill>
        </w:rPr>
        <w:fldChar w:fldCharType="separate"/>
      </w:r>
      <w:r>
        <w:rPr>
          <w:b/>
          <w:bCs/>
          <w:color w:val="000000" w:themeColor="text1"/>
          <w:szCs w:val="24"/>
          <w14:textFill>
            <w14:solidFill>
              <w14:schemeClr w14:val="tx1"/>
            </w14:solidFill>
          </w14:textFill>
        </w:rPr>
        <w:t>15</w:t>
      </w:r>
      <w:r>
        <w:rPr>
          <w:b/>
          <w:bCs/>
          <w:color w:val="000000" w:themeColor="text1"/>
          <w:szCs w:val="24"/>
          <w14:textFill>
            <w14:solidFill>
              <w14:schemeClr w14:val="tx1"/>
            </w14:solidFill>
          </w14:textFill>
        </w:rPr>
        <w:fldChar w:fldCharType="end"/>
      </w:r>
      <w:r>
        <w:rPr>
          <w:b/>
          <w:bCs/>
          <w:color w:val="000000" w:themeColor="text1"/>
          <w:szCs w:val="24"/>
          <w14:textFill>
            <w14:solidFill>
              <w14:schemeClr w14:val="tx1"/>
            </w14:solidFill>
          </w14:textFill>
        </w:rPr>
        <w:t xml:space="preserve"> 大气污染物无组织排放量核算表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869"/>
        <w:gridCol w:w="880"/>
        <w:gridCol w:w="2320"/>
        <w:gridCol w:w="2379"/>
        <w:gridCol w:w="1159"/>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76" w:type="pct"/>
            <w:vMerge w:val="restart"/>
            <w:tcBorders>
              <w:top w:val="single" w:color="auto" w:sz="12" w:space="0"/>
              <w:lef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序号</w:t>
            </w:r>
          </w:p>
        </w:tc>
        <w:tc>
          <w:tcPr>
            <w:tcW w:w="470" w:type="pct"/>
            <w:vMerge w:val="restart"/>
            <w:tcBorders>
              <w:top w:val="single" w:color="auto" w:sz="12" w:space="0"/>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产污环节</w:t>
            </w:r>
          </w:p>
        </w:tc>
        <w:tc>
          <w:tcPr>
            <w:tcW w:w="476" w:type="pct"/>
            <w:vMerge w:val="restart"/>
            <w:tcBorders>
              <w:top w:val="single" w:color="auto" w:sz="12" w:space="0"/>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污染物</w:t>
            </w:r>
          </w:p>
        </w:tc>
        <w:tc>
          <w:tcPr>
            <w:tcW w:w="1255" w:type="pct"/>
            <w:vMerge w:val="restart"/>
            <w:tcBorders>
              <w:top w:val="single" w:color="auto" w:sz="12" w:space="0"/>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主要污染防治措施</w:t>
            </w:r>
          </w:p>
        </w:tc>
        <w:tc>
          <w:tcPr>
            <w:tcW w:w="1914" w:type="pct"/>
            <w:gridSpan w:val="2"/>
            <w:tcBorders>
              <w:top w:val="single" w:color="auto" w:sz="12" w:space="0"/>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国家或地方污染物排放标准</w:t>
            </w:r>
          </w:p>
        </w:tc>
        <w:tc>
          <w:tcPr>
            <w:tcW w:w="608" w:type="pct"/>
            <w:vMerge w:val="restart"/>
            <w:tcBorders>
              <w:top w:val="single" w:color="auto" w:sz="12" w:space="0"/>
              <w:righ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276" w:type="pct"/>
            <w:vMerge w:val="continue"/>
            <w:tcBorders>
              <w:left w:val="nil"/>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eastAsia="宋体" w:cs="Times New Roman"/>
                <w:color w:val="000000" w:themeColor="text1"/>
                <w:kern w:val="0"/>
                <w:sz w:val="21"/>
                <w14:textFill>
                  <w14:solidFill>
                    <w14:schemeClr w14:val="tx1"/>
                  </w14:solidFill>
                </w14:textFill>
              </w:rPr>
            </w:pPr>
          </w:p>
        </w:tc>
        <w:tc>
          <w:tcPr>
            <w:tcW w:w="470"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left"/>
              <w:rPr>
                <w:rFonts w:eastAsia="宋体" w:cs="Times New Roman"/>
                <w:color w:val="000000" w:themeColor="text1"/>
                <w:kern w:val="0"/>
                <w:sz w:val="21"/>
                <w14:textFill>
                  <w14:solidFill>
                    <w14:schemeClr w14:val="tx1"/>
                  </w14:solidFill>
                </w14:textFill>
              </w:rPr>
            </w:pPr>
          </w:p>
        </w:tc>
        <w:tc>
          <w:tcPr>
            <w:tcW w:w="476"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left"/>
              <w:rPr>
                <w:rFonts w:eastAsia="宋体" w:cs="Times New Roman"/>
                <w:color w:val="000000" w:themeColor="text1"/>
                <w:kern w:val="0"/>
                <w:sz w:val="21"/>
                <w14:textFill>
                  <w14:solidFill>
                    <w14:schemeClr w14:val="tx1"/>
                  </w14:solidFill>
                </w14:textFill>
              </w:rPr>
            </w:pPr>
          </w:p>
        </w:tc>
        <w:tc>
          <w:tcPr>
            <w:tcW w:w="1255" w:type="pct"/>
            <w:vMerge w:val="continue"/>
            <w:noWrap w:val="0"/>
            <w:vAlign w:val="center"/>
          </w:tcPr>
          <w:p>
            <w:pPr>
              <w:keepNext w:val="0"/>
              <w:keepLines w:val="0"/>
              <w:widowControl/>
              <w:suppressLineNumbers w:val="0"/>
              <w:adjustRightInd w:val="0"/>
              <w:snapToGrid w:val="0"/>
              <w:spacing w:before="0" w:beforeAutospacing="0" w:after="0" w:afterAutospacing="0"/>
              <w:ind w:left="0" w:right="0"/>
              <w:jc w:val="left"/>
              <w:rPr>
                <w:rFonts w:eastAsia="宋体" w:cs="Times New Roman"/>
                <w:color w:val="000000" w:themeColor="text1"/>
                <w:kern w:val="0"/>
                <w:sz w:val="21"/>
                <w14:textFill>
                  <w14:solidFill>
                    <w14:schemeClr w14:val="tx1"/>
                  </w14:solidFill>
                </w14:textFill>
              </w:rPr>
            </w:pPr>
          </w:p>
        </w:tc>
        <w:tc>
          <w:tcPr>
            <w:tcW w:w="1287" w:type="pc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标准名称</w:t>
            </w:r>
          </w:p>
        </w:tc>
        <w:tc>
          <w:tcPr>
            <w:tcW w:w="627" w:type="pc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浓度限值</w:t>
            </w:r>
          </w:p>
        </w:tc>
        <w:tc>
          <w:tcPr>
            <w:tcW w:w="608" w:type="pct"/>
            <w:vMerge w:val="continue"/>
            <w:tcBorders>
              <w:right w:val="nil"/>
            </w:tcBorders>
            <w:noWrap w:val="0"/>
            <w:vAlign w:val="center"/>
          </w:tcPr>
          <w:p>
            <w:pPr>
              <w:keepNext w:val="0"/>
              <w:keepLines w:val="0"/>
              <w:widowControl/>
              <w:suppressLineNumbers w:val="0"/>
              <w:adjustRightInd w:val="0"/>
              <w:snapToGrid w:val="0"/>
              <w:spacing w:before="0" w:beforeAutospacing="0" w:after="0" w:afterAutospacing="0"/>
              <w:ind w:left="0" w:right="0"/>
              <w:jc w:val="left"/>
              <w:rPr>
                <w:rFonts w:eastAsia="宋体" w:cs="Times New Roman"/>
                <w:color w:val="000000" w:themeColor="text1"/>
                <w:kern w:val="0"/>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3" w:hRule="atLeast"/>
          <w:jc w:val="center"/>
        </w:trPr>
        <w:tc>
          <w:tcPr>
            <w:tcW w:w="276" w:type="pct"/>
            <w:tcBorders>
              <w:lef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470" w:type="pct"/>
            <w:vMerge w:val="restar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装置、储罐区连接处、管线跑冒滴漏</w:t>
            </w:r>
          </w:p>
        </w:tc>
        <w:tc>
          <w:tcPr>
            <w:tcW w:w="47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VOCs</w:t>
            </w:r>
          </w:p>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255" w:type="pct"/>
            <w:vMerge w:val="restar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加强操作和管理减少生产过程中的跑冒滴漏</w:t>
            </w:r>
          </w:p>
        </w:tc>
        <w:tc>
          <w:tcPr>
            <w:tcW w:w="1287" w:type="pc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w:t>
            </w:r>
            <w:r>
              <w:rPr>
                <w:rFonts w:hint="eastAsia" w:ascii="Times New Roman" w:hAnsi="Times New Roman" w:cs="Times New Roman"/>
                <w:color w:val="000000" w:themeColor="text1"/>
                <w:kern w:val="0"/>
                <w:lang w:eastAsia="zh-CN"/>
                <w14:textFill>
                  <w14:solidFill>
                    <w14:schemeClr w14:val="tx1"/>
                  </w14:solidFill>
                </w14:textFill>
              </w:rPr>
              <w:t>石油炼制工业污染物排放标准</w:t>
            </w:r>
            <w:r>
              <w:rPr>
                <w:rFonts w:ascii="Times New Roman" w:hAnsi="Times New Roman" w:cs="Times New Roman"/>
                <w:color w:val="000000" w:themeColor="text1"/>
                <w:kern w:val="0"/>
                <w14:textFill>
                  <w14:solidFill>
                    <w14:schemeClr w14:val="tx1"/>
                  </w14:solidFill>
                </w14:textFill>
              </w:rPr>
              <w:t>》（GB3157</w:t>
            </w:r>
            <w:r>
              <w:rPr>
                <w:rFonts w:hint="eastAsia" w:ascii="Times New Roman" w:hAnsi="Times New Roman" w:cs="Times New Roman"/>
                <w:color w:val="000000" w:themeColor="text1"/>
                <w:kern w:val="0"/>
                <w:lang w:val="en-US" w:eastAsia="zh-CN"/>
                <w14:textFill>
                  <w14:solidFill>
                    <w14:schemeClr w14:val="tx1"/>
                  </w14:solidFill>
                </w14:textFill>
              </w:rPr>
              <w:t>0</w:t>
            </w:r>
            <w:r>
              <w:rPr>
                <w:rFonts w:ascii="Times New Roman" w:hAnsi="Times New Roman" w:cs="Times New Roman"/>
                <w:color w:val="000000" w:themeColor="text1"/>
                <w:kern w:val="0"/>
                <w14:textFill>
                  <w14:solidFill>
                    <w14:schemeClr w14:val="tx1"/>
                  </w14:solidFill>
                </w14:textFill>
              </w:rPr>
              <w:t>-2015）</w:t>
            </w:r>
          </w:p>
        </w:tc>
        <w:tc>
          <w:tcPr>
            <w:tcW w:w="627" w:type="pc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4mg/m</w:t>
            </w:r>
            <w:r>
              <w:rPr>
                <w:rFonts w:ascii="Times New Roman" w:hAnsi="Times New Roman" w:cs="Times New Roman"/>
                <w:color w:val="000000" w:themeColor="text1"/>
                <w:kern w:val="0"/>
                <w:vertAlign w:val="superscript"/>
                <w14:textFill>
                  <w14:solidFill>
                    <w14:schemeClr w14:val="tx1"/>
                  </w14:solidFill>
                </w14:textFill>
              </w:rPr>
              <w:t>3</w:t>
            </w:r>
          </w:p>
        </w:tc>
        <w:tc>
          <w:tcPr>
            <w:tcW w:w="608" w:type="pct"/>
            <w:tcBorders>
              <w:right w:val="nil"/>
            </w:tcBorders>
            <w:noWrap w:val="0"/>
            <w:vAlign w:val="center"/>
          </w:tcPr>
          <w:p>
            <w:pPr>
              <w:pStyle w:val="114"/>
              <w:keepNext w:val="0"/>
              <w:keepLines w:val="0"/>
              <w:suppressLineNumbers w:val="0"/>
              <w:spacing w:before="24" w:beforeAutospacing="0"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0.271</w:t>
            </w:r>
            <w:r>
              <w:rPr>
                <w:rFonts w:ascii="Times New Roman" w:hAnsi="Times New Roman" w:cs="Times New Roman"/>
                <w:color w:val="000000" w:themeColor="text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3" w:hRule="atLeast"/>
          <w:jc w:val="center"/>
        </w:trPr>
        <w:tc>
          <w:tcPr>
            <w:tcW w:w="276" w:type="pct"/>
            <w:tcBorders>
              <w:left w:val="nil"/>
            </w:tcBorders>
            <w:noWrap w:val="0"/>
            <w:vAlign w:val="center"/>
          </w:tcPr>
          <w:p>
            <w:pPr>
              <w:pStyle w:val="114"/>
              <w:keepNext w:val="0"/>
              <w:keepLines w:val="0"/>
              <w:suppressLineNumbers w:val="0"/>
              <w:spacing w:before="24" w:beforeAutospacing="0" w:after="24" w:afterAutospacing="0" w:line="240" w:lineRule="auto"/>
              <w:ind w:left="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p>
        </w:tc>
        <w:tc>
          <w:tcPr>
            <w:tcW w:w="470" w:type="pct"/>
            <w:vMerge w:val="continue"/>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p>
        </w:tc>
        <w:tc>
          <w:tcPr>
            <w:tcW w:w="47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t>
            </w:r>
            <w:r>
              <w:rPr>
                <w:rFonts w:eastAsia="宋体" w:cs="Times New Roman"/>
                <w:color w:val="000000" w:themeColor="text1"/>
                <w:sz w:val="21"/>
                <w:szCs w:val="21"/>
                <w:vertAlign w:val="subscript"/>
                <w14:textFill>
                  <w14:solidFill>
                    <w14:schemeClr w14:val="tx1"/>
                  </w14:solidFill>
                </w14:textFill>
              </w:rPr>
              <w:t>2</w:t>
            </w:r>
            <w:r>
              <w:rPr>
                <w:rFonts w:eastAsia="宋体" w:cs="Times New Roman"/>
                <w:color w:val="000000" w:themeColor="text1"/>
                <w:sz w:val="21"/>
                <w:szCs w:val="21"/>
                <w14:textFill>
                  <w14:solidFill>
                    <w14:schemeClr w14:val="tx1"/>
                  </w14:solidFill>
                </w14:textFill>
              </w:rPr>
              <w:t>S</w:t>
            </w:r>
          </w:p>
        </w:tc>
        <w:tc>
          <w:tcPr>
            <w:tcW w:w="1255" w:type="pct"/>
            <w:vMerge w:val="continue"/>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14:textFill>
                  <w14:solidFill>
                    <w14:schemeClr w14:val="tx1"/>
                  </w14:solidFill>
                </w14:textFill>
              </w:rPr>
            </w:pPr>
          </w:p>
        </w:tc>
        <w:tc>
          <w:tcPr>
            <w:tcW w:w="1287" w:type="pc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bCs/>
                <w:color w:val="000000" w:themeColor="text1"/>
                <w:kern w:val="2"/>
                <w14:textFill>
                  <w14:solidFill>
                    <w14:schemeClr w14:val="tx1"/>
                  </w14:solidFill>
                </w14:textFill>
              </w:rPr>
              <w:t>《恶臭污染物排放标准》（GB14554-93）</w:t>
            </w:r>
          </w:p>
        </w:tc>
        <w:tc>
          <w:tcPr>
            <w:tcW w:w="627" w:type="pct"/>
            <w:noWrap w:val="0"/>
            <w:vAlign w:val="center"/>
          </w:tcPr>
          <w:p>
            <w:pPr>
              <w:pStyle w:val="114"/>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0.06</w:t>
            </w:r>
            <w:r>
              <w:rPr>
                <w:rFonts w:ascii="Times New Roman" w:hAnsi="Times New Roman" w:cs="Times New Roman"/>
                <w:color w:val="000000" w:themeColor="text1"/>
                <w:kern w:val="0"/>
                <w14:textFill>
                  <w14:solidFill>
                    <w14:schemeClr w14:val="tx1"/>
                  </w14:solidFill>
                </w14:textFill>
              </w:rPr>
              <w:t>mg/m</w:t>
            </w:r>
            <w:r>
              <w:rPr>
                <w:rFonts w:ascii="Times New Roman" w:hAnsi="Times New Roman" w:cs="Times New Roman"/>
                <w:color w:val="000000" w:themeColor="text1"/>
                <w:kern w:val="0"/>
                <w:vertAlign w:val="superscript"/>
                <w14:textFill>
                  <w14:solidFill>
                    <w14:schemeClr w14:val="tx1"/>
                  </w14:solidFill>
                </w14:textFill>
              </w:rPr>
              <w:t>3</w:t>
            </w:r>
          </w:p>
        </w:tc>
        <w:tc>
          <w:tcPr>
            <w:tcW w:w="608" w:type="pct"/>
            <w:tcBorders>
              <w:right w:val="nil"/>
            </w:tcBorders>
            <w:noWrap w:val="0"/>
            <w:vAlign w:val="center"/>
          </w:tcPr>
          <w:p>
            <w:pPr>
              <w:pStyle w:val="114"/>
              <w:keepNext w:val="0"/>
              <w:keepLines w:val="0"/>
              <w:suppressLineNumbers w:val="0"/>
              <w:spacing w:before="24" w:beforeAutospacing="0" w:afterAutospacing="0" w:line="240" w:lineRule="auto"/>
              <w:ind w:left="0" w:right="0"/>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3" w:hRule="atLeast"/>
          <w:jc w:val="center"/>
        </w:trPr>
        <w:tc>
          <w:tcPr>
            <w:tcW w:w="276" w:type="pct"/>
            <w:tcBorders>
              <w:left w:val="nil"/>
            </w:tcBorders>
            <w:noWrap w:val="0"/>
            <w:vAlign w:val="center"/>
          </w:tcPr>
          <w:p>
            <w:pPr>
              <w:pStyle w:val="114"/>
              <w:keepNext w:val="0"/>
              <w:keepLines w:val="0"/>
              <w:suppressLineNumbers w:val="0"/>
              <w:spacing w:before="24" w:beforeAutospacing="0" w:after="24" w:afterAutospacing="0" w:line="240" w:lineRule="auto"/>
              <w:ind w:left="0" w:right="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3</w:t>
            </w:r>
          </w:p>
        </w:tc>
        <w:tc>
          <w:tcPr>
            <w:tcW w:w="470" w:type="pct"/>
            <w:vMerge w:val="continue"/>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p>
        </w:tc>
        <w:tc>
          <w:tcPr>
            <w:tcW w:w="47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NH</w:t>
            </w:r>
            <w:r>
              <w:rPr>
                <w:rFonts w:eastAsia="宋体" w:cs="Times New Roman"/>
                <w:color w:val="000000" w:themeColor="text1"/>
                <w:sz w:val="21"/>
                <w:szCs w:val="21"/>
                <w:vertAlign w:val="subscript"/>
                <w14:textFill>
                  <w14:solidFill>
                    <w14:schemeClr w14:val="tx1"/>
                  </w14:solidFill>
                </w14:textFill>
              </w:rPr>
              <w:t>3</w:t>
            </w:r>
          </w:p>
        </w:tc>
        <w:tc>
          <w:tcPr>
            <w:tcW w:w="1255" w:type="pct"/>
            <w:vMerge w:val="continue"/>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14:textFill>
                  <w14:solidFill>
                    <w14:schemeClr w14:val="tx1"/>
                  </w14:solidFill>
                </w14:textFill>
              </w:rPr>
            </w:pPr>
          </w:p>
        </w:tc>
        <w:tc>
          <w:tcPr>
            <w:tcW w:w="1287" w:type="pct"/>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bCs/>
                <w:color w:val="000000" w:themeColor="text1"/>
                <w:kern w:val="2"/>
                <w14:textFill>
                  <w14:solidFill>
                    <w14:schemeClr w14:val="tx1"/>
                  </w14:solidFill>
                </w14:textFill>
              </w:rPr>
              <w:t>《恶臭污染物排放标准》（GB14554-93）</w:t>
            </w:r>
          </w:p>
        </w:tc>
        <w:tc>
          <w:tcPr>
            <w:tcW w:w="627" w:type="pct"/>
            <w:noWrap w:val="0"/>
            <w:vAlign w:val="center"/>
          </w:tcPr>
          <w:p>
            <w:pPr>
              <w:pStyle w:val="114"/>
              <w:keepNext w:val="0"/>
              <w:keepLines w:val="0"/>
              <w:suppressLineNumbers w:val="0"/>
              <w:spacing w:before="24" w:beforeAutospacing="0" w:after="24" w:afterAutospacing="0" w:line="240" w:lineRule="auto"/>
              <w:ind w:left="0" w:right="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1.5</w:t>
            </w:r>
            <w:r>
              <w:rPr>
                <w:rFonts w:ascii="Times New Roman" w:hAnsi="Times New Roman" w:cs="Times New Roman"/>
                <w:color w:val="000000" w:themeColor="text1"/>
                <w:kern w:val="0"/>
                <w14:textFill>
                  <w14:solidFill>
                    <w14:schemeClr w14:val="tx1"/>
                  </w14:solidFill>
                </w14:textFill>
              </w:rPr>
              <w:t>mg/m</w:t>
            </w:r>
            <w:r>
              <w:rPr>
                <w:rFonts w:ascii="Times New Roman" w:hAnsi="Times New Roman" w:cs="Times New Roman"/>
                <w:color w:val="000000" w:themeColor="text1"/>
                <w:kern w:val="0"/>
                <w:vertAlign w:val="superscript"/>
                <w14:textFill>
                  <w14:solidFill>
                    <w14:schemeClr w14:val="tx1"/>
                  </w14:solidFill>
                </w14:textFill>
              </w:rPr>
              <w:t>3</w:t>
            </w:r>
          </w:p>
        </w:tc>
        <w:tc>
          <w:tcPr>
            <w:tcW w:w="608" w:type="pct"/>
            <w:tcBorders>
              <w:right w:val="nil"/>
            </w:tcBorders>
            <w:noWrap w:val="0"/>
            <w:vAlign w:val="center"/>
          </w:tcPr>
          <w:p>
            <w:pPr>
              <w:pStyle w:val="114"/>
              <w:keepNext w:val="0"/>
              <w:keepLines w:val="0"/>
              <w:suppressLineNumbers w:val="0"/>
              <w:spacing w:before="24" w:beforeAutospacing="0" w:afterAutospacing="0" w:line="240" w:lineRule="auto"/>
              <w:ind w:left="0" w:right="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0.00077t/a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5000" w:type="pct"/>
            <w:gridSpan w:val="7"/>
            <w:tcBorders>
              <w:left w:val="nil"/>
              <w:righ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222" w:type="pct"/>
            <w:gridSpan w:val="3"/>
            <w:vMerge w:val="restart"/>
            <w:tcBorders>
              <w:lef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无组织排放总计</w:t>
            </w:r>
          </w:p>
        </w:tc>
        <w:tc>
          <w:tcPr>
            <w:tcW w:w="2542"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VOCs</w:t>
            </w:r>
          </w:p>
        </w:tc>
        <w:tc>
          <w:tcPr>
            <w:tcW w:w="1235" w:type="pct"/>
            <w:gridSpan w:val="2"/>
            <w:tcBorders>
              <w:righ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kern w:val="0"/>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0.271</w:t>
            </w:r>
            <w:r>
              <w:rPr>
                <w:rFonts w:ascii="Times New Roman" w:hAnsi="Times New Roman" w:cs="Times New Roman"/>
                <w:color w:val="000000" w:themeColor="text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222" w:type="pct"/>
            <w:gridSpan w:val="3"/>
            <w:vMerge w:val="continue"/>
            <w:tcBorders>
              <w:lef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14:textFill>
                  <w14:solidFill>
                    <w14:schemeClr w14:val="tx1"/>
                  </w14:solidFill>
                </w14:textFill>
              </w:rPr>
            </w:pPr>
          </w:p>
        </w:tc>
        <w:tc>
          <w:tcPr>
            <w:tcW w:w="2542"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H</w:t>
            </w:r>
            <w:r>
              <w:rPr>
                <w:rFonts w:eastAsia="宋体" w:cs="Times New Roman"/>
                <w:color w:val="000000" w:themeColor="text1"/>
                <w:sz w:val="21"/>
                <w:szCs w:val="21"/>
                <w:vertAlign w:val="subscript"/>
                <w14:textFill>
                  <w14:solidFill>
                    <w14:schemeClr w14:val="tx1"/>
                  </w14:solidFill>
                </w14:textFill>
              </w:rPr>
              <w:t>2</w:t>
            </w:r>
            <w:r>
              <w:rPr>
                <w:rFonts w:eastAsia="宋体" w:cs="Times New Roman"/>
                <w:color w:val="000000" w:themeColor="text1"/>
                <w:sz w:val="21"/>
                <w:szCs w:val="21"/>
                <w14:textFill>
                  <w14:solidFill>
                    <w14:schemeClr w14:val="tx1"/>
                  </w14:solidFill>
                </w14:textFill>
              </w:rPr>
              <w:t>S</w:t>
            </w:r>
          </w:p>
        </w:tc>
        <w:tc>
          <w:tcPr>
            <w:tcW w:w="1235" w:type="pct"/>
            <w:gridSpan w:val="2"/>
            <w:tcBorders>
              <w:righ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0.0008t/a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222" w:type="pct"/>
            <w:gridSpan w:val="3"/>
            <w:vMerge w:val="continue"/>
            <w:tcBorders>
              <w:left w:val="nil"/>
              <w:bottom w:val="single" w:color="auto" w:sz="12" w:space="0"/>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14:textFill>
                  <w14:solidFill>
                    <w14:schemeClr w14:val="tx1"/>
                  </w14:solidFill>
                </w14:textFill>
              </w:rPr>
            </w:pPr>
          </w:p>
        </w:tc>
        <w:tc>
          <w:tcPr>
            <w:tcW w:w="2542" w:type="pct"/>
            <w:gridSpan w:val="2"/>
            <w:tcBorders>
              <w:bottom w:val="single" w:color="auto" w:sz="12"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NH</w:t>
            </w:r>
            <w:r>
              <w:rPr>
                <w:rFonts w:eastAsia="宋体" w:cs="Times New Roman"/>
                <w:color w:val="000000" w:themeColor="text1"/>
                <w:sz w:val="21"/>
                <w:szCs w:val="21"/>
                <w:vertAlign w:val="subscript"/>
                <w14:textFill>
                  <w14:solidFill>
                    <w14:schemeClr w14:val="tx1"/>
                  </w14:solidFill>
                </w14:textFill>
              </w:rPr>
              <w:t>3</w:t>
            </w:r>
          </w:p>
        </w:tc>
        <w:tc>
          <w:tcPr>
            <w:tcW w:w="1235" w:type="pct"/>
            <w:gridSpan w:val="2"/>
            <w:tcBorders>
              <w:bottom w:val="single" w:color="auto" w:sz="12" w:space="0"/>
              <w:right w:val="nil"/>
            </w:tcBorders>
            <w:noWrap w:val="0"/>
            <w:vAlign w:val="center"/>
          </w:tcPr>
          <w:p>
            <w:pPr>
              <w:pStyle w:val="114"/>
              <w:keepNext w:val="0"/>
              <w:keepLines w:val="0"/>
              <w:suppressLineNumbers w:val="0"/>
              <w:spacing w:before="24" w:beforeAutospacing="0" w:after="24" w:afterAutospacing="0" w:line="240" w:lineRule="auto"/>
              <w:ind w:left="0" w:right="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0.00077t/a</w:t>
            </w:r>
          </w:p>
        </w:tc>
      </w:tr>
    </w:tbl>
    <w:p>
      <w:pPr>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7</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16</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t xml:space="preserve">  </w:t>
      </w:r>
      <w:r>
        <w:rPr>
          <w:b/>
          <w:bCs/>
          <w:color w:val="000000" w:themeColor="text1"/>
          <w:kern w:val="0"/>
          <w:szCs w:val="24"/>
          <w14:textFill>
            <w14:solidFill>
              <w14:schemeClr w14:val="tx1"/>
            </w14:solidFill>
          </w14:textFill>
        </w:rPr>
        <w:t>大气污染物年排放量核算表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3492"/>
        <w:gridCol w:w="3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noWrap w:val="0"/>
            <w:vAlign w:val="center"/>
          </w:tcPr>
          <w:p>
            <w:pPr>
              <w:pStyle w:val="114"/>
              <w:keepNext w:val="0"/>
              <w:keepLines w:val="0"/>
              <w:suppressLineNumbers w:val="0"/>
              <w:spacing w:before="24" w:beforeAutospacing="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1889" w:type="pct"/>
            <w:noWrap w:val="0"/>
            <w:vAlign w:val="center"/>
          </w:tcPr>
          <w:p>
            <w:pPr>
              <w:pStyle w:val="114"/>
              <w:keepNext w:val="0"/>
              <w:keepLines w:val="0"/>
              <w:suppressLineNumbers w:val="0"/>
              <w:spacing w:before="24" w:beforeAutospacing="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1981" w:type="pct"/>
            <w:noWrap w:val="0"/>
            <w:vAlign w:val="center"/>
          </w:tcPr>
          <w:p>
            <w:pPr>
              <w:pStyle w:val="114"/>
              <w:keepNext w:val="0"/>
              <w:keepLines w:val="0"/>
              <w:suppressLineNumbers w:val="0"/>
              <w:spacing w:before="24" w:beforeAutospacing="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noWrap w:val="0"/>
            <w:vAlign w:val="center"/>
          </w:tcPr>
          <w:p>
            <w:pPr>
              <w:pStyle w:val="114"/>
              <w:keepNext w:val="0"/>
              <w:keepLines w:val="0"/>
              <w:suppressLineNumbers w:val="0"/>
              <w:spacing w:before="24" w:beforeAutospacing="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18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VOCs</w:t>
            </w:r>
          </w:p>
        </w:tc>
        <w:tc>
          <w:tcPr>
            <w:tcW w:w="3662" w:type="dxa"/>
            <w:noWrap w:val="0"/>
            <w:vAlign w:val="center"/>
          </w:tcPr>
          <w:p>
            <w:pPr>
              <w:pStyle w:val="114"/>
              <w:keepNext w:val="0"/>
              <w:keepLines w:val="0"/>
              <w:suppressLineNumbers w:val="0"/>
              <w:spacing w:before="24" w:beforeAutospacing="0" w:after="24" w:afterAutospacing="0" w:line="240" w:lineRule="auto"/>
              <w:ind w:left="0" w:leftChars="0" w:right="0" w:righ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0.271</w:t>
            </w:r>
            <w:r>
              <w:rPr>
                <w:rFonts w:hint="default" w:ascii="Times New Roman" w:hAnsi="Times New Roman" w:cs="Times New Roman"/>
                <w:color w:val="000000" w:themeColor="text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noWrap w:val="0"/>
            <w:vAlign w:val="center"/>
          </w:tcPr>
          <w:p>
            <w:pPr>
              <w:pStyle w:val="114"/>
              <w:keepNext w:val="0"/>
              <w:keepLines w:val="0"/>
              <w:suppressLineNumbers w:val="0"/>
              <w:spacing w:before="24" w:beforeAutospacing="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w:t>
            </w:r>
          </w:p>
        </w:tc>
        <w:tc>
          <w:tcPr>
            <w:tcW w:w="34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3662" w:type="dxa"/>
            <w:noWrap w:val="0"/>
            <w:vAlign w:val="center"/>
          </w:tcPr>
          <w:p>
            <w:pPr>
              <w:pStyle w:val="114"/>
              <w:keepNext w:val="0"/>
              <w:keepLines w:val="0"/>
              <w:suppressLineNumbers w:val="0"/>
              <w:spacing w:before="24" w:beforeAutospacing="0" w:after="24" w:afterAutospacing="0" w:line="240" w:lineRule="auto"/>
              <w:ind w:left="0" w:leftChars="0" w:right="0" w:righ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30" w:type="pct"/>
            <w:noWrap w:val="0"/>
            <w:vAlign w:val="center"/>
          </w:tcPr>
          <w:p>
            <w:pPr>
              <w:pStyle w:val="114"/>
              <w:keepNext w:val="0"/>
              <w:keepLines w:val="0"/>
              <w:suppressLineNumbers w:val="0"/>
              <w:spacing w:before="24" w:beforeAutospacing="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34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3662" w:type="dxa"/>
            <w:noWrap w:val="0"/>
            <w:vAlign w:val="center"/>
          </w:tcPr>
          <w:p>
            <w:pPr>
              <w:pStyle w:val="114"/>
              <w:keepNext w:val="0"/>
              <w:keepLines w:val="0"/>
              <w:suppressLineNumbers w:val="0"/>
              <w:spacing w:before="24" w:beforeAutospacing="0" w:after="24" w:afterAutospacing="0" w:line="240" w:lineRule="auto"/>
              <w:ind w:left="0" w:leftChars="0" w:right="0" w:righ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0.00077t/a</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地表水环境影响分析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由工程分析可知，项目废水经预处理后排入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深度处理后外排长江。根据《环境影响评价技术导则  地表水环境》（HJ2.3-2018）“5.2.2.2条”评价等级确定方法，本项目废水排放属于间接排放，地表水环评价等级判定为三级B。水污染类型三级B评价可不进行水环境影响预测。</w:t>
      </w:r>
    </w:p>
    <w:p>
      <w:pPr>
        <w:pStyle w:val="6"/>
        <w:rPr>
          <w:color w:val="000000" w:themeColor="text1"/>
          <w14:textFill>
            <w14:solidFill>
              <w14:schemeClr w14:val="tx1"/>
            </w14:solidFill>
          </w14:textFill>
        </w:rPr>
      </w:pPr>
      <w:r>
        <w:rPr>
          <w:color w:val="000000" w:themeColor="text1"/>
          <w14:textFill>
            <w14:solidFill>
              <w14:schemeClr w14:val="tx1"/>
            </w14:solidFill>
          </w14:textFill>
        </w:rPr>
        <w:t>水污染控制和水环境影响减缓措施有效性评价</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根据现场踏勘可知，项目区内排水实行雨污分流、清污分流制，初期雨水排入炼油部污水处理系统处理后排入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处理，后期雨水通过清污分流切换阀进入公司雨水排放沟，最后流入松阳湖。</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本项目地面冲洗废水，经炼油部污水处理系统预处理后由厂区排污管道收集后排入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集中处理达标后排入长江。</w:t>
      </w:r>
    </w:p>
    <w:p>
      <w:pPr>
        <w:spacing w:line="360" w:lineRule="auto"/>
        <w:ind w:firstLine="480" w:firstLineChars="200"/>
        <w:rPr>
          <w:color w:val="000000" w:themeColor="text1"/>
          <w:spacing w:val="-7"/>
          <w14:textFill>
            <w14:solidFill>
              <w14:schemeClr w14:val="tx1"/>
            </w14:solidFill>
          </w14:textFill>
        </w:rPr>
      </w:pPr>
      <w:r>
        <w:rPr>
          <w:color w:val="000000" w:themeColor="text1"/>
          <w14:textFill>
            <w14:solidFill>
              <w14:schemeClr w14:val="tx1"/>
            </w14:solidFill>
          </w14:textFill>
        </w:rPr>
        <w:t>本项目位于巴陵石化分公司炼油部厂区内，废水能排入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进行处理，根据废水污染源分析可知，外排废水中各污染物浓度均小于污水处理厂生化处理设施设计进水标准要求，不会对污水处理厂造成冲击。</w:t>
      </w:r>
      <w:r>
        <w:rPr>
          <w:color w:val="000000" w:themeColor="text1"/>
          <w:spacing w:val="-7"/>
          <w14:textFill>
            <w14:solidFill>
              <w14:schemeClr w14:val="tx1"/>
            </w14:solidFill>
          </w14:textFill>
        </w:rPr>
        <w:t>且巴陵石化分公</w:t>
      </w:r>
      <w:r>
        <w:rPr>
          <w:color w:val="000000" w:themeColor="text1"/>
          <w:spacing w:val="-3"/>
          <w14:textFill>
            <w14:solidFill>
              <w14:schemeClr w14:val="tx1"/>
            </w14:solidFill>
          </w14:textFill>
        </w:rPr>
        <w:t>司现废水排放量为</w:t>
      </w:r>
      <w:r>
        <w:rPr>
          <w:rFonts w:eastAsia="Times New Roman"/>
          <w:color w:val="000000" w:themeColor="text1"/>
          <w14:textFill>
            <w14:solidFill>
              <w14:schemeClr w14:val="tx1"/>
            </w14:solidFill>
          </w14:textFill>
        </w:rPr>
        <w:t>880m</w:t>
      </w:r>
      <w:r>
        <w:rPr>
          <w:rFonts w:eastAsia="Times New Roman"/>
          <w:color w:val="000000" w:themeColor="text1"/>
          <w:vertAlign w:val="superscript"/>
          <w14:textFill>
            <w14:solidFill>
              <w14:schemeClr w14:val="tx1"/>
            </w14:solidFill>
          </w14:textFill>
        </w:rPr>
        <w:t>3</w:t>
      </w:r>
      <w:r>
        <w:rPr>
          <w:rFonts w:eastAsia="Times New Roman"/>
          <w:color w:val="000000" w:themeColor="text1"/>
          <w14:textFill>
            <w14:solidFill>
              <w14:schemeClr w14:val="tx1"/>
            </w14:solidFill>
          </w14:textFill>
        </w:rPr>
        <w:t>/h</w:t>
      </w:r>
      <w:r>
        <w:rPr>
          <w:color w:val="000000" w:themeColor="text1"/>
          <w14:textFill>
            <w14:solidFill>
              <w14:schemeClr w14:val="tx1"/>
            </w14:solidFill>
          </w14:textFill>
        </w:rPr>
        <w:t>（</w:t>
      </w:r>
      <w:r>
        <w:rPr>
          <w:color w:val="000000" w:themeColor="text1"/>
          <w:spacing w:val="-3"/>
          <w14:textFill>
            <w14:solidFill>
              <w14:schemeClr w14:val="tx1"/>
            </w14:solidFill>
          </w14:textFill>
        </w:rPr>
        <w:t>其中生化处理系统</w:t>
      </w:r>
      <w:r>
        <w:rPr>
          <w:rFonts w:eastAsia="Times New Roman"/>
          <w:color w:val="000000" w:themeColor="text1"/>
          <w14:textFill>
            <w14:solidFill>
              <w14:schemeClr w14:val="tx1"/>
            </w14:solidFill>
          </w14:textFill>
        </w:rPr>
        <w:t>520m</w:t>
      </w:r>
      <w:r>
        <w:rPr>
          <w:rFonts w:eastAsia="Times New Roman"/>
          <w:color w:val="000000" w:themeColor="text1"/>
          <w:vertAlign w:val="superscript"/>
          <w14:textFill>
            <w14:solidFill>
              <w14:schemeClr w14:val="tx1"/>
            </w14:solidFill>
          </w14:textFill>
        </w:rPr>
        <w:t>3</w:t>
      </w:r>
      <w:r>
        <w:rPr>
          <w:rFonts w:eastAsia="Times New Roman"/>
          <w:color w:val="000000" w:themeColor="text1"/>
          <w14:textFill>
            <w14:solidFill>
              <w14:schemeClr w14:val="tx1"/>
            </w14:solidFill>
          </w14:textFill>
        </w:rPr>
        <w:t>/h</w:t>
      </w:r>
      <w:r>
        <w:rPr>
          <w:color w:val="000000" w:themeColor="text1"/>
          <w14:textFill>
            <w14:solidFill>
              <w14:schemeClr w14:val="tx1"/>
            </w14:solidFill>
          </w14:textFill>
        </w:rPr>
        <w:t>），巴陵石化分公司设</w:t>
      </w:r>
      <w:r>
        <w:rPr>
          <w:color w:val="000000" w:themeColor="text1"/>
          <w:spacing w:val="-11"/>
          <w14:textFill>
            <w14:solidFill>
              <w14:schemeClr w14:val="tx1"/>
            </w14:solidFill>
          </w14:textFill>
        </w:rPr>
        <w:t>计排放量为</w:t>
      </w:r>
      <w:r>
        <w:rPr>
          <w:rFonts w:eastAsia="Times New Roman"/>
          <w:color w:val="000000" w:themeColor="text1"/>
          <w:spacing w:val="-8"/>
          <w14:textFill>
            <w14:solidFill>
              <w14:schemeClr w14:val="tx1"/>
            </w14:solidFill>
          </w14:textFill>
        </w:rPr>
        <w:t>1200m</w:t>
      </w:r>
      <w:r>
        <w:rPr>
          <w:rFonts w:eastAsia="Times New Roman"/>
          <w:color w:val="000000" w:themeColor="text1"/>
          <w:spacing w:val="-8"/>
          <w:vertAlign w:val="superscript"/>
          <w14:textFill>
            <w14:solidFill>
              <w14:schemeClr w14:val="tx1"/>
            </w14:solidFill>
          </w14:textFill>
        </w:rPr>
        <w:t>3</w:t>
      </w:r>
      <w:r>
        <w:rPr>
          <w:rFonts w:eastAsia="Times New Roman"/>
          <w:color w:val="000000" w:themeColor="text1"/>
          <w:spacing w:val="-8"/>
          <w14:textFill>
            <w14:solidFill>
              <w14:schemeClr w14:val="tx1"/>
            </w14:solidFill>
          </w14:textFill>
        </w:rPr>
        <w:t>/h</w:t>
      </w:r>
      <w:r>
        <w:rPr>
          <w:color w:val="000000" w:themeColor="text1"/>
          <w:spacing w:val="-8"/>
          <w14:textFill>
            <w14:solidFill>
              <w14:schemeClr w14:val="tx1"/>
            </w14:solidFill>
          </w14:textFill>
        </w:rPr>
        <w:t>（</w:t>
      </w:r>
      <w:r>
        <w:rPr>
          <w:color w:val="000000" w:themeColor="text1"/>
          <w:spacing w:val="-7"/>
          <w14:textFill>
            <w14:solidFill>
              <w14:schemeClr w14:val="tx1"/>
            </w14:solidFill>
          </w14:textFill>
        </w:rPr>
        <w:t xml:space="preserve">其中生化处理系统 </w:t>
      </w:r>
      <w:r>
        <w:rPr>
          <w:rFonts w:eastAsia="Times New Roman"/>
          <w:color w:val="000000" w:themeColor="text1"/>
          <w:spacing w:val="-15"/>
          <w14:textFill>
            <w14:solidFill>
              <w14:schemeClr w14:val="tx1"/>
            </w14:solidFill>
          </w14:textFill>
        </w:rPr>
        <w:t>700m</w:t>
      </w:r>
      <w:r>
        <w:rPr>
          <w:rFonts w:eastAsia="Times New Roman"/>
          <w:color w:val="000000" w:themeColor="text1"/>
          <w:spacing w:val="-15"/>
          <w:vertAlign w:val="superscript"/>
          <w14:textFill>
            <w14:solidFill>
              <w14:schemeClr w14:val="tx1"/>
            </w14:solidFill>
          </w14:textFill>
        </w:rPr>
        <w:t>3</w:t>
      </w:r>
      <w:r>
        <w:rPr>
          <w:rFonts w:eastAsia="Times New Roman"/>
          <w:color w:val="000000" w:themeColor="text1"/>
          <w:spacing w:val="-15"/>
          <w14:textFill>
            <w14:solidFill>
              <w14:schemeClr w14:val="tx1"/>
            </w14:solidFill>
          </w14:textFill>
        </w:rPr>
        <w:t>/h</w:t>
      </w:r>
      <w:r>
        <w:rPr>
          <w:color w:val="000000" w:themeColor="text1"/>
          <w:spacing w:val="-15"/>
          <w14:textFill>
            <w14:solidFill>
              <w14:schemeClr w14:val="tx1"/>
            </w14:solidFill>
          </w14:textFill>
        </w:rPr>
        <w:t>），</w:t>
      </w:r>
      <w:r>
        <w:rPr>
          <w:color w:val="000000" w:themeColor="text1"/>
          <w:spacing w:val="-7"/>
          <w14:textFill>
            <w14:solidFill>
              <w14:schemeClr w14:val="tx1"/>
            </w14:solidFill>
          </w14:textFill>
        </w:rPr>
        <w:t>现污水处理厂还有</w:t>
      </w:r>
      <w:r>
        <w:rPr>
          <w:rFonts w:eastAsia="Times New Roman"/>
          <w:color w:val="000000" w:themeColor="text1"/>
          <w14:textFill>
            <w14:solidFill>
              <w14:schemeClr w14:val="tx1"/>
            </w14:solidFill>
          </w14:textFill>
        </w:rPr>
        <w:t>340m</w:t>
      </w:r>
      <w:r>
        <w:rPr>
          <w:rFonts w:eastAsia="Times New Roman"/>
          <w:color w:val="000000" w:themeColor="text1"/>
          <w:vertAlign w:val="superscript"/>
          <w14:textFill>
            <w14:solidFill>
              <w14:schemeClr w14:val="tx1"/>
            </w14:solidFill>
          </w14:textFill>
        </w:rPr>
        <w:t>3</w:t>
      </w:r>
      <w:r>
        <w:rPr>
          <w:rFonts w:eastAsia="Times New Roman"/>
          <w:color w:val="000000" w:themeColor="text1"/>
          <w14:textFill>
            <w14:solidFill>
              <w14:schemeClr w14:val="tx1"/>
            </w14:solidFill>
          </w14:textFill>
        </w:rPr>
        <w:t xml:space="preserve">/h </w:t>
      </w:r>
      <w:r>
        <w:rPr>
          <w:color w:val="000000" w:themeColor="text1"/>
          <w14:textFill>
            <w14:solidFill>
              <w14:schemeClr w14:val="tx1"/>
            </w14:solidFill>
          </w14:textFill>
        </w:rPr>
        <w:t>的余量（</w:t>
      </w:r>
      <w:r>
        <w:rPr>
          <w:color w:val="000000" w:themeColor="text1"/>
          <w:spacing w:val="-8"/>
          <w14:textFill>
            <w14:solidFill>
              <w14:schemeClr w14:val="tx1"/>
            </w14:solidFill>
          </w14:textFill>
        </w:rPr>
        <w:t>其中生化处理系统</w:t>
      </w:r>
      <w:r>
        <w:rPr>
          <w:rFonts w:eastAsia="Times New Roman"/>
          <w:color w:val="000000" w:themeColor="text1"/>
          <w14:textFill>
            <w14:solidFill>
              <w14:schemeClr w14:val="tx1"/>
            </w14:solidFill>
          </w14:textFill>
        </w:rPr>
        <w:t>180m</w:t>
      </w:r>
      <w:r>
        <w:rPr>
          <w:rFonts w:eastAsia="Times New Roman"/>
          <w:color w:val="000000" w:themeColor="text1"/>
          <w:vertAlign w:val="superscript"/>
          <w14:textFill>
            <w14:solidFill>
              <w14:schemeClr w14:val="tx1"/>
            </w14:solidFill>
          </w14:textFill>
        </w:rPr>
        <w:t>3</w:t>
      </w:r>
      <w:r>
        <w:rPr>
          <w:rFonts w:eastAsia="Times New Roman"/>
          <w:color w:val="000000" w:themeColor="text1"/>
          <w14:textFill>
            <w14:solidFill>
              <w14:schemeClr w14:val="tx1"/>
            </w14:solidFill>
          </w14:textFill>
        </w:rPr>
        <w:t>/h</w:t>
      </w:r>
      <w:r>
        <w:rPr>
          <w:color w:val="000000" w:themeColor="text1"/>
          <w14:textFill>
            <w14:solidFill>
              <w14:schemeClr w14:val="tx1"/>
            </w14:solidFill>
          </w14:textFill>
        </w:rPr>
        <w:t>）</w:t>
      </w:r>
      <w:r>
        <w:rPr>
          <w:color w:val="000000" w:themeColor="text1"/>
          <w:spacing w:val="-1"/>
          <w14:textFill>
            <w14:solidFill>
              <w14:schemeClr w14:val="tx1"/>
            </w14:solidFill>
          </w14:textFill>
        </w:rPr>
        <w:t>，本项目建成运营后，本项目新增废水量11.33</w:t>
      </w:r>
      <w:r>
        <w:rPr>
          <w:rFonts w:eastAsia="Times New Roman"/>
          <w:color w:val="000000" w:themeColor="text1"/>
          <w14:textFill>
            <w14:solidFill>
              <w14:schemeClr w14:val="tx1"/>
            </w14:solidFill>
          </w14:textFill>
        </w:rPr>
        <w:t>m</w:t>
      </w:r>
      <w:r>
        <w:rPr>
          <w:rFonts w:eastAsia="Times New Roman"/>
          <w:color w:val="000000" w:themeColor="text1"/>
          <w:vertAlign w:val="superscript"/>
          <w14:textFill>
            <w14:solidFill>
              <w14:schemeClr w14:val="tx1"/>
            </w14:solidFill>
          </w14:textFill>
        </w:rPr>
        <w:t>3</w:t>
      </w:r>
      <w:r>
        <w:rPr>
          <w:rFonts w:eastAsia="Times New Roman"/>
          <w:color w:val="000000" w:themeColor="text1"/>
          <w14:textFill>
            <w14:solidFill>
              <w14:schemeClr w14:val="tx1"/>
            </w14:solidFill>
          </w14:textFill>
        </w:rPr>
        <w:t>/h</w:t>
      </w:r>
      <w:r>
        <w:rPr>
          <w:color w:val="000000" w:themeColor="text1"/>
          <w:spacing w:val="-1"/>
          <w14:textFill>
            <w14:solidFill>
              <w14:schemeClr w14:val="tx1"/>
            </w14:solidFill>
          </w14:textFill>
        </w:rPr>
        <w:t>，污水处理厂现有剩余能力完全能满足项目处理要求，因此废水排放量和废水中污染物的浓度均满足排污管线排放量为1200</w:t>
      </w:r>
      <w:r>
        <w:rPr>
          <w:rFonts w:eastAsia="Times New Roman"/>
          <w:color w:val="000000" w:themeColor="text1"/>
          <w:spacing w:val="-8"/>
          <w14:textFill>
            <w14:solidFill>
              <w14:schemeClr w14:val="tx1"/>
            </w14:solidFill>
          </w14:textFill>
        </w:rPr>
        <w:t>m</w:t>
      </w:r>
      <w:r>
        <w:rPr>
          <w:rFonts w:eastAsia="Times New Roman"/>
          <w:color w:val="000000" w:themeColor="text1"/>
          <w:spacing w:val="-8"/>
          <w:vertAlign w:val="superscript"/>
          <w14:textFill>
            <w14:solidFill>
              <w14:schemeClr w14:val="tx1"/>
            </w14:solidFill>
          </w14:textFill>
        </w:rPr>
        <w:t>3</w:t>
      </w:r>
      <w:r>
        <w:rPr>
          <w:rFonts w:eastAsia="Times New Roman"/>
          <w:color w:val="000000" w:themeColor="text1"/>
          <w:spacing w:val="-8"/>
          <w14:textFill>
            <w14:solidFill>
              <w14:schemeClr w14:val="tx1"/>
            </w14:solidFill>
          </w14:textFill>
        </w:rPr>
        <w:t>/h</w:t>
      </w:r>
      <w:r>
        <w:rPr>
          <w:color w:val="000000" w:themeColor="text1"/>
          <w:spacing w:val="-8"/>
          <w14:textFill>
            <w14:solidFill>
              <w14:schemeClr w14:val="tx1"/>
            </w14:solidFill>
          </w14:textFill>
        </w:rPr>
        <w:t>预测的排放要求。在目前长江道仁</w:t>
      </w:r>
      <w:r>
        <w:rPr>
          <w:color w:val="000000" w:themeColor="text1"/>
          <w:spacing w:val="-7"/>
          <w14:textFill>
            <w14:solidFill>
              <w14:schemeClr w14:val="tx1"/>
            </w14:solidFill>
          </w14:textFill>
        </w:rPr>
        <w:t>矶江段水质变化不大的情况下，项目废水排放对地表水的影响可维持在现有水平。</w:t>
      </w:r>
    </w:p>
    <w:p>
      <w:pPr>
        <w:pStyle w:val="17"/>
        <w:spacing w:after="0" w:line="360" w:lineRule="auto"/>
        <w:ind w:firstLine="476"/>
        <w:rPr>
          <w:color w:val="000000" w:themeColor="text1"/>
          <w:spacing w:val="-1"/>
          <w14:textFill>
            <w14:solidFill>
              <w14:schemeClr w14:val="tx1"/>
            </w14:solidFill>
          </w14:textFill>
        </w:rPr>
      </w:pPr>
      <w:r>
        <w:rPr>
          <w:color w:val="000000" w:themeColor="text1"/>
          <w:spacing w:val="-1"/>
          <w14:textFill>
            <w14:solidFill>
              <w14:schemeClr w14:val="tx1"/>
            </w14:solidFill>
          </w14:textFill>
        </w:rPr>
        <w:t>因此只要</w:t>
      </w:r>
      <w:r>
        <w:rPr>
          <w:rFonts w:hint="eastAsia"/>
          <w:color w:val="000000" w:themeColor="text1"/>
          <w:spacing w:val="-1"/>
          <w14:textFill>
            <w14:solidFill>
              <w14:schemeClr w14:val="tx1"/>
            </w14:solidFill>
          </w14:textFill>
        </w:rPr>
        <w:t>巴陵石化水务部云溪生化装置</w:t>
      </w:r>
      <w:r>
        <w:rPr>
          <w:color w:val="000000" w:themeColor="text1"/>
          <w:spacing w:val="-1"/>
          <w14:textFill>
            <w14:solidFill>
              <w14:schemeClr w14:val="tx1"/>
            </w14:solidFill>
          </w14:textFill>
        </w:rPr>
        <w:t>正常运行，项目废水的排放不会对收纳水体长江道仁矶江段造成不利影响。</w:t>
      </w:r>
    </w:p>
    <w:p>
      <w:pPr>
        <w:pStyle w:val="6"/>
        <w:rPr>
          <w:color w:val="000000" w:themeColor="text1"/>
          <w14:textFill>
            <w14:solidFill>
              <w14:schemeClr w14:val="tx1"/>
            </w14:solidFill>
          </w14:textFill>
        </w:rPr>
      </w:pPr>
      <w:r>
        <w:rPr>
          <w:color w:val="000000" w:themeColor="text1"/>
          <w14:textFill>
            <w14:solidFill>
              <w14:schemeClr w14:val="tx1"/>
            </w14:solidFill>
          </w14:textFill>
        </w:rPr>
        <w:t>项目废水污染物排放信息表</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根据《环境影响评价技术导则—地表水环境》（HJ2.3-2018）：间接排放建设项目污染源排放量核算根据依托污水处理设施的控制要求核算确定。项目废水纳入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处置，则项目废水污染排放量按照《</w:t>
      </w:r>
      <w:r>
        <w:rPr>
          <w:rFonts w:hint="eastAsia"/>
          <w:color w:val="000000" w:themeColor="text1"/>
          <w:lang w:eastAsia="zh-CN"/>
          <w14:textFill>
            <w14:solidFill>
              <w14:schemeClr w14:val="tx1"/>
            </w14:solidFill>
          </w14:textFill>
        </w:rPr>
        <w:t>石油炼制工业污染物排放标准</w:t>
      </w:r>
      <w:r>
        <w:rPr>
          <w:color w:val="000000" w:themeColor="text1"/>
          <w14:textFill>
            <w14:solidFill>
              <w14:schemeClr w14:val="tx1"/>
            </w14:solidFill>
          </w14:textFill>
        </w:rPr>
        <w:t>》（GB3157</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-2015）表</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水污染</w:t>
      </w:r>
      <w:r>
        <w:rPr>
          <w:rFonts w:hint="eastAsia"/>
          <w:color w:val="000000" w:themeColor="text1"/>
          <w:lang w:val="en-US" w:eastAsia="zh-CN"/>
          <w14:textFill>
            <w14:solidFill>
              <w14:schemeClr w14:val="tx1"/>
            </w14:solidFill>
          </w14:textFill>
        </w:rPr>
        <w:t>特别</w:t>
      </w:r>
      <w:r>
        <w:rPr>
          <w:color w:val="000000" w:themeColor="text1"/>
          <w14:textFill>
            <w14:solidFill>
              <w14:schemeClr w14:val="tx1"/>
            </w14:solidFill>
          </w14:textFill>
        </w:rPr>
        <w:t>排放限值进行核算。</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本项目外排废水污染物信息表情况如下所示。</w:t>
      </w:r>
    </w:p>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废水类别、污染物及污染治理设施信息表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3"/>
        <w:gridCol w:w="435"/>
        <w:gridCol w:w="1008"/>
        <w:gridCol w:w="703"/>
        <w:gridCol w:w="1902"/>
        <w:gridCol w:w="744"/>
        <w:gridCol w:w="668"/>
        <w:gridCol w:w="802"/>
        <w:gridCol w:w="676"/>
        <w:gridCol w:w="710"/>
        <w:gridCol w:w="10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62"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241"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废水类别</w:t>
            </w:r>
          </w:p>
        </w:tc>
        <w:tc>
          <w:tcPr>
            <w:tcW w:w="558"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hanging="108"/>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污染物种类</w:t>
            </w:r>
          </w:p>
        </w:tc>
        <w:tc>
          <w:tcPr>
            <w:tcW w:w="389"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排水去向</w:t>
            </w:r>
          </w:p>
        </w:tc>
        <w:tc>
          <w:tcPr>
            <w:tcW w:w="1053"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排放规律性</w:t>
            </w:r>
          </w:p>
        </w:tc>
        <w:tc>
          <w:tcPr>
            <w:tcW w:w="1226" w:type="pct"/>
            <w:gridSpan w:val="3"/>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污染治理设施</w:t>
            </w:r>
          </w:p>
        </w:tc>
        <w:tc>
          <w:tcPr>
            <w:tcW w:w="374"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排放口编号</w:t>
            </w:r>
          </w:p>
        </w:tc>
        <w:tc>
          <w:tcPr>
            <w:tcW w:w="393"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排放口设置是否符合要</w:t>
            </w:r>
          </w:p>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求</w:t>
            </w:r>
          </w:p>
        </w:tc>
        <w:tc>
          <w:tcPr>
            <w:tcW w:w="600" w:type="pct"/>
            <w:vMerge w:val="restar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162"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241"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558"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389"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1053"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412"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污染治理设施编号</w:t>
            </w:r>
          </w:p>
        </w:tc>
        <w:tc>
          <w:tcPr>
            <w:tcW w:w="370"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污染治理设施名称</w:t>
            </w:r>
          </w:p>
        </w:tc>
        <w:tc>
          <w:tcPr>
            <w:tcW w:w="443"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污染治理设施工艺</w:t>
            </w:r>
          </w:p>
        </w:tc>
        <w:tc>
          <w:tcPr>
            <w:tcW w:w="374"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393"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c>
          <w:tcPr>
            <w:tcW w:w="600" w:type="pct"/>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62"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41"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生产废水</w:t>
            </w:r>
          </w:p>
        </w:tc>
        <w:tc>
          <w:tcPr>
            <w:tcW w:w="558"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76"/>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COD</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BOD</w:t>
            </w:r>
            <w:r>
              <w:rPr>
                <w:rFonts w:hint="default" w:ascii="Times New Roman" w:hAnsi="Times New Roman" w:eastAsia="Times New Roman" w:cs="Times New Roman"/>
                <w:color w:val="000000" w:themeColor="text1"/>
                <w:sz w:val="21"/>
                <w:szCs w:val="21"/>
                <w:vertAlign w:val="subscript"/>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NH</w:t>
            </w:r>
            <w:r>
              <w:rPr>
                <w:rFonts w:hint="default" w:ascii="Times New Roman" w:hAnsi="Times New Roman" w:eastAsia="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eastAsia="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Times New Roman" w:cs="Times New Roman"/>
                <w:color w:val="000000" w:themeColor="text1"/>
                <w:sz w:val="21"/>
                <w:szCs w:val="21"/>
                <w14:textFill>
                  <w14:solidFill>
                    <w14:schemeClr w14:val="tx1"/>
                  </w14:solidFill>
                </w14:textFill>
              </w:rPr>
              <w:t>SS</w:t>
            </w:r>
            <w:r>
              <w:rPr>
                <w:rFonts w:hint="default" w:ascii="Times New Roman" w:hAnsi="Times New Roman" w:cs="Times New Roman"/>
                <w:color w:val="000000" w:themeColor="text1"/>
                <w:sz w:val="21"/>
                <w:szCs w:val="21"/>
                <w14:textFill>
                  <w14:solidFill>
                    <w14:schemeClr w14:val="tx1"/>
                  </w14:solidFill>
                </w14:textFill>
              </w:rPr>
              <w:t>、石油类</w:t>
            </w:r>
          </w:p>
        </w:tc>
        <w:tc>
          <w:tcPr>
            <w:tcW w:w="389"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巴陵石化水务部云溪生化装置</w:t>
            </w:r>
          </w:p>
        </w:tc>
        <w:tc>
          <w:tcPr>
            <w:tcW w:w="1053"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间断排放，排放期间流量不稳定且无规律，但不属于冲击型排放</w:t>
            </w:r>
          </w:p>
        </w:tc>
        <w:tc>
          <w:tcPr>
            <w:tcW w:w="412"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TW001</w:t>
            </w:r>
          </w:p>
        </w:tc>
        <w:tc>
          <w:tcPr>
            <w:tcW w:w="370"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生产污水处理系统</w:t>
            </w:r>
          </w:p>
        </w:tc>
        <w:tc>
          <w:tcPr>
            <w:tcW w:w="443" w:type="pct"/>
            <w:tcBorders>
              <w:bottom w:val="single" w:color="auto" w:sz="4" w:space="0"/>
            </w:tcBorders>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预处理+曝气系统+A/O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系统+环氧污水接触氧化处理系统</w:t>
            </w:r>
          </w:p>
        </w:tc>
        <w:tc>
          <w:tcPr>
            <w:tcW w:w="374" w:type="pct"/>
            <w:tcBorders>
              <w:bottom w:val="single" w:color="auto" w:sz="4" w:space="0"/>
            </w:tcBorders>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DW001</w:t>
            </w:r>
          </w:p>
        </w:tc>
        <w:tc>
          <w:tcPr>
            <w:tcW w:w="393" w:type="pct"/>
            <w:tcBorders>
              <w:bottom w:val="single" w:color="auto" w:sz="4" w:space="0"/>
            </w:tcBorders>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是</w:t>
            </w:r>
          </w:p>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否</w:t>
            </w:r>
          </w:p>
        </w:tc>
        <w:tc>
          <w:tcPr>
            <w:tcW w:w="600" w:type="pct"/>
            <w:tcBorders>
              <w:bottom w:val="single" w:color="auto"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企业总排</w:t>
            </w:r>
          </w:p>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雨水排放</w:t>
            </w:r>
          </w:p>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清净下水排放</w:t>
            </w:r>
          </w:p>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pacing w:val="-3"/>
                <w:sz w:val="21"/>
                <w:szCs w:val="21"/>
                <w14:textFill>
                  <w14:solidFill>
                    <w14:schemeClr w14:val="tx1"/>
                  </w14:solidFill>
                </w14:textFill>
              </w:rPr>
              <w:t>温排水排放</w:t>
            </w:r>
          </w:p>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pacing w:val="-3"/>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sym w:font="Wingdings 2" w:char="00A3"/>
            </w:r>
            <w:r>
              <w:rPr>
                <w:rFonts w:hint="default" w:ascii="Times New Roman" w:hAnsi="Times New Roman" w:cs="Times New Roman"/>
                <w:color w:val="000000" w:themeColor="text1"/>
                <w:spacing w:val="4"/>
                <w:sz w:val="21"/>
                <w:szCs w:val="21"/>
                <w14:textFill>
                  <w14:solidFill>
                    <w14:schemeClr w14:val="tx1"/>
                  </w14:solidFill>
                </w14:textFill>
              </w:rPr>
              <w:t>车间或车间处</w:t>
            </w:r>
            <w:r>
              <w:rPr>
                <w:rFonts w:hint="default" w:ascii="Times New Roman" w:hAnsi="Times New Roman" w:cs="Times New Roman"/>
                <w:color w:val="000000" w:themeColor="text1"/>
                <w:spacing w:val="-3"/>
                <w:sz w:val="21"/>
                <w:szCs w:val="21"/>
                <w14:textFill>
                  <w14:solidFill>
                    <w14:schemeClr w14:val="tx1"/>
                  </w14:solidFill>
                </w14:textFill>
              </w:rPr>
              <w:t>理设施排放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62"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41"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雨水</w:t>
            </w:r>
          </w:p>
        </w:tc>
        <w:tc>
          <w:tcPr>
            <w:tcW w:w="558"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firstLine="76"/>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COD、SS、石油类</w:t>
            </w:r>
          </w:p>
        </w:tc>
        <w:tc>
          <w:tcPr>
            <w:tcW w:w="389"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松阳湖</w:t>
            </w:r>
          </w:p>
        </w:tc>
        <w:tc>
          <w:tcPr>
            <w:tcW w:w="1053"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间断排放，排放期间流量不稳定且无规律，但不属于冲击型排放</w:t>
            </w:r>
          </w:p>
        </w:tc>
        <w:tc>
          <w:tcPr>
            <w:tcW w:w="412"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0" w:type="pct"/>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443" w:type="pct"/>
            <w:tcBorders>
              <w:top w:val="single" w:color="auto" w:sz="4" w:space="0"/>
            </w:tcBorders>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374" w:type="pct"/>
            <w:tcBorders>
              <w:top w:val="single" w:color="auto" w:sz="4" w:space="0"/>
            </w:tcBorders>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YS001</w:t>
            </w:r>
          </w:p>
        </w:tc>
        <w:tc>
          <w:tcPr>
            <w:tcW w:w="393" w:type="pct"/>
            <w:tcBorders>
              <w:top w:val="single" w:color="auto"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Wingdings 2"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eastAsia="Wingdings 2" w:cs="Times New Roman"/>
                <w:color w:val="000000" w:themeColor="text1"/>
                <w:sz w:val="21"/>
                <w:szCs w:val="21"/>
                <w14:textFill>
                  <w14:solidFill>
                    <w14:schemeClr w14:val="tx1"/>
                  </w14:solidFill>
                </w14:textFill>
              </w:rPr>
              <w:t>是</w:t>
            </w:r>
          </w:p>
          <w:p>
            <w:pPr>
              <w:pStyle w:val="1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eastAsia="Wingdings 2" w:cs="Times New Roman"/>
                <w:color w:val="000000" w:themeColor="text1"/>
                <w:sz w:val="21"/>
                <w:szCs w:val="21"/>
                <w14:textFill>
                  <w14:solidFill>
                    <w14:schemeClr w14:val="tx1"/>
                  </w14:solidFill>
                </w14:textFill>
              </w:rPr>
            </w:pPr>
            <w:r>
              <w:rPr>
                <w:rFonts w:hint="default" w:ascii="Times New Roman" w:hAnsi="Times New Roman" w:eastAsia="Wingdings 2" w:cs="Times New Roman"/>
                <w:color w:val="000000" w:themeColor="text1"/>
                <w:sz w:val="21"/>
                <w:szCs w:val="21"/>
                <w14:textFill>
                  <w14:solidFill>
                    <w14:schemeClr w14:val="tx1"/>
                  </w14:solidFill>
                </w14:textFill>
              </w:rPr>
              <w:sym w:font="Wingdings 2" w:char="00A3"/>
            </w:r>
            <w:r>
              <w:rPr>
                <w:rFonts w:hint="default" w:ascii="Times New Roman" w:hAnsi="Times New Roman" w:eastAsia="Wingdings 2" w:cs="Times New Roman"/>
                <w:color w:val="000000" w:themeColor="text1"/>
                <w:sz w:val="21"/>
                <w:szCs w:val="21"/>
                <w14:textFill>
                  <w14:solidFill>
                    <w14:schemeClr w14:val="tx1"/>
                  </w14:solidFill>
                </w14:textFill>
              </w:rPr>
              <w:t>否</w:t>
            </w:r>
          </w:p>
        </w:tc>
        <w:tc>
          <w:tcPr>
            <w:tcW w:w="600" w:type="pct"/>
            <w:tcBorders>
              <w:top w:val="single" w:color="auto" w:sz="4" w:space="0"/>
            </w:tcBorders>
            <w:noWrap w:val="0"/>
            <w:vAlign w:val="center"/>
          </w:tcPr>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Wingdings 2" w:cs="Times New Roman"/>
                <w:color w:val="000000" w:themeColor="text1"/>
                <w:sz w:val="21"/>
                <w:szCs w:val="21"/>
                <w14:textFill>
                  <w14:solidFill>
                    <w14:schemeClr w14:val="tx1"/>
                  </w14:solidFill>
                </w14:textFill>
              </w:rPr>
              <w:sym w:font="Wingdings 2" w:char="00A3"/>
            </w:r>
            <w:r>
              <w:rPr>
                <w:rFonts w:hint="default" w:ascii="Times New Roman" w:hAnsi="Times New Roman" w:eastAsia="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企业总排</w:t>
            </w:r>
          </w:p>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52"/>
            </w:r>
            <w:r>
              <w:rPr>
                <w:rFonts w:hint="default" w:ascii="Times New Roman" w:hAnsi="Times New Roman" w:cs="Times New Roman"/>
                <w:color w:val="000000" w:themeColor="text1"/>
                <w:sz w:val="21"/>
                <w:szCs w:val="21"/>
                <w14:textFill>
                  <w14:solidFill>
                    <w14:schemeClr w14:val="tx1"/>
                  </w14:solidFill>
                </w14:textFill>
              </w:rPr>
              <w:t>雨水排放</w:t>
            </w:r>
          </w:p>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sz w:val="21"/>
                <w:szCs w:val="21"/>
                <w14:textFill>
                  <w14:solidFill>
                    <w14:schemeClr w14:val="tx1"/>
                  </w14:solidFill>
                </w14:textFill>
              </w:rPr>
              <w:t>清净下水排放</w:t>
            </w:r>
          </w:p>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3"/>
                <w:sz w:val="21"/>
                <w:szCs w:val="21"/>
                <w14:textFill>
                  <w14:solidFill>
                    <w14:schemeClr w14:val="tx1"/>
                  </w14:solidFill>
                </w14:textFill>
              </w:rPr>
              <w:sym w:font="Wingdings 2" w:char="00A3"/>
            </w:r>
            <w:r>
              <w:rPr>
                <w:rFonts w:hint="default" w:ascii="Times New Roman" w:hAnsi="Times New Roman" w:cs="Times New Roman"/>
                <w:color w:val="000000" w:themeColor="text1"/>
                <w:spacing w:val="-3"/>
                <w:sz w:val="21"/>
                <w:szCs w:val="21"/>
                <w14:textFill>
                  <w14:solidFill>
                    <w14:schemeClr w14:val="tx1"/>
                  </w14:solidFill>
                </w14:textFill>
              </w:rPr>
              <w:t>温排水排放</w:t>
            </w:r>
          </w:p>
          <w:p>
            <w:pPr>
              <w:pStyle w:val="112"/>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right="0"/>
              <w:jc w:val="both"/>
              <w:textAlignment w:val="auto"/>
              <w:rPr>
                <w:rFonts w:hint="default" w:ascii="Times New Roman" w:hAnsi="Times New Roman" w:eastAsia="Wingdings 2"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4"/>
                <w:sz w:val="21"/>
                <w:szCs w:val="21"/>
                <w14:textFill>
                  <w14:solidFill>
                    <w14:schemeClr w14:val="tx1"/>
                  </w14:solidFill>
                </w14:textFill>
              </w:rPr>
              <w:sym w:font="Wingdings 2" w:char="00A3"/>
            </w:r>
            <w:r>
              <w:rPr>
                <w:rFonts w:hint="default" w:ascii="Times New Roman" w:hAnsi="Times New Roman" w:cs="Times New Roman"/>
                <w:color w:val="000000" w:themeColor="text1"/>
                <w:spacing w:val="4"/>
                <w:sz w:val="21"/>
                <w:szCs w:val="21"/>
                <w14:textFill>
                  <w14:solidFill>
                    <w14:schemeClr w14:val="tx1"/>
                  </w14:solidFill>
                </w14:textFill>
              </w:rPr>
              <w:t>车间或车间处</w:t>
            </w:r>
            <w:r>
              <w:rPr>
                <w:rFonts w:hint="default" w:ascii="Times New Roman" w:hAnsi="Times New Roman" w:cs="Times New Roman"/>
                <w:color w:val="000000" w:themeColor="text1"/>
                <w:spacing w:val="-3"/>
                <w:sz w:val="21"/>
                <w:szCs w:val="21"/>
                <w14:textFill>
                  <w14:solidFill>
                    <w14:schemeClr w14:val="tx1"/>
                  </w14:solidFill>
                </w14:textFill>
              </w:rPr>
              <w:t>理设施排放</w:t>
            </w:r>
          </w:p>
        </w:tc>
      </w:tr>
    </w:tbl>
    <w:p>
      <w:pPr>
        <w:keepNext/>
        <w:ind w:firstLine="482" w:firstLineChars="200"/>
        <w:jc w:val="center"/>
        <w:rPr>
          <w:b/>
          <w:color w:val="000000" w:themeColor="text1"/>
          <w:szCs w:val="24"/>
          <w14:textFill>
            <w14:solidFill>
              <w14:schemeClr w14:val="tx1"/>
            </w14:solidFill>
          </w14:textFill>
        </w:rPr>
        <w:sectPr>
          <w:pgSz w:w="11906" w:h="16838"/>
          <w:pgMar w:top="1440" w:right="1440" w:bottom="1440" w:left="1440" w:header="720" w:footer="720" w:gutter="0"/>
          <w:pgBorders>
            <w:top w:val="none" w:sz="0" w:space="0"/>
            <w:left w:val="none" w:sz="0" w:space="0"/>
            <w:bottom w:val="none" w:sz="0" w:space="0"/>
            <w:right w:val="none" w:sz="0" w:space="0"/>
          </w:pgBorders>
          <w:cols w:space="720" w:num="1"/>
          <w:rtlGutter w:val="0"/>
          <w:docGrid w:linePitch="326" w:charSpace="0"/>
        </w:sectPr>
      </w:pPr>
    </w:p>
    <w:p>
      <w:pPr>
        <w:keepNext/>
        <w:ind w:firstLine="482" w:firstLineChars="200"/>
        <w:jc w:val="center"/>
        <w:rPr>
          <w:color w:val="000000" w:themeColor="text1"/>
          <w:szCs w:val="24"/>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7</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18</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t xml:space="preserve">  废水间接</w:t>
      </w:r>
      <w:r>
        <w:rPr>
          <w:b/>
          <w:color w:val="000000" w:themeColor="text1"/>
          <w:spacing w:val="-5"/>
          <w:szCs w:val="24"/>
          <w14:textFill>
            <w14:solidFill>
              <w14:schemeClr w14:val="tx1"/>
            </w14:solidFill>
          </w14:textFill>
        </w:rPr>
        <w:t>排</w:t>
      </w:r>
      <w:r>
        <w:rPr>
          <w:b/>
          <w:color w:val="000000" w:themeColor="text1"/>
          <w:szCs w:val="24"/>
          <w14:textFill>
            <w14:solidFill>
              <w14:schemeClr w14:val="tx1"/>
            </w14:solidFill>
          </w14:textFill>
        </w:rPr>
        <w:t>放口基</w:t>
      </w:r>
      <w:r>
        <w:rPr>
          <w:b/>
          <w:color w:val="000000" w:themeColor="text1"/>
          <w:spacing w:val="-5"/>
          <w:szCs w:val="24"/>
          <w14:textFill>
            <w14:solidFill>
              <w14:schemeClr w14:val="tx1"/>
            </w14:solidFill>
          </w14:textFill>
        </w:rPr>
        <w:t>本</w:t>
      </w:r>
      <w:r>
        <w:rPr>
          <w:b/>
          <w:color w:val="000000" w:themeColor="text1"/>
          <w:szCs w:val="24"/>
          <w14:textFill>
            <w14:solidFill>
              <w14:schemeClr w14:val="tx1"/>
            </w14:solidFill>
          </w14:textFill>
        </w:rPr>
        <w:t>情况表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05"/>
        <w:gridCol w:w="675"/>
        <w:gridCol w:w="865"/>
        <w:gridCol w:w="1272"/>
        <w:gridCol w:w="752"/>
        <w:gridCol w:w="698"/>
        <w:gridCol w:w="693"/>
        <w:gridCol w:w="1013"/>
        <w:gridCol w:w="1135"/>
        <w:gridCol w:w="15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224" w:type="pct"/>
            <w:vMerge w:val="restart"/>
            <w:noWrap w:val="0"/>
            <w:vAlign w:val="center"/>
          </w:tcPr>
          <w:p>
            <w:pPr>
              <w:pStyle w:val="112"/>
              <w:keepNext w:val="0"/>
              <w:keepLines w:val="0"/>
              <w:suppressLineNumbers w:val="0"/>
              <w:spacing w:before="0" w:beforeAutospacing="0" w:after="0" w:afterAutospacing="0"/>
              <w:ind w:left="108" w:right="82"/>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序号</w:t>
            </w:r>
          </w:p>
        </w:tc>
        <w:tc>
          <w:tcPr>
            <w:tcW w:w="373" w:type="pct"/>
            <w:vMerge w:val="restart"/>
            <w:noWrap w:val="0"/>
            <w:vAlign w:val="center"/>
          </w:tcPr>
          <w:p>
            <w:pPr>
              <w:pStyle w:val="112"/>
              <w:keepNext w:val="0"/>
              <w:keepLines w:val="0"/>
              <w:suppressLineNumbers w:val="0"/>
              <w:spacing w:before="1" w:beforeAutospacing="0" w:after="0" w:afterAutospacing="0"/>
              <w:ind w:left="208" w:right="178"/>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排放口编号</w:t>
            </w:r>
          </w:p>
        </w:tc>
        <w:tc>
          <w:tcPr>
            <w:tcW w:w="1183" w:type="pct"/>
            <w:gridSpan w:val="2"/>
            <w:noWrap w:val="0"/>
            <w:vAlign w:val="center"/>
          </w:tcPr>
          <w:p>
            <w:pPr>
              <w:pStyle w:val="112"/>
              <w:keepNext w:val="0"/>
              <w:keepLines w:val="0"/>
              <w:suppressLineNumbers w:val="0"/>
              <w:spacing w:before="0" w:beforeAutospacing="0" w:after="0" w:afterAutospacing="0"/>
              <w:ind w:left="183" w:right="147"/>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排放口地理</w:t>
            </w:r>
          </w:p>
          <w:p>
            <w:pPr>
              <w:pStyle w:val="112"/>
              <w:keepNext w:val="0"/>
              <w:keepLines w:val="0"/>
              <w:suppressLineNumbers w:val="0"/>
              <w:spacing w:before="0" w:beforeAutospacing="0" w:after="0" w:afterAutospacing="0"/>
              <w:ind w:left="179" w:right="147"/>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坐标</w:t>
            </w:r>
          </w:p>
        </w:tc>
        <w:tc>
          <w:tcPr>
            <w:tcW w:w="417" w:type="pct"/>
            <w:vMerge w:val="restart"/>
            <w:noWrap w:val="0"/>
            <w:vAlign w:val="center"/>
          </w:tcPr>
          <w:p>
            <w:pPr>
              <w:pStyle w:val="112"/>
              <w:keepNext w:val="0"/>
              <w:keepLines w:val="0"/>
              <w:suppressLineNumbers w:val="0"/>
              <w:spacing w:before="1" w:beforeAutospacing="0" w:after="0" w:afterAutospacing="0"/>
              <w:ind w:left="156" w:right="122"/>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废水排放量</w:t>
            </w:r>
            <w:r>
              <w:rPr>
                <w:rFonts w:ascii="Times New Roman" w:hAnsi="Times New Roman" w:eastAsia="Times New Roman" w:cs="Times New Roman"/>
                <w:color w:val="000000" w:themeColor="text1"/>
                <w:sz w:val="21"/>
                <w14:textFill>
                  <w14:solidFill>
                    <w14:schemeClr w14:val="tx1"/>
                  </w14:solidFill>
                </w14:textFill>
              </w:rPr>
              <w:t xml:space="preserve">/ </w:t>
            </w:r>
            <w:r>
              <w:rPr>
                <w:rFonts w:ascii="Times New Roman" w:hAnsi="Times New Roman" w:cs="Times New Roman"/>
                <w:color w:val="000000" w:themeColor="text1"/>
                <w:sz w:val="21"/>
                <w14:textFill>
                  <w14:solidFill>
                    <w14:schemeClr w14:val="tx1"/>
                  </w14:solidFill>
                </w14:textFill>
              </w:rPr>
              <w:t>（万</w:t>
            </w:r>
            <w:r>
              <w:rPr>
                <w:rFonts w:ascii="Times New Roman" w:hAnsi="Times New Roman" w:eastAsia="Times New Roman" w:cs="Times New Roman"/>
                <w:color w:val="000000" w:themeColor="text1"/>
                <w:sz w:val="21"/>
                <w14:textFill>
                  <w14:solidFill>
                    <w14:schemeClr w14:val="tx1"/>
                  </w14:solidFill>
                </w14:textFill>
              </w:rPr>
              <w:t>t/a</w:t>
            </w:r>
            <w:r>
              <w:rPr>
                <w:rFonts w:ascii="Times New Roman" w:hAnsi="Times New Roman" w:cs="Times New Roman"/>
                <w:color w:val="000000" w:themeColor="text1"/>
                <w:sz w:val="21"/>
                <w14:textFill>
                  <w14:solidFill>
                    <w14:schemeClr w14:val="tx1"/>
                  </w14:solidFill>
                </w14:textFill>
              </w:rPr>
              <w:t>）</w:t>
            </w:r>
          </w:p>
        </w:tc>
        <w:tc>
          <w:tcPr>
            <w:tcW w:w="387" w:type="pct"/>
            <w:vMerge w:val="restart"/>
            <w:noWrap w:val="0"/>
            <w:vAlign w:val="center"/>
          </w:tcPr>
          <w:p>
            <w:pPr>
              <w:pStyle w:val="112"/>
              <w:keepNext w:val="0"/>
              <w:keepLines w:val="0"/>
              <w:suppressLineNumbers w:val="0"/>
              <w:spacing w:before="0" w:beforeAutospacing="0" w:after="0" w:afterAutospacing="0"/>
              <w:ind w:left="180" w:right="146"/>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排放去向</w:t>
            </w:r>
          </w:p>
        </w:tc>
        <w:tc>
          <w:tcPr>
            <w:tcW w:w="383" w:type="pct"/>
            <w:vMerge w:val="restart"/>
            <w:noWrap w:val="0"/>
            <w:vAlign w:val="center"/>
          </w:tcPr>
          <w:p>
            <w:pPr>
              <w:pStyle w:val="112"/>
              <w:keepNext w:val="0"/>
              <w:keepLines w:val="0"/>
              <w:suppressLineNumbers w:val="0"/>
              <w:spacing w:before="139" w:beforeAutospacing="0" w:after="0" w:afterAutospacing="0"/>
              <w:ind w:left="148" w:right="115"/>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排放规律</w:t>
            </w:r>
          </w:p>
        </w:tc>
        <w:tc>
          <w:tcPr>
            <w:tcW w:w="2029" w:type="pct"/>
            <w:gridSpan w:val="3"/>
            <w:noWrap w:val="0"/>
            <w:vAlign w:val="center"/>
          </w:tcPr>
          <w:p>
            <w:pPr>
              <w:pStyle w:val="112"/>
              <w:keepNext w:val="0"/>
              <w:keepLines w:val="0"/>
              <w:suppressLineNumbers w:val="0"/>
              <w:spacing w:before="101" w:beforeAutospacing="0" w:after="0" w:afterAutospacing="0"/>
              <w:ind w:left="813" w:right="0"/>
              <w:jc w:val="both"/>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受纳污水处理厂信息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22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79" w:type="pct"/>
            <w:noWrap w:val="0"/>
            <w:vAlign w:val="center"/>
          </w:tcPr>
          <w:p>
            <w:pPr>
              <w:pStyle w:val="112"/>
              <w:keepNext w:val="0"/>
              <w:keepLines w:val="0"/>
              <w:suppressLineNumbers w:val="0"/>
              <w:spacing w:before="0" w:beforeAutospacing="0" w:after="0" w:afterAutospacing="0"/>
              <w:ind w:left="156"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经度</w:t>
            </w:r>
          </w:p>
        </w:tc>
        <w:tc>
          <w:tcPr>
            <w:tcW w:w="704" w:type="pct"/>
            <w:noWrap w:val="0"/>
            <w:vAlign w:val="center"/>
          </w:tcPr>
          <w:p>
            <w:pPr>
              <w:pStyle w:val="112"/>
              <w:keepNext w:val="0"/>
              <w:keepLines w:val="0"/>
              <w:suppressLineNumbers w:val="0"/>
              <w:spacing w:before="0" w:beforeAutospacing="0" w:after="0" w:afterAutospacing="0"/>
              <w:ind w:left="156"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纬度</w:t>
            </w:r>
          </w:p>
        </w:tc>
        <w:tc>
          <w:tcPr>
            <w:tcW w:w="41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561" w:type="pct"/>
            <w:noWrap w:val="0"/>
            <w:vAlign w:val="center"/>
          </w:tcPr>
          <w:p>
            <w:pPr>
              <w:pStyle w:val="112"/>
              <w:keepNext w:val="0"/>
              <w:keepLines w:val="0"/>
              <w:suppressLineNumbers w:val="0"/>
              <w:spacing w:before="0" w:beforeAutospacing="0" w:after="0" w:afterAutospacing="0"/>
              <w:ind w:left="179" w:right="147"/>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名称</w:t>
            </w:r>
          </w:p>
        </w:tc>
        <w:tc>
          <w:tcPr>
            <w:tcW w:w="628" w:type="pct"/>
            <w:noWrap w:val="0"/>
            <w:vAlign w:val="center"/>
          </w:tcPr>
          <w:p>
            <w:pPr>
              <w:pStyle w:val="112"/>
              <w:keepNext w:val="0"/>
              <w:keepLines w:val="0"/>
              <w:suppressLineNumbers w:val="0"/>
              <w:spacing w:before="24" w:beforeAutospacing="0" w:after="0" w:afterAutospacing="0"/>
              <w:ind w:left="115" w:right="76"/>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污染物种类</w:t>
            </w:r>
          </w:p>
        </w:tc>
        <w:tc>
          <w:tcPr>
            <w:tcW w:w="838" w:type="pct"/>
            <w:noWrap w:val="0"/>
            <w:vAlign w:val="center"/>
          </w:tcPr>
          <w:p>
            <w:pPr>
              <w:pStyle w:val="112"/>
              <w:keepNext w:val="0"/>
              <w:keepLines w:val="0"/>
              <w:suppressLineNumbers w:val="0"/>
              <w:spacing w:before="24" w:beforeAutospacing="0" w:after="0" w:afterAutospacing="0"/>
              <w:ind w:left="115" w:right="76"/>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国家或地方污染物排放标准浓度限值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224" w:type="pct"/>
            <w:vMerge w:val="restart"/>
            <w:noWrap w:val="0"/>
            <w:vAlign w:val="center"/>
          </w:tcPr>
          <w:p>
            <w:pPr>
              <w:pStyle w:val="112"/>
              <w:keepNext w:val="0"/>
              <w:keepLines w:val="0"/>
              <w:suppressLineNumbers w:val="0"/>
              <w:spacing w:before="197" w:beforeAutospacing="0" w:after="0" w:afterAutospacing="0"/>
              <w:ind w:left="22"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w:t>
            </w:r>
          </w:p>
        </w:tc>
        <w:tc>
          <w:tcPr>
            <w:tcW w:w="373" w:type="pct"/>
            <w:vMerge w:val="restart"/>
            <w:noWrap w:val="0"/>
            <w:vAlign w:val="center"/>
          </w:tcPr>
          <w:p>
            <w:pPr>
              <w:pStyle w:val="112"/>
              <w:keepNext w:val="0"/>
              <w:keepLines w:val="0"/>
              <w:suppressLineNumbers w:val="0"/>
              <w:spacing w:before="197"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DW001</w:t>
            </w:r>
          </w:p>
        </w:tc>
        <w:tc>
          <w:tcPr>
            <w:tcW w:w="479" w:type="pct"/>
            <w:vMerge w:val="restart"/>
            <w:noWrap w:val="0"/>
            <w:vAlign w:val="center"/>
          </w:tcPr>
          <w:p>
            <w:pPr>
              <w:pStyle w:val="112"/>
              <w:keepNext w:val="0"/>
              <w:keepLines w:val="0"/>
              <w:suppressLineNumbers w:val="0"/>
              <w:spacing w:before="166"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pacing w:val="-11"/>
                <w:sz w:val="21"/>
                <w14:textFill>
                  <w14:solidFill>
                    <w14:schemeClr w14:val="tx1"/>
                  </w14:solidFill>
                </w14:textFill>
              </w:rPr>
              <w:t>113°1</w:t>
            </w:r>
            <w:r>
              <w:rPr>
                <w:rFonts w:ascii="Times New Roman" w:hAnsi="Times New Roman" w:cs="Times New Roman"/>
                <w:color w:val="000000" w:themeColor="text1"/>
                <w:sz w:val="21"/>
                <w14:textFill>
                  <w14:solidFill>
                    <w14:schemeClr w14:val="tx1"/>
                  </w14:solidFill>
                </w14:textFill>
              </w:rPr>
              <w:t>8'51.</w:t>
            </w:r>
          </w:p>
          <w:p>
            <w:pPr>
              <w:pStyle w:val="112"/>
              <w:keepNext w:val="0"/>
              <w:keepLines w:val="0"/>
              <w:suppressLineNumbers w:val="0"/>
              <w:spacing w:before="70" w:beforeAutospacing="0" w:after="0" w:afterAutospacing="0"/>
              <w:ind w:left="22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96"</w:t>
            </w:r>
          </w:p>
        </w:tc>
        <w:tc>
          <w:tcPr>
            <w:tcW w:w="704" w:type="pct"/>
            <w:vMerge w:val="restart"/>
            <w:noWrap w:val="0"/>
            <w:vAlign w:val="center"/>
          </w:tcPr>
          <w:p>
            <w:pPr>
              <w:pStyle w:val="112"/>
              <w:keepNext w:val="0"/>
              <w:keepLines w:val="0"/>
              <w:suppressLineNumbers w:val="0"/>
              <w:spacing w:before="166" w:beforeAutospacing="0" w:after="0" w:afterAutospacing="0"/>
              <w:ind w:left="101" w:right="105"/>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pacing w:val="-9"/>
                <w:sz w:val="21"/>
                <w14:textFill>
                  <w14:solidFill>
                    <w14:schemeClr w14:val="tx1"/>
                  </w14:solidFill>
                </w14:textFill>
              </w:rPr>
              <w:t>29°28</w:t>
            </w:r>
            <w:r>
              <w:rPr>
                <w:rFonts w:ascii="Times New Roman" w:hAnsi="Times New Roman" w:cs="Times New Roman"/>
                <w:color w:val="000000" w:themeColor="text1"/>
                <w:sz w:val="21"/>
                <w14:textFill>
                  <w14:solidFill>
                    <w14:schemeClr w14:val="tx1"/>
                  </w14:solidFill>
                </w14:textFill>
              </w:rPr>
              <w:t>'30.39"</w:t>
            </w:r>
          </w:p>
        </w:tc>
        <w:tc>
          <w:tcPr>
            <w:tcW w:w="417" w:type="pct"/>
            <w:vMerge w:val="restart"/>
            <w:noWrap w:val="0"/>
            <w:vAlign w:val="center"/>
          </w:tcPr>
          <w:p>
            <w:pPr>
              <w:pStyle w:val="112"/>
              <w:keepNext w:val="0"/>
              <w:keepLines w:val="0"/>
              <w:suppressLineNumbers w:val="0"/>
              <w:spacing w:before="0" w:beforeAutospacing="0" w:after="0" w:afterAutospacing="0"/>
              <w:ind w:left="99" w:right="66"/>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0.321</w:t>
            </w:r>
          </w:p>
        </w:tc>
        <w:tc>
          <w:tcPr>
            <w:tcW w:w="387" w:type="pct"/>
            <w:vMerge w:val="restart"/>
            <w:noWrap w:val="0"/>
            <w:vAlign w:val="center"/>
          </w:tcPr>
          <w:p>
            <w:pPr>
              <w:pStyle w:val="112"/>
              <w:keepNext w:val="0"/>
              <w:keepLines w:val="0"/>
              <w:suppressLineNumbers w:val="0"/>
              <w:spacing w:before="96" w:beforeAutospacing="0" w:after="0" w:afterAutospacing="0"/>
              <w:ind w:left="180" w:right="146"/>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pacing w:val="-9"/>
                <w:sz w:val="21"/>
                <w14:textFill>
                  <w14:solidFill>
                    <w14:schemeClr w14:val="tx1"/>
                  </w14:solidFill>
                </w14:textFill>
              </w:rPr>
              <w:t>巴陵石化水务部云溪生化装置</w:t>
            </w:r>
          </w:p>
        </w:tc>
        <w:tc>
          <w:tcPr>
            <w:tcW w:w="383" w:type="pct"/>
            <w:vMerge w:val="restart"/>
            <w:noWrap w:val="0"/>
            <w:vAlign w:val="center"/>
          </w:tcPr>
          <w:p>
            <w:pPr>
              <w:pStyle w:val="112"/>
              <w:keepNext w:val="0"/>
              <w:keepLines w:val="0"/>
              <w:suppressLineNumbers w:val="0"/>
              <w:spacing w:before="0" w:beforeAutospacing="0" w:after="0" w:afterAutospacing="0"/>
              <w:ind w:left="148" w:right="115"/>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间断排放，排放期间流量不稳定且无规律，但不属于冲击型排放</w:t>
            </w:r>
          </w:p>
        </w:tc>
        <w:tc>
          <w:tcPr>
            <w:tcW w:w="561" w:type="pct"/>
            <w:vMerge w:val="restart"/>
            <w:noWrap w:val="0"/>
            <w:vAlign w:val="center"/>
          </w:tcPr>
          <w:p>
            <w:pPr>
              <w:pStyle w:val="112"/>
              <w:keepNext w:val="0"/>
              <w:keepLines w:val="0"/>
              <w:suppressLineNumbers w:val="0"/>
              <w:spacing w:before="43"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cs="Times New Roman"/>
                <w:color w:val="000000" w:themeColor="text1"/>
                <w:sz w:val="21"/>
                <w14:textFill>
                  <w14:solidFill>
                    <w14:schemeClr w14:val="tx1"/>
                  </w14:solidFill>
                </w14:textFill>
              </w:rPr>
              <w:t>巴陵石化水务部云溪生化装置</w:t>
            </w:r>
          </w:p>
        </w:tc>
        <w:tc>
          <w:tcPr>
            <w:tcW w:w="628" w:type="pct"/>
            <w:noWrap w:val="0"/>
            <w:vAlign w:val="center"/>
          </w:tcPr>
          <w:p>
            <w:pPr>
              <w:pStyle w:val="112"/>
              <w:keepNext w:val="0"/>
              <w:keepLines w:val="0"/>
              <w:suppressLineNumbers w:val="0"/>
              <w:spacing w:before="102" w:beforeAutospacing="0" w:after="0" w:afterAutospacing="0"/>
              <w:ind w:left="125" w:right="93"/>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COD</w:t>
            </w:r>
          </w:p>
        </w:tc>
        <w:tc>
          <w:tcPr>
            <w:tcW w:w="838"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50mg/L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22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7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0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1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56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628" w:type="pct"/>
            <w:noWrap w:val="0"/>
            <w:vAlign w:val="center"/>
          </w:tcPr>
          <w:p>
            <w:pPr>
              <w:pStyle w:val="112"/>
              <w:keepNext w:val="0"/>
              <w:keepLines w:val="0"/>
              <w:suppressLineNumbers w:val="0"/>
              <w:spacing w:before="91" w:beforeAutospacing="0" w:after="0" w:afterAutospacing="0"/>
              <w:ind w:left="125" w:right="96"/>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BOD</w:t>
            </w:r>
            <w:r>
              <w:rPr>
                <w:rFonts w:ascii="Times New Roman" w:hAnsi="Times New Roman" w:cs="Times New Roman"/>
                <w:color w:val="000000" w:themeColor="text1"/>
                <w:sz w:val="21"/>
                <w:vertAlign w:val="subscript"/>
                <w14:textFill>
                  <w14:solidFill>
                    <w14:schemeClr w14:val="tx1"/>
                  </w14:solidFill>
                </w14:textFill>
              </w:rPr>
              <w:t>5</w:t>
            </w:r>
          </w:p>
        </w:tc>
        <w:tc>
          <w:tcPr>
            <w:tcW w:w="838"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20mg/L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22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7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0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1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56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628" w:type="pct"/>
            <w:noWrap w:val="0"/>
            <w:vAlign w:val="center"/>
          </w:tcPr>
          <w:p>
            <w:pPr>
              <w:pStyle w:val="112"/>
              <w:keepNext w:val="0"/>
              <w:keepLines w:val="0"/>
              <w:suppressLineNumbers w:val="0"/>
              <w:spacing w:before="87" w:beforeAutospacing="0" w:after="0" w:afterAutospacing="0"/>
              <w:ind w:left="181" w:right="155"/>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SS</w:t>
            </w:r>
          </w:p>
        </w:tc>
        <w:tc>
          <w:tcPr>
            <w:tcW w:w="838"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70mg/L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22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7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0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1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56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628" w:type="pct"/>
            <w:noWrap w:val="0"/>
            <w:vAlign w:val="center"/>
          </w:tcPr>
          <w:p>
            <w:pPr>
              <w:pStyle w:val="112"/>
              <w:keepNext w:val="0"/>
              <w:keepLines w:val="0"/>
              <w:suppressLineNumbers w:val="0"/>
              <w:spacing w:before="13" w:beforeAutospacing="0" w:after="0" w:afterAutospacing="0"/>
              <w:ind w:left="125" w:right="9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氨氮</w:t>
            </w:r>
          </w:p>
        </w:tc>
        <w:tc>
          <w:tcPr>
            <w:tcW w:w="838"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22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79"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04"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41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7"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83"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56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628" w:type="pct"/>
            <w:noWrap w:val="0"/>
            <w:vAlign w:val="center"/>
          </w:tcPr>
          <w:p>
            <w:pPr>
              <w:pStyle w:val="112"/>
              <w:keepNext w:val="0"/>
              <w:keepLines w:val="0"/>
              <w:suppressLineNumbers w:val="0"/>
              <w:spacing w:before="17" w:beforeAutospacing="0" w:after="0" w:afterAutospacing="0"/>
              <w:ind w:left="125" w:right="9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石油</w:t>
            </w:r>
          </w:p>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类</w:t>
            </w:r>
          </w:p>
        </w:tc>
        <w:tc>
          <w:tcPr>
            <w:tcW w:w="838" w:type="pct"/>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5mg/L</w:t>
            </w:r>
          </w:p>
        </w:tc>
      </w:tr>
    </w:tbl>
    <w:p>
      <w:pPr>
        <w:keepNext/>
        <w:ind w:firstLine="482" w:firstLineChars="200"/>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7</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19</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t xml:space="preserve">  废水污染</w:t>
      </w:r>
      <w:r>
        <w:rPr>
          <w:b/>
          <w:color w:val="000000" w:themeColor="text1"/>
          <w:spacing w:val="-5"/>
          <w:szCs w:val="24"/>
          <w14:textFill>
            <w14:solidFill>
              <w14:schemeClr w14:val="tx1"/>
            </w14:solidFill>
          </w14:textFill>
        </w:rPr>
        <w:t>物</w:t>
      </w:r>
      <w:r>
        <w:rPr>
          <w:b/>
          <w:color w:val="000000" w:themeColor="text1"/>
          <w:szCs w:val="24"/>
          <w14:textFill>
            <w14:solidFill>
              <w14:schemeClr w14:val="tx1"/>
            </w14:solidFill>
          </w14:textFill>
        </w:rPr>
        <w:t>排放执</w:t>
      </w:r>
      <w:r>
        <w:rPr>
          <w:b/>
          <w:color w:val="000000" w:themeColor="text1"/>
          <w:spacing w:val="-5"/>
          <w:szCs w:val="24"/>
          <w14:textFill>
            <w14:solidFill>
              <w14:schemeClr w14:val="tx1"/>
            </w14:solidFill>
          </w14:textFill>
        </w:rPr>
        <w:t>行</w:t>
      </w:r>
      <w:r>
        <w:rPr>
          <w:b/>
          <w:color w:val="000000" w:themeColor="text1"/>
          <w:szCs w:val="24"/>
          <w14:textFill>
            <w14:solidFill>
              <w14:schemeClr w14:val="tx1"/>
            </w14:solidFill>
          </w14:textFill>
        </w:rPr>
        <w:t>标准表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52"/>
        <w:gridCol w:w="978"/>
        <w:gridCol w:w="1314"/>
        <w:gridCol w:w="3202"/>
        <w:gridCol w:w="28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restart"/>
            <w:noWrap w:val="0"/>
            <w:vAlign w:val="top"/>
          </w:tcPr>
          <w:p>
            <w:pPr>
              <w:pStyle w:val="112"/>
              <w:keepNext w:val="0"/>
              <w:keepLines w:val="0"/>
              <w:suppressLineNumbers w:val="0"/>
              <w:adjustRightInd w:val="0"/>
              <w:snapToGrid w:val="0"/>
              <w:spacing w:before="29" w:beforeAutospacing="0" w:after="0" w:afterAutospacing="0"/>
              <w:ind w:left="200" w:right="0"/>
              <w:jc w:val="left"/>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序</w:t>
            </w:r>
          </w:p>
          <w:p>
            <w:pPr>
              <w:pStyle w:val="112"/>
              <w:keepNext w:val="0"/>
              <w:keepLines w:val="0"/>
              <w:suppressLineNumbers w:val="0"/>
              <w:adjustRightInd w:val="0"/>
              <w:snapToGrid w:val="0"/>
              <w:spacing w:before="43" w:beforeAutospacing="0" w:after="0" w:afterAutospacing="0"/>
              <w:ind w:left="200" w:right="0"/>
              <w:jc w:val="left"/>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号</w:t>
            </w:r>
          </w:p>
        </w:tc>
        <w:tc>
          <w:tcPr>
            <w:tcW w:w="542" w:type="pct"/>
            <w:vMerge w:val="restart"/>
            <w:noWrap w:val="0"/>
            <w:vAlign w:val="top"/>
          </w:tcPr>
          <w:p>
            <w:pPr>
              <w:pStyle w:val="112"/>
              <w:keepNext w:val="0"/>
              <w:keepLines w:val="0"/>
              <w:suppressLineNumbers w:val="0"/>
              <w:adjustRightInd w:val="0"/>
              <w:snapToGrid w:val="0"/>
              <w:spacing w:before="29" w:beforeAutospacing="0" w:after="0" w:afterAutospacing="0"/>
              <w:ind w:left="134" w:right="102"/>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排放口</w:t>
            </w:r>
          </w:p>
          <w:p>
            <w:pPr>
              <w:pStyle w:val="112"/>
              <w:keepNext w:val="0"/>
              <w:keepLines w:val="0"/>
              <w:suppressLineNumbers w:val="0"/>
              <w:adjustRightInd w:val="0"/>
              <w:snapToGrid w:val="0"/>
              <w:spacing w:before="43" w:beforeAutospacing="0" w:after="0" w:afterAutospacing="0"/>
              <w:ind w:left="134" w:right="98"/>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编号</w:t>
            </w:r>
          </w:p>
        </w:tc>
        <w:tc>
          <w:tcPr>
            <w:tcW w:w="728" w:type="pct"/>
            <w:vMerge w:val="restart"/>
            <w:noWrap w:val="0"/>
            <w:vAlign w:val="top"/>
          </w:tcPr>
          <w:p>
            <w:pPr>
              <w:pStyle w:val="112"/>
              <w:keepNext w:val="0"/>
              <w:keepLines w:val="0"/>
              <w:suppressLineNumbers w:val="0"/>
              <w:adjustRightInd w:val="0"/>
              <w:snapToGrid w:val="0"/>
              <w:spacing w:before="29" w:beforeAutospacing="0" w:after="0" w:afterAutospacing="0"/>
              <w:ind w:left="289" w:right="263"/>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w:t>
            </w:r>
          </w:p>
          <w:p>
            <w:pPr>
              <w:pStyle w:val="112"/>
              <w:keepNext w:val="0"/>
              <w:keepLines w:val="0"/>
              <w:suppressLineNumbers w:val="0"/>
              <w:adjustRightInd w:val="0"/>
              <w:snapToGrid w:val="0"/>
              <w:spacing w:before="43" w:beforeAutospacing="0" w:after="0" w:afterAutospacing="0"/>
              <w:ind w:left="289" w:right="25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种类</w:t>
            </w:r>
          </w:p>
        </w:tc>
        <w:tc>
          <w:tcPr>
            <w:tcW w:w="3369" w:type="pct"/>
            <w:gridSpan w:val="2"/>
            <w:noWrap w:val="0"/>
            <w:vAlign w:val="top"/>
          </w:tcPr>
          <w:p>
            <w:pPr>
              <w:pStyle w:val="112"/>
              <w:keepNext w:val="0"/>
              <w:keepLines w:val="0"/>
              <w:suppressLineNumbers w:val="0"/>
              <w:adjustRightInd w:val="0"/>
              <w:snapToGrid w:val="0"/>
              <w:spacing w:before="21" w:beforeAutospacing="0" w:after="0" w:afterAutospacing="0"/>
              <w:ind w:left="243" w:right="0"/>
              <w:jc w:val="left"/>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国家或地方污染物排放标准及其他按规定商定的排放协议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542"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728"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1774" w:type="pct"/>
            <w:noWrap w:val="0"/>
            <w:vAlign w:val="top"/>
          </w:tcPr>
          <w:p>
            <w:pPr>
              <w:pStyle w:val="112"/>
              <w:keepNext w:val="0"/>
              <w:keepLines w:val="0"/>
              <w:suppressLineNumbers w:val="0"/>
              <w:adjustRightInd w:val="0"/>
              <w:snapToGrid w:val="0"/>
              <w:spacing w:before="24" w:beforeAutospacing="0" w:after="0" w:afterAutospacing="0"/>
              <w:ind w:left="1289" w:right="125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名称</w:t>
            </w:r>
          </w:p>
        </w:tc>
        <w:tc>
          <w:tcPr>
            <w:tcW w:w="1595" w:type="pct"/>
            <w:noWrap w:val="0"/>
            <w:vAlign w:val="top"/>
          </w:tcPr>
          <w:p>
            <w:pPr>
              <w:pStyle w:val="112"/>
              <w:keepNext w:val="0"/>
              <w:keepLines w:val="0"/>
              <w:suppressLineNumbers w:val="0"/>
              <w:adjustRightInd w:val="0"/>
              <w:snapToGrid w:val="0"/>
              <w:spacing w:before="24" w:beforeAutospacing="0" w:after="0" w:afterAutospacing="0"/>
              <w:ind w:left="502" w:right="464"/>
              <w:rPr>
                <w:rFonts w:ascii="Times New Roman" w:hAnsi="Times New Roman" w:eastAsia="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浓度限值</w:t>
            </w:r>
            <w:r>
              <w:rPr>
                <w:rFonts w:ascii="Times New Roman" w:hAnsi="Times New Roman" w:eastAsia="Times New Roman" w:cs="Times New Roman"/>
                <w:color w:val="000000" w:themeColor="text1"/>
                <w:sz w:val="21"/>
                <w14:textFill>
                  <w14:solidFill>
                    <w14:schemeClr w14:val="tx1"/>
                  </w14:solidFill>
                </w14:textFill>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restart"/>
            <w:noWrap w:val="0"/>
            <w:vAlign w:val="top"/>
          </w:tcPr>
          <w:p>
            <w:pPr>
              <w:pStyle w:val="112"/>
              <w:keepNext w:val="0"/>
              <w:keepLines w:val="0"/>
              <w:suppressLineNumbers w:val="0"/>
              <w:adjustRightInd w:val="0"/>
              <w:snapToGrid w:val="0"/>
              <w:spacing w:before="0" w:beforeAutospacing="0" w:after="0" w:afterAutospacing="0"/>
              <w:ind w:left="0" w:right="0"/>
              <w:jc w:val="left"/>
              <w:rPr>
                <w:rFonts w:ascii="Times New Roman" w:hAnsi="Times New Roman" w:cs="Times New Roman"/>
                <w:color w:val="000000" w:themeColor="text1"/>
                <w14:textFill>
                  <w14:solidFill>
                    <w14:schemeClr w14:val="tx1"/>
                  </w14:solidFill>
                </w14:textFill>
              </w:rPr>
            </w:pPr>
          </w:p>
          <w:p>
            <w:pPr>
              <w:pStyle w:val="112"/>
              <w:keepNext w:val="0"/>
              <w:keepLines w:val="0"/>
              <w:suppressLineNumbers w:val="0"/>
              <w:adjustRightInd w:val="0"/>
              <w:snapToGrid w:val="0"/>
              <w:spacing w:before="0" w:beforeAutospacing="0" w:after="0" w:afterAutospacing="0"/>
              <w:ind w:left="0" w:right="0"/>
              <w:jc w:val="left"/>
              <w:rPr>
                <w:rFonts w:ascii="Times New Roman" w:hAnsi="Times New Roman" w:cs="Times New Roman"/>
                <w:color w:val="000000" w:themeColor="text1"/>
                <w14:textFill>
                  <w14:solidFill>
                    <w14:schemeClr w14:val="tx1"/>
                  </w14:solidFill>
                </w14:textFill>
              </w:rPr>
            </w:pPr>
          </w:p>
          <w:p>
            <w:pPr>
              <w:pStyle w:val="112"/>
              <w:keepNext w:val="0"/>
              <w:keepLines w:val="0"/>
              <w:suppressLineNumbers w:val="0"/>
              <w:adjustRightInd w:val="0"/>
              <w:snapToGrid w:val="0"/>
              <w:spacing w:before="5" w:beforeAutospacing="0" w:after="0" w:afterAutospacing="0"/>
              <w:ind w:left="0" w:right="0"/>
              <w:jc w:val="left"/>
              <w:rPr>
                <w:rFonts w:ascii="Times New Roman" w:hAnsi="Times New Roman" w:cs="Times New Roman"/>
                <w:color w:val="000000" w:themeColor="text1"/>
                <w14:textFill>
                  <w14:solidFill>
                    <w14:schemeClr w14:val="tx1"/>
                  </w14:solidFill>
                </w14:textFill>
              </w:rPr>
            </w:pPr>
          </w:p>
          <w:p>
            <w:pPr>
              <w:pStyle w:val="112"/>
              <w:keepNext w:val="0"/>
              <w:keepLines w:val="0"/>
              <w:suppressLineNumbers w:val="0"/>
              <w:adjustRightInd w:val="0"/>
              <w:snapToGrid w:val="0"/>
              <w:spacing w:before="0" w:beforeAutospacing="0" w:after="0" w:afterAutospacing="0"/>
              <w:ind w:left="26"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w:t>
            </w:r>
          </w:p>
        </w:tc>
        <w:tc>
          <w:tcPr>
            <w:tcW w:w="542" w:type="pct"/>
            <w:vMerge w:val="restart"/>
            <w:noWrap w:val="0"/>
            <w:vAlign w:val="top"/>
          </w:tcPr>
          <w:p>
            <w:pPr>
              <w:pStyle w:val="112"/>
              <w:keepNext w:val="0"/>
              <w:keepLines w:val="0"/>
              <w:suppressLineNumbers w:val="0"/>
              <w:adjustRightInd w:val="0"/>
              <w:snapToGrid w:val="0"/>
              <w:spacing w:before="0" w:beforeAutospacing="0" w:after="0" w:afterAutospacing="0"/>
              <w:ind w:left="0" w:right="0"/>
              <w:jc w:val="left"/>
              <w:rPr>
                <w:rFonts w:ascii="Times New Roman" w:hAnsi="Times New Roman" w:cs="Times New Roman"/>
                <w:color w:val="000000" w:themeColor="text1"/>
                <w14:textFill>
                  <w14:solidFill>
                    <w14:schemeClr w14:val="tx1"/>
                  </w14:solidFill>
                </w14:textFill>
              </w:rPr>
            </w:pPr>
          </w:p>
          <w:p>
            <w:pPr>
              <w:pStyle w:val="112"/>
              <w:keepNext w:val="0"/>
              <w:keepLines w:val="0"/>
              <w:suppressLineNumbers w:val="0"/>
              <w:adjustRightInd w:val="0"/>
              <w:snapToGrid w:val="0"/>
              <w:spacing w:before="0" w:beforeAutospacing="0" w:after="0" w:afterAutospacing="0"/>
              <w:ind w:left="0" w:right="0"/>
              <w:jc w:val="left"/>
              <w:rPr>
                <w:rFonts w:ascii="Times New Roman" w:hAnsi="Times New Roman" w:cs="Times New Roman"/>
                <w:color w:val="000000" w:themeColor="text1"/>
                <w14:textFill>
                  <w14:solidFill>
                    <w14:schemeClr w14:val="tx1"/>
                  </w14:solidFill>
                </w14:textFill>
              </w:rPr>
            </w:pPr>
          </w:p>
          <w:p>
            <w:pPr>
              <w:pStyle w:val="112"/>
              <w:keepNext w:val="0"/>
              <w:keepLines w:val="0"/>
              <w:suppressLineNumbers w:val="0"/>
              <w:adjustRightInd w:val="0"/>
              <w:snapToGrid w:val="0"/>
              <w:spacing w:before="5" w:beforeAutospacing="0" w:after="0" w:afterAutospacing="0"/>
              <w:ind w:left="0" w:right="0"/>
              <w:jc w:val="left"/>
              <w:rPr>
                <w:rFonts w:ascii="Times New Roman" w:hAnsi="Times New Roman" w:cs="Times New Roman"/>
                <w:color w:val="000000" w:themeColor="text1"/>
                <w14:textFill>
                  <w14:solidFill>
                    <w14:schemeClr w14:val="tx1"/>
                  </w14:solidFill>
                </w14:textFill>
              </w:rPr>
            </w:pPr>
          </w:p>
          <w:p>
            <w:pPr>
              <w:pStyle w:val="112"/>
              <w:keepNext w:val="0"/>
              <w:keepLines w:val="0"/>
              <w:suppressLineNumbers w:val="0"/>
              <w:adjustRightInd w:val="0"/>
              <w:snapToGrid w:val="0"/>
              <w:spacing w:before="0"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DW001</w:t>
            </w:r>
          </w:p>
        </w:tc>
        <w:tc>
          <w:tcPr>
            <w:tcW w:w="728" w:type="pct"/>
            <w:noWrap w:val="0"/>
            <w:vAlign w:val="top"/>
          </w:tcPr>
          <w:p>
            <w:pPr>
              <w:pStyle w:val="112"/>
              <w:keepNext w:val="0"/>
              <w:keepLines w:val="0"/>
              <w:suppressLineNumbers w:val="0"/>
              <w:adjustRightInd w:val="0"/>
              <w:snapToGrid w:val="0"/>
              <w:spacing w:before="34" w:beforeAutospacing="0" w:after="0" w:afterAutospacing="0"/>
              <w:ind w:left="289" w:right="26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pH</w:t>
            </w:r>
          </w:p>
        </w:tc>
        <w:tc>
          <w:tcPr>
            <w:tcW w:w="1774" w:type="pct"/>
            <w:vMerge w:val="restart"/>
            <w:noWrap w:val="0"/>
            <w:vAlign w:val="top"/>
          </w:tcPr>
          <w:p>
            <w:pPr>
              <w:pStyle w:val="112"/>
              <w:keepNext w:val="0"/>
              <w:keepLines w:val="0"/>
              <w:suppressLineNumbers w:val="0"/>
              <w:adjustRightInd w:val="0"/>
              <w:snapToGrid w:val="0"/>
              <w:spacing w:before="0" w:beforeAutospacing="0" w:after="0" w:afterAutospacing="0"/>
              <w:ind w:left="0" w:right="0"/>
              <w:jc w:val="left"/>
              <w:rPr>
                <w:rFonts w:ascii="Times New Roman" w:hAnsi="Times New Roman" w:cs="Times New Roman"/>
                <w:color w:val="000000" w:themeColor="text1"/>
                <w:sz w:val="29"/>
                <w14:textFill>
                  <w14:solidFill>
                    <w14:schemeClr w14:val="tx1"/>
                  </w14:solidFill>
                </w14:textFill>
              </w:rPr>
            </w:pPr>
          </w:p>
          <w:p>
            <w:pPr>
              <w:pStyle w:val="112"/>
              <w:keepNext w:val="0"/>
              <w:keepLines w:val="0"/>
              <w:suppressLineNumbers w:val="0"/>
              <w:adjustRightInd w:val="0"/>
              <w:snapToGrid w:val="0"/>
              <w:spacing w:before="0" w:beforeAutospacing="0" w:after="0" w:afterAutospacing="0"/>
              <w:ind w:left="131" w:right="96" w:hanging="5"/>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w:t>
            </w:r>
            <w:r>
              <w:rPr>
                <w:rFonts w:hint="eastAsia" w:ascii="Times New Roman" w:hAnsi="Times New Roman" w:cs="Times New Roman"/>
                <w:color w:val="000000" w:themeColor="text1"/>
                <w:sz w:val="21"/>
                <w:lang w:eastAsia="zh-CN"/>
                <w14:textFill>
                  <w14:solidFill>
                    <w14:schemeClr w14:val="tx1"/>
                  </w14:solidFill>
                </w14:textFill>
              </w:rPr>
              <w:t>石油炼制工业污染物排放标准</w:t>
            </w:r>
            <w:r>
              <w:rPr>
                <w:rFonts w:ascii="Times New Roman" w:hAnsi="Times New Roman" w:cs="Times New Roman"/>
                <w:color w:val="000000" w:themeColor="text1"/>
                <w:sz w:val="21"/>
                <w14:textFill>
                  <w14:solidFill>
                    <w14:schemeClr w14:val="tx1"/>
                  </w14:solidFill>
                </w14:textFill>
              </w:rPr>
              <w:t>》（GB3157</w:t>
            </w:r>
            <w:r>
              <w:rPr>
                <w:rFonts w:hint="eastAsia" w:ascii="Times New Roman" w:hAnsi="Times New Roman" w:cs="Times New Roman"/>
                <w:color w:val="000000" w:themeColor="text1"/>
                <w:sz w:val="21"/>
                <w:lang w:val="en-US" w:eastAsia="zh-CN"/>
                <w14:textFill>
                  <w14:solidFill>
                    <w14:schemeClr w14:val="tx1"/>
                  </w14:solidFill>
                </w14:textFill>
              </w:rPr>
              <w:t>0</w:t>
            </w:r>
            <w:r>
              <w:rPr>
                <w:rFonts w:ascii="Times New Roman" w:hAnsi="Times New Roman" w:cs="Times New Roman"/>
                <w:color w:val="000000" w:themeColor="text1"/>
                <w:sz w:val="21"/>
                <w14:textFill>
                  <w14:solidFill>
                    <w14:schemeClr w14:val="tx1"/>
                  </w14:solidFill>
                </w14:textFill>
              </w:rPr>
              <w:t>-2015）间接排放标准及</w:t>
            </w:r>
            <w:r>
              <w:rPr>
                <w:rFonts w:hint="eastAsia" w:ascii="Times New Roman" w:hAnsi="Times New Roman" w:cs="Times New Roman"/>
                <w:color w:val="000000" w:themeColor="text1"/>
                <w:sz w:val="21"/>
                <w14:textFill>
                  <w14:solidFill>
                    <w14:schemeClr w14:val="tx1"/>
                  </w14:solidFill>
                </w14:textFill>
              </w:rPr>
              <w:t>巴陵石化水务部云溪生化装置</w:t>
            </w:r>
            <w:r>
              <w:rPr>
                <w:rFonts w:ascii="Times New Roman" w:hAnsi="Times New Roman" w:cs="Times New Roman"/>
                <w:color w:val="000000" w:themeColor="text1"/>
                <w:sz w:val="21"/>
                <w14:textFill>
                  <w14:solidFill>
                    <w14:schemeClr w14:val="tx1"/>
                  </w14:solidFill>
                </w14:textFill>
              </w:rPr>
              <w:t>接管标准</w:t>
            </w:r>
          </w:p>
        </w:tc>
        <w:tc>
          <w:tcPr>
            <w:tcW w:w="1595" w:type="pct"/>
            <w:noWrap w:val="0"/>
            <w:vAlign w:val="top"/>
          </w:tcPr>
          <w:p>
            <w:pPr>
              <w:pStyle w:val="112"/>
              <w:keepNext w:val="0"/>
              <w:keepLines w:val="0"/>
              <w:suppressLineNumbers w:val="0"/>
              <w:adjustRightInd w:val="0"/>
              <w:snapToGrid w:val="0"/>
              <w:spacing w:before="24" w:beforeAutospacing="0" w:after="0" w:afterAutospacing="0"/>
              <w:ind w:left="504" w:right="464"/>
              <w:rPr>
                <w:rFonts w:ascii="Times New Roman" w:hAnsi="Times New Roman" w:cs="Times New Roman"/>
                <w:color w:val="000000" w:themeColor="text1"/>
                <w:sz w:val="21"/>
                <w14:textFill>
                  <w14:solidFill>
                    <w14:schemeClr w14:val="tx1"/>
                  </w14:solidFill>
                </w14:textFill>
              </w:rPr>
            </w:pPr>
            <w:r>
              <w:rPr>
                <w:rFonts w:ascii="Times New Roman" w:hAnsi="Times New Roman" w:eastAsia="Times New Roman" w:cs="Times New Roman"/>
                <w:color w:val="000000" w:themeColor="text1"/>
                <w:sz w:val="21"/>
                <w14:textFill>
                  <w14:solidFill>
                    <w14:schemeClr w14:val="tx1"/>
                  </w14:solidFill>
                </w14:textFill>
              </w:rPr>
              <w:t>6.5~8.5</w:t>
            </w:r>
            <w:r>
              <w:rPr>
                <w:rFonts w:ascii="Times New Roman" w:hAnsi="Times New Roman" w:cs="Times New Roman"/>
                <w:color w:val="000000" w:themeColor="text1"/>
                <w:sz w:val="21"/>
                <w14:textFill>
                  <w14:solidFill>
                    <w14:schemeClr w14:val="tx1"/>
                  </w14:solidFill>
                </w14:textFill>
              </w:rPr>
              <w:t>（无量纲）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542"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728" w:type="pct"/>
            <w:noWrap w:val="0"/>
            <w:vAlign w:val="top"/>
          </w:tcPr>
          <w:p>
            <w:pPr>
              <w:pStyle w:val="112"/>
              <w:keepNext w:val="0"/>
              <w:keepLines w:val="0"/>
              <w:suppressLineNumbers w:val="0"/>
              <w:adjustRightInd w:val="0"/>
              <w:snapToGrid w:val="0"/>
              <w:spacing w:before="23" w:beforeAutospacing="0" w:after="0" w:afterAutospacing="0"/>
              <w:ind w:left="289" w:right="263"/>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COD</w:t>
            </w:r>
          </w:p>
        </w:tc>
        <w:tc>
          <w:tcPr>
            <w:tcW w:w="1774"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1595" w:type="pct"/>
            <w:noWrap w:val="0"/>
            <w:vAlign w:val="top"/>
          </w:tcPr>
          <w:p>
            <w:pPr>
              <w:pStyle w:val="112"/>
              <w:keepNext w:val="0"/>
              <w:keepLines w:val="0"/>
              <w:suppressLineNumbers w:val="0"/>
              <w:adjustRightInd w:val="0"/>
              <w:snapToGrid w:val="0"/>
              <w:spacing w:before="23" w:beforeAutospacing="0" w:after="0" w:afterAutospacing="0"/>
              <w:ind w:left="498" w:right="464"/>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800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542"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728" w:type="pct"/>
            <w:noWrap w:val="0"/>
            <w:vAlign w:val="top"/>
          </w:tcPr>
          <w:p>
            <w:pPr>
              <w:pStyle w:val="112"/>
              <w:keepNext w:val="0"/>
              <w:keepLines w:val="0"/>
              <w:suppressLineNumbers w:val="0"/>
              <w:adjustRightInd w:val="0"/>
              <w:snapToGrid w:val="0"/>
              <w:spacing w:before="26" w:beforeAutospacing="0" w:after="0" w:afterAutospacing="0"/>
              <w:ind w:left="287" w:right="263"/>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BOD</w:t>
            </w:r>
            <w:r>
              <w:rPr>
                <w:rFonts w:ascii="Times New Roman" w:hAnsi="Times New Roman" w:cs="Times New Roman"/>
                <w:color w:val="000000" w:themeColor="text1"/>
                <w:sz w:val="21"/>
                <w:vertAlign w:val="subscript"/>
                <w14:textFill>
                  <w14:solidFill>
                    <w14:schemeClr w14:val="tx1"/>
                  </w14:solidFill>
                </w14:textFill>
              </w:rPr>
              <w:t>5</w:t>
            </w:r>
          </w:p>
        </w:tc>
        <w:tc>
          <w:tcPr>
            <w:tcW w:w="1774"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1595" w:type="pct"/>
            <w:noWrap w:val="0"/>
            <w:vAlign w:val="top"/>
          </w:tcPr>
          <w:p>
            <w:pPr>
              <w:pStyle w:val="112"/>
              <w:keepNext w:val="0"/>
              <w:keepLines w:val="0"/>
              <w:suppressLineNumbers w:val="0"/>
              <w:adjustRightInd w:val="0"/>
              <w:snapToGrid w:val="0"/>
              <w:spacing w:before="26" w:beforeAutospacing="0" w:after="0" w:afterAutospacing="0"/>
              <w:ind w:left="32"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542"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728" w:type="pct"/>
            <w:noWrap w:val="0"/>
            <w:vAlign w:val="top"/>
          </w:tcPr>
          <w:p>
            <w:pPr>
              <w:pStyle w:val="112"/>
              <w:keepNext w:val="0"/>
              <w:keepLines w:val="0"/>
              <w:suppressLineNumbers w:val="0"/>
              <w:adjustRightInd w:val="0"/>
              <w:snapToGrid w:val="0"/>
              <w:spacing w:before="27" w:beforeAutospacing="0" w:after="0" w:afterAutospacing="0"/>
              <w:ind w:left="285" w:right="263"/>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SS</w:t>
            </w:r>
          </w:p>
        </w:tc>
        <w:tc>
          <w:tcPr>
            <w:tcW w:w="1774"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1595" w:type="pct"/>
            <w:noWrap w:val="0"/>
            <w:vAlign w:val="top"/>
          </w:tcPr>
          <w:p>
            <w:pPr>
              <w:pStyle w:val="112"/>
              <w:keepNext w:val="0"/>
              <w:keepLines w:val="0"/>
              <w:suppressLineNumbers w:val="0"/>
              <w:adjustRightInd w:val="0"/>
              <w:snapToGrid w:val="0"/>
              <w:spacing w:before="27" w:beforeAutospacing="0" w:after="0" w:afterAutospacing="0"/>
              <w:ind w:left="32"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542"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728" w:type="pct"/>
            <w:noWrap w:val="0"/>
            <w:vAlign w:val="top"/>
          </w:tcPr>
          <w:p>
            <w:pPr>
              <w:pStyle w:val="112"/>
              <w:keepNext w:val="0"/>
              <w:keepLines w:val="0"/>
              <w:suppressLineNumbers w:val="0"/>
              <w:adjustRightInd w:val="0"/>
              <w:snapToGrid w:val="0"/>
              <w:spacing w:before="17" w:beforeAutospacing="0" w:after="0" w:afterAutospacing="0"/>
              <w:ind w:left="289" w:right="25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氨氮</w:t>
            </w:r>
          </w:p>
        </w:tc>
        <w:tc>
          <w:tcPr>
            <w:tcW w:w="1774"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1595" w:type="pct"/>
            <w:noWrap w:val="0"/>
            <w:vAlign w:val="top"/>
          </w:tcPr>
          <w:p>
            <w:pPr>
              <w:pStyle w:val="112"/>
              <w:keepNext w:val="0"/>
              <w:keepLines w:val="0"/>
              <w:suppressLineNumbers w:val="0"/>
              <w:adjustRightInd w:val="0"/>
              <w:snapToGrid w:val="0"/>
              <w:spacing w:before="27" w:beforeAutospacing="0" w:after="0" w:afterAutospacing="0"/>
              <w:ind w:left="32"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1"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542"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728" w:type="pct"/>
            <w:noWrap w:val="0"/>
            <w:vAlign w:val="top"/>
          </w:tcPr>
          <w:p>
            <w:pPr>
              <w:pStyle w:val="112"/>
              <w:keepNext w:val="0"/>
              <w:keepLines w:val="0"/>
              <w:suppressLineNumbers w:val="0"/>
              <w:adjustRightInd w:val="0"/>
              <w:snapToGrid w:val="0"/>
              <w:spacing w:before="13" w:beforeAutospacing="0" w:after="0" w:afterAutospacing="0"/>
              <w:ind w:left="289" w:right="263"/>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石油类</w:t>
            </w:r>
          </w:p>
        </w:tc>
        <w:tc>
          <w:tcPr>
            <w:tcW w:w="1774" w:type="pct"/>
            <w:vMerge w:val="continue"/>
            <w:noWrap w:val="0"/>
            <w:vAlign w:val="top"/>
          </w:tcPr>
          <w:p>
            <w:pPr>
              <w:keepNext w:val="0"/>
              <w:keepLines w:val="0"/>
              <w:suppressLineNumbers w:val="0"/>
              <w:adjustRightInd w:val="0"/>
              <w:snapToGrid w:val="0"/>
              <w:spacing w:before="0" w:beforeAutospacing="0" w:after="0" w:afterAutospacing="0"/>
              <w:ind w:left="0" w:right="0"/>
              <w:rPr>
                <w:rFonts w:eastAsia="宋体" w:cs="Times New Roman"/>
                <w:color w:val="000000" w:themeColor="text1"/>
                <w:sz w:val="2"/>
                <w:szCs w:val="2"/>
                <w14:textFill>
                  <w14:solidFill>
                    <w14:schemeClr w14:val="tx1"/>
                  </w14:solidFill>
                </w14:textFill>
              </w:rPr>
            </w:pPr>
          </w:p>
        </w:tc>
        <w:tc>
          <w:tcPr>
            <w:tcW w:w="1595" w:type="pct"/>
            <w:noWrap w:val="0"/>
            <w:vAlign w:val="top"/>
          </w:tcPr>
          <w:p>
            <w:pPr>
              <w:pStyle w:val="112"/>
              <w:keepNext w:val="0"/>
              <w:keepLines w:val="0"/>
              <w:suppressLineNumbers w:val="0"/>
              <w:adjustRightInd w:val="0"/>
              <w:snapToGrid w:val="0"/>
              <w:spacing w:before="23" w:beforeAutospacing="0" w:after="0" w:afterAutospacing="0"/>
              <w:ind w:left="500" w:right="464"/>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15</w:t>
            </w:r>
          </w:p>
        </w:tc>
      </w:tr>
    </w:tbl>
    <w:p>
      <w:pPr>
        <w:keepNext/>
        <w:ind w:firstLine="482" w:firstLineChars="200"/>
        <w:jc w:val="center"/>
        <w:rPr>
          <w:color w:val="000000" w:themeColor="text1"/>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7</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20</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t xml:space="preserve">  废水污染物排放信息表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08"/>
        <w:gridCol w:w="1418"/>
        <w:gridCol w:w="1339"/>
        <w:gridCol w:w="1649"/>
        <w:gridCol w:w="38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8" w:type="pct"/>
            <w:noWrap w:val="0"/>
            <w:vAlign w:val="center"/>
          </w:tcPr>
          <w:p>
            <w:pPr>
              <w:pStyle w:val="112"/>
              <w:keepNext w:val="0"/>
              <w:keepLines w:val="0"/>
              <w:suppressLineNumbers w:val="0"/>
              <w:adjustRightInd w:val="0"/>
              <w:snapToGrid w:val="0"/>
              <w:spacing w:before="177"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序号</w:t>
            </w:r>
          </w:p>
        </w:tc>
        <w:tc>
          <w:tcPr>
            <w:tcW w:w="785" w:type="pct"/>
            <w:noWrap w:val="0"/>
            <w:vAlign w:val="center"/>
          </w:tcPr>
          <w:p>
            <w:pPr>
              <w:pStyle w:val="112"/>
              <w:keepNext w:val="0"/>
              <w:keepLines w:val="0"/>
              <w:suppressLineNumbers w:val="0"/>
              <w:adjustRightInd w:val="0"/>
              <w:snapToGrid w:val="0"/>
              <w:spacing w:before="21"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排放口编号</w:t>
            </w:r>
          </w:p>
        </w:tc>
        <w:tc>
          <w:tcPr>
            <w:tcW w:w="742" w:type="pct"/>
            <w:noWrap w:val="0"/>
            <w:vAlign w:val="center"/>
          </w:tcPr>
          <w:p>
            <w:pPr>
              <w:pStyle w:val="112"/>
              <w:keepNext w:val="0"/>
              <w:keepLines w:val="0"/>
              <w:suppressLineNumbers w:val="0"/>
              <w:adjustRightInd w:val="0"/>
              <w:snapToGrid w:val="0"/>
              <w:spacing w:before="21" w:beforeAutospacing="0" w:after="0" w:afterAutospacing="0"/>
              <w:ind w:left="0"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污染物种类</w:t>
            </w:r>
          </w:p>
        </w:tc>
        <w:tc>
          <w:tcPr>
            <w:tcW w:w="913" w:type="pct"/>
            <w:noWrap w:val="0"/>
            <w:vAlign w:val="center"/>
          </w:tcPr>
          <w:p>
            <w:pPr>
              <w:pStyle w:val="112"/>
              <w:keepNext w:val="0"/>
              <w:keepLines w:val="0"/>
              <w:suppressLineNumbers w:val="0"/>
              <w:adjustRightInd w:val="0"/>
              <w:snapToGrid w:val="0"/>
              <w:spacing w:before="21" w:beforeAutospacing="0" w:after="0" w:afterAutospacing="0"/>
              <w:ind w:left="0" w:right="18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 xml:space="preserve"> 排放浓度/（mg/L）</w:t>
            </w:r>
          </w:p>
        </w:tc>
        <w:tc>
          <w:tcPr>
            <w:tcW w:w="2110" w:type="pct"/>
            <w:noWrap w:val="0"/>
            <w:vAlign w:val="center"/>
          </w:tcPr>
          <w:p>
            <w:pPr>
              <w:pStyle w:val="112"/>
              <w:keepNext w:val="0"/>
              <w:keepLines w:val="0"/>
              <w:suppressLineNumbers w:val="0"/>
              <w:adjustRightInd w:val="0"/>
              <w:snapToGrid w:val="0"/>
              <w:spacing w:before="21" w:beforeAutospacing="0" w:after="0" w:afterAutospacing="0"/>
              <w:ind w:left="0" w:right="18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全厂年排放量</w:t>
            </w:r>
            <w:r>
              <w:rPr>
                <w:rFonts w:ascii="Times New Roman" w:hAnsi="Times New Roman" w:eastAsia="Times New Roman" w:cs="Times New Roman"/>
                <w:color w:val="000000" w:themeColor="text1"/>
                <w:sz w:val="21"/>
                <w14:textFill>
                  <w14:solidFill>
                    <w14:schemeClr w14:val="tx1"/>
                  </w14:solidFill>
                </w14:textFill>
              </w:rPr>
              <w:t>/</w:t>
            </w:r>
            <w:r>
              <w:rPr>
                <w:rFonts w:ascii="Times New Roman" w:hAnsi="Times New Roman" w:cs="Times New Roman"/>
                <w:color w:val="000000" w:themeColor="text1"/>
                <w:sz w:val="21"/>
                <w14:textFill>
                  <w14:solidFill>
                    <w14:schemeClr w14:val="tx1"/>
                  </w14:solidFill>
                </w14:textFill>
              </w:rPr>
              <w:t>（</w:t>
            </w:r>
            <w:r>
              <w:rPr>
                <w:rFonts w:ascii="Times New Roman" w:hAnsi="Times New Roman" w:eastAsia="Times New Roman" w:cs="Times New Roman"/>
                <w:color w:val="000000" w:themeColor="text1"/>
                <w:sz w:val="21"/>
                <w14:textFill>
                  <w14:solidFill>
                    <w14:schemeClr w14:val="tx1"/>
                  </w14:solidFill>
                </w14:textFill>
              </w:rPr>
              <w:t>t/a</w:t>
            </w:r>
            <w:r>
              <w:rPr>
                <w:rFonts w:ascii="Times New Roman" w:hAnsi="Times New Roman" w:cs="Times New Roman"/>
                <w:color w:val="000000" w:themeColor="text1"/>
                <w:sz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8" w:type="pct"/>
            <w:vMerge w:val="restart"/>
            <w:noWrap w:val="0"/>
            <w:vAlign w:val="center"/>
          </w:tcPr>
          <w:p>
            <w:pPr>
              <w:pStyle w:val="112"/>
              <w:keepNext w:val="0"/>
              <w:keepLines w:val="0"/>
              <w:suppressLineNumbers w:val="0"/>
              <w:adjustRightInd w:val="0"/>
              <w:snapToGrid w:val="0"/>
              <w:spacing w:before="0" w:beforeAutospacing="0" w:after="0" w:afterAutospacing="0"/>
              <w:ind w:left="26"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w:t>
            </w:r>
          </w:p>
        </w:tc>
        <w:tc>
          <w:tcPr>
            <w:tcW w:w="785" w:type="pct"/>
            <w:vMerge w:val="restart"/>
            <w:noWrap w:val="0"/>
            <w:vAlign w:val="center"/>
          </w:tcPr>
          <w:p>
            <w:pPr>
              <w:pStyle w:val="112"/>
              <w:keepNext w:val="0"/>
              <w:keepLines w:val="0"/>
              <w:suppressLineNumbers w:val="0"/>
              <w:adjustRightInd w:val="0"/>
              <w:snapToGrid w:val="0"/>
              <w:spacing w:before="0" w:beforeAutospacing="0" w:after="0" w:afterAutospacing="0"/>
              <w:ind w:left="389" w:right="354"/>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DW001</w:t>
            </w:r>
          </w:p>
        </w:tc>
        <w:tc>
          <w:tcPr>
            <w:tcW w:w="742" w:type="pct"/>
            <w:noWrap w:val="0"/>
            <w:vAlign w:val="center"/>
          </w:tcPr>
          <w:p>
            <w:pPr>
              <w:pStyle w:val="112"/>
              <w:keepNext w:val="0"/>
              <w:keepLines w:val="0"/>
              <w:suppressLineNumbers w:val="0"/>
              <w:adjustRightInd w:val="0"/>
              <w:snapToGrid w:val="0"/>
              <w:spacing w:before="34" w:beforeAutospacing="0" w:after="0" w:afterAutospacing="0"/>
              <w:ind w:left="446" w:right="0"/>
              <w:jc w:val="both"/>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COD</w:t>
            </w:r>
          </w:p>
        </w:tc>
        <w:tc>
          <w:tcPr>
            <w:tcW w:w="913" w:type="pct"/>
            <w:noWrap w:val="0"/>
            <w:vAlign w:val="center"/>
          </w:tcPr>
          <w:p>
            <w:pPr>
              <w:pStyle w:val="112"/>
              <w:keepNext w:val="0"/>
              <w:keepLines w:val="0"/>
              <w:suppressLineNumbers w:val="0"/>
              <w:adjustRightInd w:val="0"/>
              <w:snapToGrid w:val="0"/>
              <w:spacing w:before="30" w:beforeAutospacing="0" w:after="0" w:afterAutospacing="0"/>
              <w:ind w:left="106" w:right="6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50</w:t>
            </w:r>
          </w:p>
        </w:tc>
        <w:tc>
          <w:tcPr>
            <w:tcW w:w="2110" w:type="pct"/>
            <w:noWrap w:val="0"/>
            <w:vAlign w:val="center"/>
          </w:tcPr>
          <w:p>
            <w:pPr>
              <w:pStyle w:val="112"/>
              <w:keepNext w:val="0"/>
              <w:keepLines w:val="0"/>
              <w:suppressLineNumbers w:val="0"/>
              <w:adjustRightInd w:val="0"/>
              <w:snapToGrid w:val="0"/>
              <w:spacing w:before="34" w:beforeAutospacing="0" w:after="0" w:afterAutospacing="0"/>
              <w:ind w:left="40" w:right="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0.16</w:t>
            </w:r>
            <w:r>
              <w:rPr>
                <w:rFonts w:ascii="Times New Roman" w:hAnsi="Times New Roman" w:eastAsia="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42" w:type="pct"/>
            <w:noWrap w:val="0"/>
            <w:vAlign w:val="center"/>
          </w:tcPr>
          <w:p>
            <w:pPr>
              <w:pStyle w:val="112"/>
              <w:keepNext w:val="0"/>
              <w:keepLines w:val="0"/>
              <w:suppressLineNumbers w:val="0"/>
              <w:adjustRightInd w:val="0"/>
              <w:snapToGrid w:val="0"/>
              <w:spacing w:before="34" w:beforeAutospacing="0" w:after="0" w:afterAutospacing="0"/>
              <w:ind w:left="414" w:right="0"/>
              <w:jc w:val="both"/>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BOD</w:t>
            </w:r>
            <w:r>
              <w:rPr>
                <w:rFonts w:ascii="Times New Roman" w:hAnsi="Times New Roman" w:cs="Times New Roman"/>
                <w:color w:val="000000" w:themeColor="text1"/>
                <w:sz w:val="21"/>
                <w:vertAlign w:val="subscript"/>
                <w14:textFill>
                  <w14:solidFill>
                    <w14:schemeClr w14:val="tx1"/>
                  </w14:solidFill>
                </w14:textFill>
              </w:rPr>
              <w:t>5</w:t>
            </w:r>
          </w:p>
        </w:tc>
        <w:tc>
          <w:tcPr>
            <w:tcW w:w="913" w:type="pct"/>
            <w:noWrap w:val="0"/>
            <w:vAlign w:val="center"/>
          </w:tcPr>
          <w:p>
            <w:pPr>
              <w:pStyle w:val="112"/>
              <w:keepNext w:val="0"/>
              <w:keepLines w:val="0"/>
              <w:suppressLineNumbers w:val="0"/>
              <w:adjustRightInd w:val="0"/>
              <w:snapToGrid w:val="0"/>
              <w:spacing w:before="30" w:beforeAutospacing="0" w:after="0" w:afterAutospacing="0"/>
              <w:ind w:left="106" w:right="6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20</w:t>
            </w:r>
          </w:p>
        </w:tc>
        <w:tc>
          <w:tcPr>
            <w:tcW w:w="2110" w:type="pct"/>
            <w:noWrap w:val="0"/>
            <w:vAlign w:val="center"/>
          </w:tcPr>
          <w:p>
            <w:pPr>
              <w:pStyle w:val="112"/>
              <w:keepNext w:val="0"/>
              <w:keepLines w:val="0"/>
              <w:suppressLineNumbers w:val="0"/>
              <w:adjustRightInd w:val="0"/>
              <w:snapToGrid w:val="0"/>
              <w:spacing w:before="34" w:beforeAutospacing="0" w:after="0" w:afterAutospacing="0"/>
              <w:ind w:left="40" w:right="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0.032</w:t>
            </w:r>
            <w:r>
              <w:rPr>
                <w:rFonts w:ascii="Times New Roman" w:hAnsi="Times New Roman" w:eastAsia="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42" w:type="pct"/>
            <w:noWrap w:val="0"/>
            <w:vAlign w:val="center"/>
          </w:tcPr>
          <w:p>
            <w:pPr>
              <w:pStyle w:val="112"/>
              <w:keepNext w:val="0"/>
              <w:keepLines w:val="0"/>
              <w:suppressLineNumbers w:val="0"/>
              <w:adjustRightInd w:val="0"/>
              <w:snapToGrid w:val="0"/>
              <w:spacing w:before="34" w:beforeAutospacing="0" w:after="0" w:afterAutospacing="0"/>
              <w:ind w:left="413" w:right="382" w:firstLine="105" w:firstLineChars="50"/>
              <w:jc w:val="both"/>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SS</w:t>
            </w:r>
          </w:p>
        </w:tc>
        <w:tc>
          <w:tcPr>
            <w:tcW w:w="913" w:type="pct"/>
            <w:noWrap w:val="0"/>
            <w:vAlign w:val="center"/>
          </w:tcPr>
          <w:p>
            <w:pPr>
              <w:pStyle w:val="112"/>
              <w:keepNext w:val="0"/>
              <w:keepLines w:val="0"/>
              <w:suppressLineNumbers w:val="0"/>
              <w:adjustRightInd w:val="0"/>
              <w:snapToGrid w:val="0"/>
              <w:spacing w:before="30" w:beforeAutospacing="0" w:after="0" w:afterAutospacing="0"/>
              <w:ind w:left="106" w:right="6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70</w:t>
            </w:r>
          </w:p>
        </w:tc>
        <w:tc>
          <w:tcPr>
            <w:tcW w:w="2110" w:type="pct"/>
            <w:noWrap w:val="0"/>
            <w:vAlign w:val="center"/>
          </w:tcPr>
          <w:p>
            <w:pPr>
              <w:pStyle w:val="112"/>
              <w:keepNext w:val="0"/>
              <w:keepLines w:val="0"/>
              <w:suppressLineNumbers w:val="0"/>
              <w:adjustRightInd w:val="0"/>
              <w:snapToGrid w:val="0"/>
              <w:spacing w:before="34" w:beforeAutospacing="0" w:after="0" w:afterAutospacing="0"/>
              <w:ind w:left="40" w:right="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0.22</w:t>
            </w:r>
            <w:r>
              <w:rPr>
                <w:rFonts w:ascii="Times New Roman" w:hAnsi="Times New Roman" w:eastAsia="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42" w:type="pct"/>
            <w:noWrap w:val="0"/>
            <w:vAlign w:val="center"/>
          </w:tcPr>
          <w:p>
            <w:pPr>
              <w:pStyle w:val="112"/>
              <w:keepNext w:val="0"/>
              <w:keepLines w:val="0"/>
              <w:suppressLineNumbers w:val="0"/>
              <w:adjustRightInd w:val="0"/>
              <w:snapToGrid w:val="0"/>
              <w:spacing w:before="20" w:beforeAutospacing="0" w:after="0" w:afterAutospacing="0"/>
              <w:ind w:left="458" w:right="0"/>
              <w:jc w:val="both"/>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氨氮</w:t>
            </w:r>
          </w:p>
        </w:tc>
        <w:tc>
          <w:tcPr>
            <w:tcW w:w="913" w:type="pct"/>
            <w:noWrap w:val="0"/>
            <w:vAlign w:val="center"/>
          </w:tcPr>
          <w:p>
            <w:pPr>
              <w:pStyle w:val="112"/>
              <w:keepNext w:val="0"/>
              <w:keepLines w:val="0"/>
              <w:suppressLineNumbers w:val="0"/>
              <w:adjustRightInd w:val="0"/>
              <w:snapToGrid w:val="0"/>
              <w:spacing w:before="26" w:beforeAutospacing="0" w:after="0" w:afterAutospacing="0"/>
              <w:ind w:left="39"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w:t>
            </w:r>
          </w:p>
        </w:tc>
        <w:tc>
          <w:tcPr>
            <w:tcW w:w="2110" w:type="pct"/>
            <w:noWrap w:val="0"/>
            <w:vAlign w:val="center"/>
          </w:tcPr>
          <w:p>
            <w:pPr>
              <w:pStyle w:val="112"/>
              <w:keepNext w:val="0"/>
              <w:keepLines w:val="0"/>
              <w:suppressLineNumbers w:val="0"/>
              <w:adjustRightInd w:val="0"/>
              <w:snapToGrid w:val="0"/>
              <w:spacing w:before="34" w:beforeAutospacing="0" w:after="0" w:afterAutospacing="0"/>
              <w:ind w:left="40" w:right="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0.016</w:t>
            </w:r>
            <w:r>
              <w:rPr>
                <w:rFonts w:ascii="Times New Roman" w:hAnsi="Times New Roman" w:eastAsia="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8"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8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742" w:type="pct"/>
            <w:noWrap w:val="0"/>
            <w:vAlign w:val="center"/>
          </w:tcPr>
          <w:p>
            <w:pPr>
              <w:pStyle w:val="112"/>
              <w:keepNext w:val="0"/>
              <w:keepLines w:val="0"/>
              <w:suppressLineNumbers w:val="0"/>
              <w:adjustRightInd w:val="0"/>
              <w:snapToGrid w:val="0"/>
              <w:spacing w:before="24" w:beforeAutospacing="0" w:after="0" w:afterAutospacing="0"/>
              <w:ind w:left="353" w:right="0"/>
              <w:jc w:val="both"/>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石油类</w:t>
            </w:r>
          </w:p>
        </w:tc>
        <w:tc>
          <w:tcPr>
            <w:tcW w:w="913" w:type="pct"/>
            <w:noWrap w:val="0"/>
            <w:vAlign w:val="center"/>
          </w:tcPr>
          <w:p>
            <w:pPr>
              <w:pStyle w:val="112"/>
              <w:keepNext w:val="0"/>
              <w:keepLines w:val="0"/>
              <w:suppressLineNumbers w:val="0"/>
              <w:adjustRightInd w:val="0"/>
              <w:snapToGrid w:val="0"/>
              <w:spacing w:before="30" w:beforeAutospacing="0" w:after="0" w:afterAutospacing="0"/>
              <w:ind w:left="39" w:right="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w:t>
            </w:r>
          </w:p>
        </w:tc>
        <w:tc>
          <w:tcPr>
            <w:tcW w:w="2110" w:type="pct"/>
            <w:noWrap w:val="0"/>
            <w:vAlign w:val="center"/>
          </w:tcPr>
          <w:p>
            <w:pPr>
              <w:pStyle w:val="112"/>
              <w:keepNext w:val="0"/>
              <w:keepLines w:val="0"/>
              <w:suppressLineNumbers w:val="0"/>
              <w:adjustRightInd w:val="0"/>
              <w:snapToGrid w:val="0"/>
              <w:spacing w:before="34" w:beforeAutospacing="0" w:after="0" w:afterAutospacing="0"/>
              <w:ind w:left="40" w:right="0"/>
              <w:rPr>
                <w:rFonts w:ascii="Times New Roman" w:hAnsi="Times New Roman" w:cs="Times New Roman"/>
                <w:color w:val="000000" w:themeColor="text1"/>
                <w:sz w:val="21"/>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0.016</w:t>
            </w:r>
            <w:r>
              <w:rPr>
                <w:rFonts w:ascii="Times New Roman" w:hAnsi="Times New Roman" w:eastAsia="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33" w:type="pct"/>
            <w:gridSpan w:val="2"/>
            <w:vMerge w:val="restart"/>
            <w:noWrap w:val="0"/>
            <w:vAlign w:val="center"/>
          </w:tcPr>
          <w:p>
            <w:pPr>
              <w:pStyle w:val="112"/>
              <w:keepNext w:val="0"/>
              <w:keepLines w:val="0"/>
              <w:suppressLineNumbers w:val="0"/>
              <w:adjustRightInd w:val="0"/>
              <w:snapToGrid w:val="0"/>
              <w:spacing w:before="0" w:beforeAutospacing="0" w:after="0" w:afterAutospacing="0"/>
              <w:ind w:left="0" w:right="0"/>
              <w:rPr>
                <w:rFonts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adjustRightInd w:val="0"/>
              <w:snapToGrid w:val="0"/>
              <w:spacing w:before="7" w:beforeAutospacing="0" w:after="0" w:afterAutospacing="0"/>
              <w:ind w:left="0" w:right="0"/>
              <w:rPr>
                <w:rFonts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adjustRightInd w:val="0"/>
              <w:snapToGrid w:val="0"/>
              <w:spacing w:before="0" w:beforeAutospacing="0" w:after="0" w:afterAutospacing="0"/>
              <w:ind w:left="436" w:right="40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全厂排放口合计</w:t>
            </w:r>
          </w:p>
        </w:tc>
        <w:tc>
          <w:tcPr>
            <w:tcW w:w="3766" w:type="pct"/>
            <w:gridSpan w:val="3"/>
            <w:noWrap w:val="0"/>
            <w:vAlign w:val="center"/>
          </w:tcPr>
          <w:p>
            <w:pPr>
              <w:pStyle w:val="112"/>
              <w:keepNext w:val="0"/>
              <w:keepLines w:val="0"/>
              <w:suppressLineNumbers w:val="0"/>
              <w:adjustRightInd w:val="0"/>
              <w:snapToGrid w:val="0"/>
              <w:spacing w:before="30" w:beforeAutospacing="0" w:after="0" w:afterAutospacing="0"/>
              <w:ind w:left="106" w:right="6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 xml:space="preserve">COD： </w:t>
            </w:r>
            <w:r>
              <w:rPr>
                <w:rFonts w:hint="eastAsia" w:ascii="Times New Roman" w:hAnsi="Times New Roman" w:cs="Times New Roman"/>
                <w:color w:val="000000" w:themeColor="text1"/>
                <w:sz w:val="21"/>
                <w:lang w:val="en-US" w:eastAsia="zh-CN"/>
                <w14:textFill>
                  <w14:solidFill>
                    <w14:schemeClr w14:val="tx1"/>
                  </w14:solidFill>
                </w14:textFill>
              </w:rPr>
              <w:t>0.16</w:t>
            </w:r>
            <w:r>
              <w:rPr>
                <w:rFonts w:ascii="Times New Roman" w:hAnsi="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33" w:type="pct"/>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66" w:type="pct"/>
            <w:gridSpan w:val="3"/>
            <w:noWrap w:val="0"/>
            <w:vAlign w:val="center"/>
          </w:tcPr>
          <w:p>
            <w:pPr>
              <w:pStyle w:val="112"/>
              <w:keepNext w:val="0"/>
              <w:keepLines w:val="0"/>
              <w:suppressLineNumbers w:val="0"/>
              <w:adjustRightInd w:val="0"/>
              <w:snapToGrid w:val="0"/>
              <w:spacing w:before="30" w:beforeAutospacing="0" w:after="0" w:afterAutospacing="0"/>
              <w:ind w:left="106" w:right="6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BOD</w:t>
            </w:r>
            <w:r>
              <w:rPr>
                <w:rFonts w:ascii="Times New Roman" w:hAnsi="Times New Roman" w:cs="Times New Roman"/>
                <w:color w:val="000000" w:themeColor="text1"/>
                <w:sz w:val="21"/>
                <w:vertAlign w:val="subscript"/>
                <w14:textFill>
                  <w14:solidFill>
                    <w14:schemeClr w14:val="tx1"/>
                  </w14:solidFill>
                </w14:textFill>
              </w:rPr>
              <w:t>5</w:t>
            </w:r>
            <w:r>
              <w:rPr>
                <w:rFonts w:ascii="Times New Roman" w:hAnsi="Times New Roman" w:cs="Times New Roman"/>
                <w:color w:val="000000" w:themeColor="text1"/>
                <w:sz w:val="21"/>
                <w14:textFill>
                  <w14:solidFill>
                    <w14:schemeClr w14:val="tx1"/>
                  </w14:solidFill>
                </w14:textFill>
              </w:rPr>
              <w:t>：</w:t>
            </w:r>
            <w:r>
              <w:rPr>
                <w:rFonts w:hint="eastAsia" w:ascii="Times New Roman" w:hAnsi="Times New Roman" w:cs="Times New Roman"/>
                <w:color w:val="000000" w:themeColor="text1"/>
                <w:sz w:val="21"/>
                <w:lang w:val="en-US" w:eastAsia="zh-CN"/>
                <w14:textFill>
                  <w14:solidFill>
                    <w14:schemeClr w14:val="tx1"/>
                  </w14:solidFill>
                </w14:textFill>
              </w:rPr>
              <w:t>0.032</w:t>
            </w:r>
            <w:r>
              <w:rPr>
                <w:rFonts w:ascii="Times New Roman" w:hAnsi="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33" w:type="pct"/>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66" w:type="pct"/>
            <w:gridSpan w:val="3"/>
            <w:noWrap w:val="0"/>
            <w:vAlign w:val="center"/>
          </w:tcPr>
          <w:p>
            <w:pPr>
              <w:pStyle w:val="112"/>
              <w:keepNext w:val="0"/>
              <w:keepLines w:val="0"/>
              <w:suppressLineNumbers w:val="0"/>
              <w:adjustRightInd w:val="0"/>
              <w:snapToGrid w:val="0"/>
              <w:spacing w:before="23" w:beforeAutospacing="0" w:after="0" w:afterAutospacing="0"/>
              <w:ind w:left="0" w:right="292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 xml:space="preserve">                           SS：</w:t>
            </w:r>
            <w:r>
              <w:rPr>
                <w:rFonts w:hint="eastAsia" w:ascii="Times New Roman" w:hAnsi="Times New Roman" w:cs="Times New Roman"/>
                <w:color w:val="000000" w:themeColor="text1"/>
                <w:sz w:val="21"/>
                <w:lang w:val="en-US" w:eastAsia="zh-CN"/>
                <w14:textFill>
                  <w14:solidFill>
                    <w14:schemeClr w14:val="tx1"/>
                  </w14:solidFill>
                </w14:textFill>
              </w:rPr>
              <w:t>0.22</w:t>
            </w:r>
            <w:r>
              <w:rPr>
                <w:rFonts w:ascii="Times New Roman" w:hAnsi="Times New Roman" w:eastAsia="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33" w:type="pct"/>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66" w:type="pct"/>
            <w:gridSpan w:val="3"/>
            <w:noWrap w:val="0"/>
            <w:vAlign w:val="center"/>
          </w:tcPr>
          <w:p>
            <w:pPr>
              <w:pStyle w:val="112"/>
              <w:keepNext w:val="0"/>
              <w:keepLines w:val="0"/>
              <w:suppressLineNumbers w:val="0"/>
              <w:adjustRightInd w:val="0"/>
              <w:snapToGrid w:val="0"/>
              <w:spacing w:before="30" w:beforeAutospacing="0" w:after="0" w:afterAutospacing="0"/>
              <w:ind w:left="106" w:right="6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氨氮：</w:t>
            </w:r>
            <w:r>
              <w:rPr>
                <w:rFonts w:hint="eastAsia" w:ascii="Times New Roman" w:hAnsi="Times New Roman" w:cs="Times New Roman"/>
                <w:color w:val="000000" w:themeColor="text1"/>
                <w:sz w:val="21"/>
                <w:lang w:val="en-US" w:eastAsia="zh-CN"/>
                <w14:textFill>
                  <w14:solidFill>
                    <w14:schemeClr w14:val="tx1"/>
                  </w14:solidFill>
                </w14:textFill>
              </w:rPr>
              <w:t>0.016</w:t>
            </w:r>
            <w:r>
              <w:rPr>
                <w:rFonts w:ascii="Times New Roman" w:hAnsi="Times New Roman" w:cs="Times New Roman"/>
                <w:color w:val="000000" w:themeColor="text1"/>
                <w:sz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33" w:type="pct"/>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
                <w:szCs w:val="2"/>
                <w14:textFill>
                  <w14:solidFill>
                    <w14:schemeClr w14:val="tx1"/>
                  </w14:solidFill>
                </w14:textFill>
              </w:rPr>
            </w:pPr>
          </w:p>
        </w:tc>
        <w:tc>
          <w:tcPr>
            <w:tcW w:w="3766" w:type="pct"/>
            <w:gridSpan w:val="3"/>
            <w:noWrap w:val="0"/>
            <w:vAlign w:val="center"/>
          </w:tcPr>
          <w:p>
            <w:pPr>
              <w:pStyle w:val="112"/>
              <w:keepNext w:val="0"/>
              <w:keepLines w:val="0"/>
              <w:suppressLineNumbers w:val="0"/>
              <w:adjustRightInd w:val="0"/>
              <w:snapToGrid w:val="0"/>
              <w:spacing w:before="30" w:beforeAutospacing="0" w:after="0" w:afterAutospacing="0"/>
              <w:ind w:left="106" w:right="69"/>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石油类：</w:t>
            </w:r>
            <w:r>
              <w:rPr>
                <w:rFonts w:hint="eastAsia" w:ascii="Times New Roman" w:hAnsi="Times New Roman" w:cs="Times New Roman"/>
                <w:color w:val="000000" w:themeColor="text1"/>
                <w:sz w:val="21"/>
                <w:lang w:val="en-US" w:eastAsia="zh-CN"/>
                <w14:textFill>
                  <w14:solidFill>
                    <w14:schemeClr w14:val="tx1"/>
                  </w14:solidFill>
                </w14:textFill>
              </w:rPr>
              <w:t>0.016</w:t>
            </w:r>
            <w:r>
              <w:rPr>
                <w:rFonts w:ascii="Times New Roman" w:hAnsi="Times New Roman" w:cs="Times New Roman"/>
                <w:color w:val="000000" w:themeColor="text1"/>
                <w:sz w:val="21"/>
                <w14:textFill>
                  <w14:solidFill>
                    <w14:schemeClr w14:val="tx1"/>
                  </w14:solidFill>
                </w14:textFill>
              </w:rPr>
              <w:t>t/a</w:t>
            </w: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地表水环境影响分析结论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项目废水经预处理后外排区域排污管道进入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深度处理达标排放至长江。经采取上述措施后，项目废水排放对地表水环境影响可以接受。</w:t>
      </w:r>
    </w:p>
    <w:p>
      <w:pPr>
        <w:pStyle w:val="5"/>
        <w:rPr>
          <w:color w:val="000000" w:themeColor="text1"/>
          <w14:textFill>
            <w14:solidFill>
              <w14:schemeClr w14:val="tx1"/>
            </w14:solidFill>
          </w14:textFill>
        </w:rPr>
      </w:pPr>
      <w:r>
        <w:rPr>
          <w:color w:val="000000" w:themeColor="text1"/>
          <w14:textFill>
            <w14:solidFill>
              <w14:schemeClr w14:val="tx1"/>
            </w14:solidFill>
          </w14:textFill>
        </w:rPr>
        <w:t>地下水环境影响分析</w:t>
      </w:r>
    </w:p>
    <w:p>
      <w:pPr>
        <w:pStyle w:val="6"/>
        <w:rPr>
          <w:color w:val="000000" w:themeColor="text1"/>
          <w14:textFill>
            <w14:solidFill>
              <w14:schemeClr w14:val="tx1"/>
            </w14:solidFill>
          </w14:textFill>
        </w:rPr>
      </w:pPr>
      <w:r>
        <w:rPr>
          <w:color w:val="000000" w:themeColor="text1"/>
          <w14:textFill>
            <w14:solidFill>
              <w14:schemeClr w14:val="tx1"/>
            </w14:solidFill>
          </w14:textFill>
        </w:rPr>
        <w:t>地下水水文地质</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（1）区域地质构造、地貌特征及地层构成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所在区域属于幕阜山余脉向汉江平原过渡地带，境内群峰起伏，矮丘遍布，河港纵横，湖泊众多，整个地势由东南至西北呈阶梯状向长江倾斜。地表组成物质65%为变质岩，其余为砂质岩，土壤组成以第四纪红色粘土和第四纪全新河、湖沉积物为主。</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巴陵石化分公司多年建厂及扩建改造的实际勘察，查明在钻探所见深度范围内，场地地层自上而下分布为：①填土，②-1粉质粘土（软可塑），③-2粉质粘土（硬可塑），④-1强风化板岩，⑤-2中风化板岩。现分述如下：</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①填土（Q4</w:t>
      </w:r>
      <w:r>
        <w:rPr>
          <w:color w:val="000000" w:themeColor="text1"/>
          <w:vertAlign w:val="superscript"/>
          <w14:textFill>
            <w14:solidFill>
              <w14:schemeClr w14:val="tx1"/>
            </w14:solidFill>
          </w14:textFill>
        </w:rPr>
        <w:t>m1</w:t>
      </w:r>
      <w:r>
        <w:rPr>
          <w:color w:val="000000" w:themeColor="text1"/>
          <w14:textFill>
            <w14:solidFill>
              <w14:schemeClr w14:val="tx1"/>
            </w14:solidFill>
          </w14:textFill>
        </w:rPr>
        <w:t>）：灰黄色、褐色等，松散；稍湿；中风化板岩碎块为主要成分，碎块粒径自2～30cm 不等，粘性土填充，未经压实。该层主要分布于中部狭长的山沟部分位置，该层分布不均匀，勘探时场地层厚0.80～6.00m，平均厚度3.39m，层底标高70.79～89.36m。</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②-1粉质粘土（Q</w:t>
      </w:r>
      <w:r>
        <w:rPr>
          <w:color w:val="000000" w:themeColor="text1"/>
          <w:vertAlign w:val="subscript"/>
          <w14:textFill>
            <w14:solidFill>
              <w14:schemeClr w14:val="tx1"/>
            </w14:solidFill>
          </w14:textFill>
        </w:rPr>
        <w:t>4</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灰褐色；软可塑；粉质粘土为主要成分，粘性较强，干强度较高，无摇振反应，切面光滑，淤积成因。该层主要分布于中部狭长的山沟部分地段，该层分布不均匀，勘探时场地层厚1.60～3.70m，平均厚度2.83m，层底标高69.42～77.72m。</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②-2粉质粘土（Q</w:t>
      </w:r>
      <w:r>
        <w:rPr>
          <w:color w:val="000000" w:themeColor="text1"/>
          <w:vertAlign w:val="subscript"/>
          <w14:textFill>
            <w14:solidFill>
              <w14:schemeClr w14:val="tx1"/>
            </w14:solidFill>
          </w14:textFill>
        </w:rPr>
        <w:t>1</w:t>
      </w:r>
      <w:r>
        <w:rPr>
          <w:color w:val="000000" w:themeColor="text1"/>
          <w:vertAlign w:val="superscript"/>
          <w14:textFill>
            <w14:solidFill>
              <w14:schemeClr w14:val="tx1"/>
            </w14:solidFill>
          </w14:textFill>
        </w:rPr>
        <w:t>e1</w:t>
      </w:r>
      <w:r>
        <w:rPr>
          <w:color w:val="000000" w:themeColor="text1"/>
          <w14:textFill>
            <w14:solidFill>
              <w14:schemeClr w14:val="tx1"/>
            </w14:solidFill>
          </w14:textFill>
        </w:rPr>
        <w:t>）：黄褐色；硬可塑；粉质粘土为主要成分，粘性一般，韧性一般，干强度较高，无摇振反应，切面光滑，残积成因。该层分布于场地绝大部分区域，仅中部狭长的山沟部分地段未揭露此层，勘探时场地层厚0.50～4.00m，平均厚度1.2m，层底标高69.51～109.95m。</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③-1强风化板岩（Pt</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黄褐色；泥质成分，板状构造，变余泥质结构。岩体破碎，部分已风化成土状，原岩结构可见，干钻难以钻进，岩石基本质量指标RQD很差，属极软岩，岩石基本等级为Ⅴ类。该层全场地分布，层位不稳定，勘探时场地层厚1.00～4.50m，平均厚度2.96m，层底标高65.29～107.15m。</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④-2中风化板岩（Pt</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）：黄绿色、灰黄色；泥质成分，板状构造，变余泥质结构岩体破碎，风化节理发育，岩性较硬，岩石基本质量指标RQD 较差，钻进时钻机摇动剧烈，岩芯呈短柱状或破碎状。岩石基本等级为Ⅴ类该层全场地分布。该次钻探未钻透此层。</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（2）地下水类型、填埋、补给和排泄条件</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根据湖南省水文地质图可知云溪地区富水程度弱，为淡水分布，含水岩组类型主要为：碎屑岩类孔隙裂隙含水岩组和变质岩类裂隙含水岩组。</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在地深度范围内有一层地下水，属上层滞水类型，主要赋存于填土和粉质粘土中，主要为大气降水和地表滞水补给，仅在山沟中钻孔见到地下水，实测稳定水位埋深为3.0～5.80m。由于场地底层主要为弱透水的粉质粘土和板岩，故地下水不发育。根据临近场地《水质分析报告表》中的水质分析结果和工程经验，按《岩土工程勘察规范》（GB50021-2001）有关水质评价标准判定，该区域水质对混凝土具有弱腐蚀性。</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天然情况下，区域地下水渗流场水力坡度平缓，一般在0.1‰左右，地下水流向长江。本区域深层地下水开发时间长，大量开采始于上世纪50年代，近些年通过地表水的充分开发利用以及节水工程，地下水开采总量逐渐减少。</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区域地下水的补给主要来自大气降水和地表水的渗漏。在通常情况下，地下水补给地表水，而在洪水期间则地表水补给地下水。区域内地下水主要以泉、地表径流、垂直蒸发以及人工开采等形式排泄。</w:t>
      </w:r>
    </w:p>
    <w:p>
      <w:pPr>
        <w:pStyle w:val="6"/>
        <w:rPr>
          <w:color w:val="000000" w:themeColor="text1"/>
          <w14:textFill>
            <w14:solidFill>
              <w14:schemeClr w14:val="tx1"/>
            </w14:solidFill>
          </w14:textFill>
        </w:rPr>
      </w:pPr>
      <w:r>
        <w:rPr>
          <w:color w:val="000000" w:themeColor="text1"/>
          <w14:textFill>
            <w14:solidFill>
              <w14:schemeClr w14:val="tx1"/>
            </w14:solidFill>
          </w14:textFill>
        </w:rPr>
        <w:t>地下水影响分析</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项目所处地表组成物质65%为变质岩，其余为砂质岩，地下水以HCO</w:t>
      </w:r>
      <w:r>
        <w:rPr>
          <w:rFonts w:ascii="Times New Roman" w:hAnsi="Times New Roman" w:cs="Times New Roman"/>
          <w:color w:val="000000" w:themeColor="text1"/>
          <w:sz w:val="24"/>
          <w:vertAlign w:val="subscript"/>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-Ca-Mg型水为主，地下水补给主要依靠大气降水和河水，评价范围内无地下水饮用水源地等地下水敏感区。地层岩性主要以填土、粉质粘土、风化板岩为主，颗粒较细，渗透系数在10</w:t>
      </w:r>
      <w:r>
        <w:rPr>
          <w:rFonts w:ascii="Times New Roman" w:hAnsi="Times New Roman" w:cs="Times New Roman"/>
          <w:color w:val="000000" w:themeColor="text1"/>
          <w:sz w:val="24"/>
          <w:vertAlign w:val="superscript"/>
          <w14:textFill>
            <w14:solidFill>
              <w14:schemeClr w14:val="tx1"/>
            </w14:solidFill>
          </w14:textFill>
        </w:rPr>
        <w:t>-5</w:t>
      </w:r>
      <w:r>
        <w:rPr>
          <w:rFonts w:ascii="Times New Roman" w:hAnsi="Times New Roman" w:cs="Times New Roman"/>
          <w:color w:val="000000" w:themeColor="text1"/>
          <w:sz w:val="24"/>
          <w14:textFill>
            <w14:solidFill>
              <w14:schemeClr w14:val="tx1"/>
            </w14:solidFill>
          </w14:textFill>
        </w:rPr>
        <w:t>cm/s～10</w:t>
      </w:r>
      <w:r>
        <w:rPr>
          <w:rFonts w:ascii="Times New Roman" w:hAnsi="Times New Roman" w:cs="Times New Roman"/>
          <w:color w:val="000000" w:themeColor="text1"/>
          <w:sz w:val="24"/>
          <w:vertAlign w:val="superscript"/>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cm/s之间，透水性能较弱，隔污能力较强。本项目所在区域地层天然防渗性能良好，水流垂向和横向迁移能力较弱。</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（1）正常工况地下水环境影响分析</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正常工况下，本项目产生的废水经收集后去到</w:t>
      </w:r>
      <w:r>
        <w:rPr>
          <w:rFonts w:hint="default" w:ascii="Times New Roman" w:hAnsi="Times New Roman" w:cs="Times New Roman"/>
          <w:color w:val="000000" w:themeColor="text1"/>
          <w:sz w:val="24"/>
          <w14:textFill>
            <w14:solidFill>
              <w14:schemeClr w14:val="tx1"/>
            </w14:solidFill>
          </w14:textFill>
        </w:rPr>
        <w:t>巴陵石化水务部云溪生化装置</w:t>
      </w:r>
      <w:r>
        <w:rPr>
          <w:rFonts w:ascii="Times New Roman" w:hAnsi="Times New Roman" w:cs="Times New Roman"/>
          <w:color w:val="000000" w:themeColor="text1"/>
          <w:sz w:val="24"/>
          <w14:textFill>
            <w14:solidFill>
              <w14:schemeClr w14:val="tx1"/>
            </w14:solidFill>
          </w14:textFill>
        </w:rPr>
        <w:t>，不会对地下水环境造成污染。装置区围堰内经过防渗处理，正常情况下也不会对围堰内地下水产生不利影响。</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如果厂区装置区、装车区等可视场所发生跑冒滴漏，且硬化地面破损，即使有油类或污水等少量泄漏，按目前的管理规范，必须及时采取措施，不能任由油类或污水漫流渗漏，而对于泄漏初期短时间物料暴露而污染的少量土壤，则会尽快通过挖出进行处置，并将硬化防渗面进行修补，不能任其渗入地下水。因此，本项目在正常工况下对地下水环境影响较小，可通过加强管理措施来减少污染物逐步渗入包气带并可能污染潜水的影响。</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（2）非正常状况下地下水环境影响分析</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①预测范围</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本项目地下水环境影响预测范围与调查评价范围一致。</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②评价预测时段</w:t>
      </w:r>
    </w:p>
    <w:p>
      <w:pPr>
        <w:pStyle w:val="131"/>
        <w:adjustRightInd w:val="0"/>
        <w:snapToGrid w:val="0"/>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根据《环境影响评价技术导则 地下水环境》（HJ 610-2016）的规定，拟建项目的评价预测时包括污染发生后10d、100d、365d、1000d。</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③预测因子</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根据项目实际建设情况，本项目有生产工艺废水排放，本评价对地下水影响主要考虑调节池发生破损渗漏情况下的排放，因此本评价主要针对管道中废水渗漏进行预测，选取石油类作为主要预测因子。</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④预测源强</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根据《给水排水构筑物工程施工及验收规范》(GB50141-2008）9.2.6条，正常情况下钢筋混凝土结构水池渗水量不得超过2L/ (m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·d)，本评价中非正常状况下的渗透系数按GB50141中限值的10倍考虑，即废水渗透强度为20 L/ (m</w:t>
      </w:r>
      <w:r>
        <w:rPr>
          <w:rFonts w:ascii="Times New Roman" w:hAnsi="Times New Roman" w:cs="Times New Roman"/>
          <w:color w:val="000000" w:themeColor="text1"/>
          <w:sz w:val="24"/>
          <w:vertAlign w:val="superscript"/>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·d)。本项目废水管道排入预处理站的废水管道中的石油类浓度为500mg/L，则非正常状况下石油类的渗入量为1.10kg/d。</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⑤预测模式选取</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由于排污管道主要排放工艺废水，该废水均属于间断排放，在排放管道停留时间不超过1d，本评价地下水环境影响预测采用一维半无限长多孔介质柱体，一端为定浓度边界：</w:t>
      </w:r>
    </w:p>
    <w:p>
      <w:pPr>
        <w:pStyle w:val="131"/>
        <w:adjustRightInd w:val="0"/>
        <w:snapToGrid w:val="0"/>
        <w:spacing w:line="360" w:lineRule="auto"/>
        <w:ind w:firstLine="420" w:firstLineChars="2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077845" cy="783590"/>
            <wp:effectExtent l="0" t="0" r="8255" b="16510"/>
            <wp:docPr id="1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3"/>
                    <pic:cNvPicPr>
                      <a:picLocks noChangeAspect="1"/>
                    </pic:cNvPicPr>
                  </pic:nvPicPr>
                  <pic:blipFill>
                    <a:blip r:embed="rId44"/>
                    <a:stretch>
                      <a:fillRect/>
                    </a:stretch>
                  </pic:blipFill>
                  <pic:spPr>
                    <a:xfrm>
                      <a:off x="0" y="0"/>
                      <a:ext cx="3077845" cy="783590"/>
                    </a:xfrm>
                    <a:prstGeom prst="rect">
                      <a:avLst/>
                    </a:prstGeom>
                    <a:noFill/>
                    <a:ln>
                      <a:noFill/>
                    </a:ln>
                  </pic:spPr>
                </pic:pic>
              </a:graphicData>
            </a:graphic>
          </wp:inline>
        </w:drawing>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式中：</w:t>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x—距注入点的距离；m；</w:t>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t—时间，d；</w:t>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C（x， t）—t时刻点x处的示踪剂浓度，g/L；</w:t>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C</w:t>
      </w:r>
      <w:r>
        <w:rPr>
          <w:color w:val="000000" w:themeColor="text1"/>
          <w:szCs w:val="24"/>
          <w:vertAlign w:val="subscript"/>
          <w14:textFill>
            <w14:solidFill>
              <w14:schemeClr w14:val="tx1"/>
            </w14:solidFill>
          </w14:textFill>
        </w:rPr>
        <w:t>0</w:t>
      </w:r>
      <w:r>
        <w:rPr>
          <w:color w:val="000000" w:themeColor="text1"/>
          <w:szCs w:val="24"/>
          <w14:textFill>
            <w14:solidFill>
              <w14:schemeClr w14:val="tx1"/>
            </w14:solidFill>
          </w14:textFill>
        </w:rPr>
        <w:t>—注入的示踪剂浓度，g/L；</w:t>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u—水流速度，m/d；</w:t>
      </w:r>
    </w:p>
    <w:p>
      <w:pPr>
        <w:pStyle w:val="131"/>
        <w:adjustRightInd w:val="0"/>
        <w:snapToGrid w:val="0"/>
        <w:spacing w:line="360" w:lineRule="auto"/>
        <w:ind w:firstLine="482"/>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ne—有效孔隙度，无量纲；</w:t>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DL—纵向弥散系数，m</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/d；</w:t>
      </w:r>
    </w:p>
    <w:p>
      <w:pPr>
        <w:tabs>
          <w:tab w:val="left" w:pos="840"/>
          <w:tab w:val="left" w:pos="5460"/>
          <w:tab w:val="left" w:pos="6697"/>
        </w:tabs>
        <w:adjustRightInd w:val="0"/>
        <w:snapToGrid w:val="0"/>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erfc（）—余误差函数。</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⑥预测参数选取</w:t>
      </w:r>
    </w:p>
    <w:p>
      <w:pPr>
        <w:tabs>
          <w:tab w:val="left" w:pos="840"/>
          <w:tab w:val="left" w:pos="5460"/>
          <w:tab w:val="left" w:pos="6697"/>
        </w:tabs>
        <w:adjustRightInd w:val="0"/>
        <w:snapToGrid w:val="0"/>
        <w:spacing w:line="360" w:lineRule="auto"/>
        <w:ind w:firstLine="480"/>
        <w:rPr>
          <w:color w:val="000000" w:themeColor="text1"/>
          <w:u w:val="single"/>
          <w14:textFill>
            <w14:solidFill>
              <w14:schemeClr w14:val="tx1"/>
            </w14:solidFill>
          </w14:textFill>
        </w:rPr>
      </w:pPr>
      <w:r>
        <w:rPr>
          <w:color w:val="000000" w:themeColor="text1"/>
          <w14:textFill>
            <w14:solidFill>
              <w14:schemeClr w14:val="tx1"/>
            </w14:solidFill>
          </w14:textFill>
        </w:rPr>
        <w:t>1、注入的示踪剂质量</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非正常状况下石油类的渗入量为1.10kg/d。</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2、含水层厚度</w:t>
      </w:r>
    </w:p>
    <w:p>
      <w:pPr>
        <w:pStyle w:val="131"/>
        <w:adjustRightInd w:val="0"/>
        <w:snapToGrid w:val="0"/>
        <w:spacing w:line="360" w:lineRule="auto"/>
        <w:ind w:firstLine="482"/>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最常见的地下水污染是污染物通过包气带渗入潜水造成污染的，随着地下水的运动，更进一步形成地下水污染的扩散，本次评价选择松散岩类孔隙水作为预测对象，</w:t>
      </w:r>
      <w:r>
        <w:rPr>
          <w:rFonts w:ascii="Times New Roman" w:hAnsi="Times New Roman" w:cs="Times New Roman"/>
          <w:color w:val="000000" w:themeColor="text1"/>
          <w:sz w:val="24"/>
          <w:szCs w:val="24"/>
          <w14:textFill>
            <w14:solidFill>
              <w14:schemeClr w14:val="tx1"/>
            </w14:solidFill>
          </w14:textFill>
        </w:rPr>
        <w:t>根据岩土工程勘察报告可知，厚度按4.6m计。</w:t>
      </w:r>
    </w:p>
    <w:p>
      <w:pPr>
        <w:pStyle w:val="131"/>
        <w:adjustRightInd w:val="0"/>
        <w:snapToGrid w:val="0"/>
        <w:spacing w:line="360" w:lineRule="auto"/>
        <w:ind w:firstLine="482"/>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3、有效孔隙度</w:t>
      </w:r>
    </w:p>
    <w:p>
      <w:pPr>
        <w:pStyle w:val="131"/>
        <w:adjustRightInd w:val="0"/>
        <w:snapToGrid w:val="0"/>
        <w:spacing w:line="360" w:lineRule="auto"/>
        <w:ind w:firstLine="482"/>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根据项目区岩土工程勘察报告可知，孔隙度平均值e=0.96，根据公式e=n/(1-n)，计算得出，场区含水层有效孔隙度n=0.49。</w:t>
      </w:r>
    </w:p>
    <w:p>
      <w:pPr>
        <w:pStyle w:val="131"/>
        <w:adjustRightInd w:val="0"/>
        <w:snapToGrid w:val="0"/>
        <w:spacing w:line="360" w:lineRule="auto"/>
        <w:ind w:firstLine="482"/>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4、地下水流速</w:t>
      </w:r>
    </w:p>
    <w:p>
      <w:pPr>
        <w:pStyle w:val="131"/>
        <w:adjustRightInd w:val="0"/>
        <w:snapToGrid w:val="0"/>
        <w:spacing w:line="360" w:lineRule="auto"/>
        <w:ind w:firstLine="480" w:firstLineChars="20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根据相关的地质资料了解到项目区岩层的渗透系数约为5.79×10</w:t>
      </w:r>
      <w:r>
        <w:rPr>
          <w:rFonts w:ascii="Times New Roman" w:hAnsi="Times New Roman" w:cs="Times New Roman"/>
          <w:color w:val="000000" w:themeColor="text1"/>
          <w:sz w:val="24"/>
          <w:szCs w:val="24"/>
          <w:vertAlign w:val="super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cm/s（即0.5m/d）。场区附近水力坡度约为1.2×10</w:t>
      </w:r>
      <w:r>
        <w:rPr>
          <w:rFonts w:ascii="Times New Roman" w:hAnsi="Times New Roman" w:cs="Times New Roman"/>
          <w:color w:val="000000" w:themeColor="text1"/>
          <w:sz w:val="24"/>
          <w:szCs w:val="24"/>
          <w:vertAlign w:val="super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，因此，地下水的渗透流速：V=KI=0.5 m/d×0.00012=0.6×10</w:t>
      </w:r>
      <w:r>
        <w:rPr>
          <w:rFonts w:ascii="Times New Roman" w:hAnsi="Times New Roman" w:cs="Times New Roman"/>
          <w:color w:val="000000" w:themeColor="text1"/>
          <w:sz w:val="24"/>
          <w:szCs w:val="24"/>
          <w:vertAlign w:val="super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m/d，平均实际流速：u=V/n=1.2×10</w:t>
      </w:r>
      <w:r>
        <w:rPr>
          <w:rFonts w:ascii="Times New Roman" w:hAnsi="Times New Roman" w:cs="Times New Roman"/>
          <w:color w:val="000000" w:themeColor="text1"/>
          <w:sz w:val="24"/>
          <w:szCs w:val="24"/>
          <w:vertAlign w:val="superscript"/>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m/d。</w:t>
      </w:r>
    </w:p>
    <w:p>
      <w:pPr>
        <w:tabs>
          <w:tab w:val="left" w:pos="840"/>
          <w:tab w:val="left" w:pos="5460"/>
          <w:tab w:val="left" w:pos="6697"/>
        </w:tabs>
        <w:adjustRightInd w:val="0"/>
        <w:snapToGrid w:val="0"/>
        <w:spacing w:line="360" w:lineRule="auto"/>
        <w:ind w:firstLine="480"/>
        <w:rPr>
          <w:color w:val="000000" w:themeColor="text1"/>
          <w:u w:val="single"/>
          <w14:textFill>
            <w14:solidFill>
              <w14:schemeClr w14:val="tx1"/>
            </w14:solidFill>
          </w14:textFill>
        </w:rPr>
      </w:pPr>
      <w:r>
        <w:rPr>
          <w:color w:val="000000" w:themeColor="text1"/>
          <w14:textFill>
            <w14:solidFill>
              <w14:schemeClr w14:val="tx1"/>
            </w14:solidFill>
          </w14:textFill>
        </w:rPr>
        <w:t>5、弥散系数</w:t>
      </w:r>
    </w:p>
    <w:p>
      <w:pPr>
        <w:autoSpaceDE w:val="0"/>
        <w:autoSpaceDN w:val="0"/>
        <w:adjustRightInd w:val="0"/>
        <w:snapToGrid w:val="0"/>
        <w:spacing w:line="360" w:lineRule="auto"/>
        <w:ind w:firstLine="482"/>
        <w:rPr>
          <w:color w:val="000000" w:themeColor="text1"/>
          <w14:textFill>
            <w14:solidFill>
              <w14:schemeClr w14:val="tx1"/>
            </w14:solidFill>
          </w14:textFill>
        </w:rPr>
      </w:pPr>
      <w:r>
        <w:rPr>
          <w:color w:val="000000" w:themeColor="text1"/>
          <w14:textFill>
            <w14:solidFill>
              <w14:schemeClr w14:val="tx1"/>
            </w14:solidFill>
          </w14:textFill>
        </w:rPr>
        <w:t>弥散度是地下水动力弥散理论中用来描述空隙介质弥散特征的一个重要参数，具有尺度效应性质，它反映了含水层介质空间结构的非均质性，本次充分收集了大量国内外在不同试验尺度下和实验条件下分别运用解析方法和数值方法所得的纵向弥散度资料，结合工作区的实际条件，考虑到局部规模与区域规模的差别，确定纵向弥散度（α</w:t>
      </w:r>
      <w:r>
        <w:rPr>
          <w:color w:val="000000" w:themeColor="text1"/>
          <w:vertAlign w:val="subscript"/>
          <w14:textFill>
            <w14:solidFill>
              <w14:schemeClr w14:val="tx1"/>
            </w14:solidFill>
          </w14:textFill>
        </w:rPr>
        <w:t>L</w:t>
      </w:r>
      <w:r>
        <w:rPr>
          <w:color w:val="000000" w:themeColor="text1"/>
          <w14:textFill>
            <w14:solidFill>
              <w14:schemeClr w14:val="tx1"/>
            </w14:solidFill>
          </w14:textFill>
        </w:rPr>
        <w:t>）为20.0m，由此计算得出：</w:t>
      </w:r>
    </w:p>
    <w:p>
      <w:pPr>
        <w:autoSpaceDE w:val="0"/>
        <w:autoSpaceDN w:val="0"/>
        <w:adjustRightInd w:val="0"/>
        <w:snapToGrid w:val="0"/>
        <w:spacing w:line="360" w:lineRule="auto"/>
        <w:ind w:firstLine="48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vertAlign w:val="subscript"/>
          <w14:textFill>
            <w14:solidFill>
              <w14:schemeClr w14:val="tx1"/>
            </w14:solidFill>
          </w14:textFill>
        </w:rPr>
        <w:t>L=</w:t>
      </w:r>
      <w:r>
        <w:rPr>
          <w:color w:val="000000" w:themeColor="text1"/>
          <w:position w:val="-12"/>
          <w14:textFill>
            <w14:solidFill>
              <w14:schemeClr w14:val="tx1"/>
            </w14:solidFill>
          </w14:textFill>
        </w:rPr>
        <w:drawing>
          <wp:inline distT="0" distB="0" distL="114300" distR="114300">
            <wp:extent cx="447675" cy="228600"/>
            <wp:effectExtent l="0" t="0" r="9525"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pic:cNvPicPr>
                  </pic:nvPicPr>
                  <pic:blipFill>
                    <a:blip r:embed="rId45"/>
                    <a:stretch>
                      <a:fillRect/>
                    </a:stretch>
                  </pic:blipFill>
                  <pic:spPr>
                    <a:xfrm>
                      <a:off x="0" y="0"/>
                      <a:ext cx="447675" cy="228600"/>
                    </a:xfrm>
                    <a:prstGeom prst="rect">
                      <a:avLst/>
                    </a:prstGeom>
                    <a:noFill/>
                    <a:ln>
                      <a:noFill/>
                    </a:ln>
                  </pic:spPr>
                </pic:pic>
              </a:graphicData>
            </a:graphic>
          </wp:inline>
        </w:drawing>
      </w:r>
      <w:r>
        <w:rPr>
          <w:color w:val="000000" w:themeColor="text1"/>
          <w14:textFill>
            <w14:solidFill>
              <w14:schemeClr w14:val="tx1"/>
            </w14:solidFill>
          </w14:textFill>
        </w:rPr>
        <w:t>=20.0×8.33×10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m/d=1.67×10</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/d，</w:t>
      </w:r>
    </w:p>
    <w:p>
      <w:pPr>
        <w:pStyle w:val="131"/>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⑦预测结果及分析</w:t>
      </w:r>
    </w:p>
    <w:p>
      <w:pPr>
        <w:pStyle w:val="131"/>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非正常状况下，废水排放管道出现破损情况下石油类（标准限值0.3 mg/L）的预测结果见下表所示。</w:t>
      </w:r>
    </w:p>
    <w:p>
      <w:pPr>
        <w:keepNext/>
        <w:tabs>
          <w:tab w:val="left" w:pos="840"/>
          <w:tab w:val="left" w:pos="5460"/>
          <w:tab w:val="left" w:pos="6697"/>
        </w:tabs>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非正常状况下石油类对地下水影响范围预测表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3"/>
        <w:gridCol w:w="945"/>
        <w:gridCol w:w="1081"/>
        <w:gridCol w:w="1150"/>
        <w:gridCol w:w="1244"/>
        <w:gridCol w:w="1250"/>
        <w:gridCol w:w="1214"/>
        <w:gridCol w:w="14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距注入点的距离（m）</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5天预测浓度(g/L)</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10天预测浓度(g/L)</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100天预测浓度(g/L)</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365天预测浓度(g/L)</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1000天预测浓度(g/L)</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3000天预测浓度(g/L)</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5000天预测浓度(g/L)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0.016</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0.092</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0.645</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0.855</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0.952</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1.016</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1.035799792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2</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0.001</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0.303</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0.628</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0.808</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0.932</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0.971543949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3</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0.112</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0.434</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0.671</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0.850</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0.907635042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4</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0.032</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0.281</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0.545</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0.769</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0.844467001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5</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0.007</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0.170</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0.433</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0.691</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0.782418197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6</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0.001</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0.096</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0.336</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0.617</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0.721845009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7</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0.051</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0.255</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0.546</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0.663076043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8</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0.025</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0.188</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0.480</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0.606407156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9</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0.011</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0.136</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0.419</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0.552097425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10</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0.005</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0.095</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0.362</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0.500366121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11</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0.002</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0.065</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0.311</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0.451390756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12</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0.001</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0.043</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0.265</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0.405306198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13</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0.028</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0.224</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0.362204824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14</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0.018</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0.187</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0.322137654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15</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0.011</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0.155</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0.285116358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16</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0.007</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0.128</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0.251116034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17</w:t>
            </w:r>
          </w:p>
        </w:tc>
        <w:tc>
          <w:tcPr>
            <w:tcW w:w="511"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58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2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0.000</w:t>
            </w:r>
          </w:p>
        </w:tc>
        <w:tc>
          <w:tcPr>
            <w:tcW w:w="676"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0.004</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0.105</w:t>
            </w:r>
          </w:p>
        </w:tc>
        <w:tc>
          <w:tcPr>
            <w:tcW w:w="782"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0.2200786</w:t>
            </w:r>
          </w:p>
        </w:tc>
      </w:tr>
    </w:tbl>
    <w:p>
      <w:pPr>
        <w:keepNext/>
        <w:tabs>
          <w:tab w:val="left" w:pos="840"/>
          <w:tab w:val="left" w:pos="5460"/>
          <w:tab w:val="left" w:pos="6697"/>
        </w:tabs>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浓度与泄露点距离的图见下图所示。</w:t>
      </w:r>
    </w:p>
    <w:p>
      <w:pPr>
        <w:pStyle w:val="20"/>
        <w:ind w:left="480"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762500" cy="2857500"/>
            <wp:effectExtent l="5080" t="4445" r="13970" b="14605"/>
            <wp:docPr id="16"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20"/>
        <w:keepNext/>
        <w:ind w:left="480" w:firstLine="482"/>
        <w:jc w:val="center"/>
        <w:rPr>
          <w:b/>
          <w:color w:val="000000" w:themeColor="text1"/>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5</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泄露点的距离与浓度的关系图</w:t>
      </w:r>
    </w:p>
    <w:p>
      <w:pPr>
        <w:tabs>
          <w:tab w:val="left" w:pos="840"/>
          <w:tab w:val="left" w:pos="5460"/>
          <w:tab w:val="left" w:pos="6697"/>
        </w:tabs>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以上预测结果分析可知，当项目污水管道发生泄露时，最大影响距离约为1m，此范围内均为工业园区域，无地下水敏感目标，地下水的影响较小。但为了尽量降低污水泄漏事故发生几率，降低项目区域地下水污染风险，本环评建设整个厂区采取分区防渗措施。</w:t>
      </w:r>
    </w:p>
    <w:p>
      <w:pPr>
        <w:pStyle w:val="5"/>
        <w:rPr>
          <w:color w:val="000000" w:themeColor="text1"/>
          <w14:textFill>
            <w14:solidFill>
              <w14:schemeClr w14:val="tx1"/>
            </w14:solidFill>
          </w14:textFill>
        </w:rPr>
      </w:pPr>
      <w:r>
        <w:rPr>
          <w:color w:val="000000" w:themeColor="text1"/>
          <w14:textFill>
            <w14:solidFill>
              <w14:schemeClr w14:val="tx1"/>
            </w14:solidFill>
          </w14:textFill>
        </w:rPr>
        <w:t>营运期声环境影响分析</w:t>
      </w:r>
    </w:p>
    <w:p>
      <w:pPr>
        <w:pStyle w:val="131"/>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本项目位于巴陵石化分公司炼油部厂区内，属于工业区，根据区域环境功能区划，项目厂界和环境噪声评价标准分别按《工业企业厂界环境噪声排放标准》（GB 12348-2008）中3类标准限值执行。本次预测进行厂界达标预测，厂界噪声预测值为背景值与新增噪声值或削减噪声值的声能量叠加之和，以叠加后的噪声值评价拟建项目投产后对环境产生的噪声影响。</w:t>
      </w:r>
    </w:p>
    <w:p>
      <w:pPr>
        <w:pStyle w:val="131"/>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根据《环境影响评价技术导则 声环境》（HJ2.4-2009）中对噪声源强的分类，项目噪声源按声源性质可以分为流动声源和固定声源两大类，机动车辆为流动声源，场内固定的产生噪声设备为固定声源。在本项目中，项目工业噪声源强均为固定声源。因此，本项目根据导则对工业噪声预测。</w:t>
      </w:r>
    </w:p>
    <w:p>
      <w:pPr>
        <w:pStyle w:val="6"/>
        <w:rPr>
          <w:color w:val="000000" w:themeColor="text1"/>
          <w14:textFill>
            <w14:solidFill>
              <w14:schemeClr w14:val="tx1"/>
            </w14:solidFill>
          </w14:textFill>
        </w:rPr>
      </w:pPr>
      <w:r>
        <w:rPr>
          <w:color w:val="000000" w:themeColor="text1"/>
          <w14:textFill>
            <w14:solidFill>
              <w14:schemeClr w14:val="tx1"/>
            </w14:solidFill>
          </w14:textFill>
        </w:rPr>
        <w:t>预测模式</w:t>
      </w:r>
    </w:p>
    <w:p>
      <w:pPr>
        <w:pStyle w:val="131"/>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按照《环境影响评价技术导则声环境（HJ2.4-2009）》的要求，本项目可选择点声源预测模式，来模拟预测本项目主要声源排放噪声随距离的衰减变化规律。</w:t>
      </w:r>
    </w:p>
    <w:p>
      <w:pPr>
        <w:spacing w:line="360" w:lineRule="auto"/>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1、对室外噪声源主要考虑噪声的几何发散衰减及环境因素衰减：</w:t>
      </w:r>
    </w:p>
    <w:p>
      <w:pPr>
        <w:snapToGrid w:val="0"/>
        <w:spacing w:line="360" w:lineRule="auto"/>
        <w:ind w:firstLine="48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-20lg(r</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/r</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)-ΔL</w:t>
      </w:r>
    </w:p>
    <w:p>
      <w:pPr>
        <w:snapToGrid w:val="0"/>
        <w:spacing w:line="360" w:lineRule="auto"/>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i/>
          <w:iCs/>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点声源在预测点产生的声压级，dB(A)；</w:t>
      </w:r>
    </w:p>
    <w:p>
      <w:pPr>
        <w:snapToGrid w:val="0"/>
        <w:spacing w:line="360" w:lineRule="auto"/>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i/>
          <w:iCs/>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点声源在参考点产生的声压级，dB(A)；</w:t>
      </w:r>
    </w:p>
    <w:p>
      <w:pPr>
        <w:snapToGrid w:val="0"/>
        <w:spacing w:line="360" w:lineRule="auto"/>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i/>
          <w:iCs/>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预测点距声源的距离，m；</w:t>
      </w:r>
    </w:p>
    <w:p>
      <w:pPr>
        <w:snapToGrid w:val="0"/>
        <w:spacing w:line="360" w:lineRule="auto"/>
        <w:ind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i/>
          <w:iCs/>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参考点距声源的距离，m；</w:t>
      </w:r>
    </w:p>
    <w:p>
      <w:pPr>
        <w:snapToGrid w:val="0"/>
        <w:spacing w:line="360" w:lineRule="auto"/>
        <w:ind w:firstLine="1080" w:firstLineChars="45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ΔL</w:t>
      </w:r>
      <w:r>
        <w:rPr>
          <w:rFonts w:hint="default" w:ascii="Times New Roman" w:hAnsi="Times New Roman" w:cs="Times New Roman"/>
          <w:i/>
          <w:iCs/>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各种因素引起的衰减量（包括声屏障、空气吸收等引起的衰减量），dB(A)。</w:t>
      </w:r>
    </w:p>
    <w:p>
      <w:pPr>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2、对两个以上多个声源同时存在时，其预测点总声压级采用下面公式：</w:t>
      </w:r>
    </w:p>
    <w:p>
      <w:pPr>
        <w:snapToGrid w:val="0"/>
        <w:spacing w:line="360" w:lineRule="auto"/>
        <w:ind w:firstLine="482"/>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Leq=10log(å10</w:t>
      </w:r>
      <w:r>
        <w:rPr>
          <w:rFonts w:hint="default" w:ascii="Times New Roman" w:hAnsi="Times New Roman" w:cs="Times New Roman"/>
          <w:color w:val="000000" w:themeColor="text1"/>
          <w:vertAlign w:val="superscript"/>
          <w14:textFill>
            <w14:solidFill>
              <w14:schemeClr w14:val="tx1"/>
            </w14:solidFill>
          </w14:textFill>
        </w:rPr>
        <w:t>0.1Li</w:t>
      </w:r>
      <w:r>
        <w:rPr>
          <w:rFonts w:hint="default" w:ascii="Times New Roman" w:hAnsi="Times New Roman" w:cs="Times New Roman"/>
          <w:color w:val="000000" w:themeColor="text1"/>
          <w14:textFill>
            <w14:solidFill>
              <w14:schemeClr w14:val="tx1"/>
            </w14:solidFill>
          </w14:textFill>
        </w:rPr>
        <w:t>)</w:t>
      </w:r>
    </w:p>
    <w:p>
      <w:pPr>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式中：Leq-----预测点的总等效声级，dB(A)；</w:t>
      </w:r>
    </w:p>
    <w:p>
      <w:pPr>
        <w:snapToGrid w:val="0"/>
        <w:spacing w:line="360" w:lineRule="auto"/>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Li-----第i个声源对预测点的声级影响，dB(A)。</w:t>
      </w:r>
    </w:p>
    <w:p>
      <w:pPr>
        <w:pStyle w:val="6"/>
        <w:rPr>
          <w:color w:val="000000" w:themeColor="text1"/>
          <w14:textFill>
            <w14:solidFill>
              <w14:schemeClr w14:val="tx1"/>
            </w14:solidFill>
          </w14:textFill>
        </w:rPr>
      </w:pPr>
      <w:r>
        <w:rPr>
          <w:color w:val="000000" w:themeColor="text1"/>
          <w14:textFill>
            <w14:solidFill>
              <w14:schemeClr w14:val="tx1"/>
            </w14:solidFill>
          </w14:textFill>
        </w:rPr>
        <w:t>评价标准和评价量</w:t>
      </w:r>
    </w:p>
    <w:p>
      <w:pPr>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项目厂界噪声执行《工业企业厂界环境噪声排放标准》（GB12348-2008）中3类标准要求，即昼间65 dB（A），夜间55 dB（A）。</w:t>
      </w:r>
    </w:p>
    <w:p>
      <w:pPr>
        <w:pStyle w:val="6"/>
        <w:rPr>
          <w:color w:val="000000" w:themeColor="text1"/>
          <w14:textFill>
            <w14:solidFill>
              <w14:schemeClr w14:val="tx1"/>
            </w14:solidFill>
          </w14:textFill>
        </w:rPr>
      </w:pPr>
      <w:r>
        <w:rPr>
          <w:color w:val="000000" w:themeColor="text1"/>
          <w14:textFill>
            <w14:solidFill>
              <w14:schemeClr w14:val="tx1"/>
            </w14:solidFill>
          </w14:textFill>
        </w:rPr>
        <w:t>预测结果及分析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由工程分析给出的噪声源强、厂区平面布局及上述预测模式，预测结果见下表所示。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声环境预测评价结果  单位：dB（A）</w:t>
      </w:r>
    </w:p>
    <w:tbl>
      <w:tblPr>
        <w:tblStyle w:val="4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44"/>
        <w:gridCol w:w="991"/>
        <w:gridCol w:w="659"/>
        <w:gridCol w:w="746"/>
        <w:gridCol w:w="959"/>
        <w:gridCol w:w="811"/>
        <w:gridCol w:w="932"/>
        <w:gridCol w:w="758"/>
        <w:gridCol w:w="751"/>
        <w:gridCol w:w="746"/>
        <w:gridCol w:w="8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7" w:type="pct"/>
            <w:gridSpan w:val="2"/>
            <w:vMerge w:val="restart"/>
            <w:noWrap w:val="0"/>
            <w:vAlign w:val="center"/>
          </w:tcPr>
          <w:p>
            <w:pPr>
              <w:pStyle w:val="112"/>
              <w:keepNext w:val="0"/>
              <w:keepLines w:val="0"/>
              <w:suppressLineNumbers w:val="0"/>
              <w:spacing w:before="0" w:beforeAutospacing="0" w:after="0" w:afterAutospacing="0"/>
              <w:ind w:left="176"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测点名称</w:t>
            </w:r>
          </w:p>
        </w:tc>
        <w:tc>
          <w:tcPr>
            <w:tcW w:w="778" w:type="pct"/>
            <w:gridSpan w:val="2"/>
            <w:noWrap w:val="0"/>
            <w:vAlign w:val="center"/>
          </w:tcPr>
          <w:p>
            <w:pPr>
              <w:pStyle w:val="112"/>
              <w:keepNext w:val="0"/>
              <w:keepLines w:val="0"/>
              <w:suppressLineNumbers w:val="0"/>
              <w:spacing w:before="20" w:beforeAutospacing="0" w:after="0" w:afterAutospacing="0" w:line="269" w:lineRule="exact"/>
              <w:ind w:left="0"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现状值</w:t>
            </w:r>
          </w:p>
        </w:tc>
        <w:tc>
          <w:tcPr>
            <w:tcW w:w="531" w:type="pct"/>
            <w:vMerge w:val="restart"/>
            <w:noWrap w:val="0"/>
            <w:vAlign w:val="center"/>
          </w:tcPr>
          <w:p>
            <w:pPr>
              <w:pStyle w:val="112"/>
              <w:keepNext w:val="0"/>
              <w:keepLines w:val="0"/>
              <w:suppressLineNumbers w:val="0"/>
              <w:spacing w:before="9" w:beforeAutospacing="0" w:after="0" w:afterAutospacing="0"/>
              <w:ind w:left="0" w:right="0"/>
              <w:rPr>
                <w:rFonts w:hint="default" w:ascii="Times New Roman" w:hAnsi="Times New Roman" w:cs="Times New Roman"/>
                <w:bCs/>
                <w:color w:val="000000" w:themeColor="text1"/>
                <w:sz w:val="16"/>
                <w:szCs w:val="16"/>
                <w14:textFill>
                  <w14:solidFill>
                    <w14:schemeClr w14:val="tx1"/>
                  </w14:solidFill>
                </w14:textFill>
              </w:rPr>
            </w:pPr>
          </w:p>
          <w:p>
            <w:pPr>
              <w:pStyle w:val="112"/>
              <w:keepNext w:val="0"/>
              <w:keepLines w:val="0"/>
              <w:suppressLineNumbers w:val="0"/>
              <w:spacing w:before="0" w:beforeAutospacing="0" w:after="0" w:afterAutospacing="0"/>
              <w:ind w:left="115"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贡献值</w:t>
            </w:r>
          </w:p>
        </w:tc>
        <w:tc>
          <w:tcPr>
            <w:tcW w:w="965" w:type="pct"/>
            <w:gridSpan w:val="2"/>
            <w:noWrap w:val="0"/>
            <w:vAlign w:val="center"/>
          </w:tcPr>
          <w:p>
            <w:pPr>
              <w:pStyle w:val="112"/>
              <w:keepNext w:val="0"/>
              <w:keepLines w:val="0"/>
              <w:suppressLineNumbers w:val="0"/>
              <w:spacing w:before="20" w:beforeAutospacing="0" w:after="0" w:afterAutospacing="0" w:line="269" w:lineRule="exact"/>
              <w:ind w:left="0"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预测值</w:t>
            </w:r>
          </w:p>
        </w:tc>
        <w:tc>
          <w:tcPr>
            <w:tcW w:w="836" w:type="pct"/>
            <w:gridSpan w:val="2"/>
            <w:noWrap w:val="0"/>
            <w:vAlign w:val="center"/>
          </w:tcPr>
          <w:p>
            <w:pPr>
              <w:pStyle w:val="112"/>
              <w:keepNext w:val="0"/>
              <w:keepLines w:val="0"/>
              <w:suppressLineNumbers w:val="0"/>
              <w:spacing w:before="20" w:beforeAutospacing="0" w:after="0" w:afterAutospacing="0" w:line="269" w:lineRule="exact"/>
              <w:ind w:left="0"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标准值</w:t>
            </w:r>
          </w:p>
        </w:tc>
        <w:tc>
          <w:tcPr>
            <w:tcW w:w="870" w:type="pct"/>
            <w:gridSpan w:val="2"/>
            <w:noWrap w:val="0"/>
            <w:vAlign w:val="center"/>
          </w:tcPr>
          <w:p>
            <w:pPr>
              <w:pStyle w:val="112"/>
              <w:keepNext w:val="0"/>
              <w:keepLines w:val="0"/>
              <w:suppressLineNumbers w:val="0"/>
              <w:spacing w:before="20" w:beforeAutospacing="0" w:after="0" w:afterAutospacing="0" w:line="269" w:lineRule="exact"/>
              <w:ind w:left="0"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17" w:type="pct"/>
            <w:gridSpan w:val="2"/>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p>
        </w:tc>
        <w:tc>
          <w:tcPr>
            <w:tcW w:w="365" w:type="pct"/>
            <w:noWrap w:val="0"/>
            <w:vAlign w:val="center"/>
          </w:tcPr>
          <w:p>
            <w:pPr>
              <w:pStyle w:val="112"/>
              <w:keepNext w:val="0"/>
              <w:keepLines w:val="0"/>
              <w:suppressLineNumbers w:val="0"/>
              <w:spacing w:before="40" w:beforeAutospacing="0" w:after="0" w:afterAutospacing="0" w:line="268" w:lineRule="exact"/>
              <w:ind w:left="157" w:right="122"/>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昼间</w:t>
            </w:r>
          </w:p>
        </w:tc>
        <w:tc>
          <w:tcPr>
            <w:tcW w:w="412" w:type="pct"/>
            <w:noWrap w:val="0"/>
            <w:vAlign w:val="center"/>
          </w:tcPr>
          <w:p>
            <w:pPr>
              <w:pStyle w:val="112"/>
              <w:keepNext w:val="0"/>
              <w:keepLines w:val="0"/>
              <w:suppressLineNumbers w:val="0"/>
              <w:spacing w:before="40" w:beforeAutospacing="0" w:after="0" w:afterAutospacing="0" w:line="268" w:lineRule="exact"/>
              <w:ind w:left="88" w:right="62"/>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夜间</w:t>
            </w:r>
          </w:p>
        </w:tc>
        <w:tc>
          <w:tcPr>
            <w:tcW w:w="531"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p>
        </w:tc>
        <w:tc>
          <w:tcPr>
            <w:tcW w:w="449" w:type="pct"/>
            <w:noWrap w:val="0"/>
            <w:vAlign w:val="center"/>
          </w:tcPr>
          <w:p>
            <w:pPr>
              <w:pStyle w:val="112"/>
              <w:keepNext w:val="0"/>
              <w:keepLines w:val="0"/>
              <w:suppressLineNumbers w:val="0"/>
              <w:spacing w:before="40" w:beforeAutospacing="0" w:after="0" w:afterAutospacing="0" w:line="268" w:lineRule="exact"/>
              <w:ind w:left="98" w:right="63"/>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昼间</w:t>
            </w:r>
          </w:p>
        </w:tc>
        <w:tc>
          <w:tcPr>
            <w:tcW w:w="515" w:type="pct"/>
            <w:noWrap w:val="0"/>
            <w:vAlign w:val="center"/>
          </w:tcPr>
          <w:p>
            <w:pPr>
              <w:pStyle w:val="112"/>
              <w:keepNext w:val="0"/>
              <w:keepLines w:val="0"/>
              <w:suppressLineNumbers w:val="0"/>
              <w:spacing w:before="40" w:beforeAutospacing="0" w:after="0" w:afterAutospacing="0" w:line="268" w:lineRule="exact"/>
              <w:ind w:left="223" w:right="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夜间</w:t>
            </w:r>
          </w:p>
        </w:tc>
        <w:tc>
          <w:tcPr>
            <w:tcW w:w="420" w:type="pct"/>
            <w:noWrap w:val="0"/>
            <w:vAlign w:val="center"/>
          </w:tcPr>
          <w:p>
            <w:pPr>
              <w:pStyle w:val="112"/>
              <w:keepNext w:val="0"/>
              <w:keepLines w:val="0"/>
              <w:suppressLineNumbers w:val="0"/>
              <w:spacing w:before="40" w:beforeAutospacing="0" w:after="0" w:afterAutospacing="0" w:line="268" w:lineRule="exact"/>
              <w:ind w:left="102" w:right="63"/>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昼间</w:t>
            </w:r>
          </w:p>
        </w:tc>
        <w:tc>
          <w:tcPr>
            <w:tcW w:w="416" w:type="pct"/>
            <w:noWrap w:val="0"/>
            <w:vAlign w:val="center"/>
          </w:tcPr>
          <w:p>
            <w:pPr>
              <w:pStyle w:val="112"/>
              <w:keepNext w:val="0"/>
              <w:keepLines w:val="0"/>
              <w:suppressLineNumbers w:val="0"/>
              <w:spacing w:before="40" w:beforeAutospacing="0" w:after="0" w:afterAutospacing="0" w:line="268" w:lineRule="exact"/>
              <w:ind w:left="96" w:right="63"/>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夜间</w:t>
            </w:r>
          </w:p>
        </w:tc>
        <w:tc>
          <w:tcPr>
            <w:tcW w:w="413" w:type="pct"/>
            <w:noWrap w:val="0"/>
            <w:vAlign w:val="center"/>
          </w:tcPr>
          <w:p>
            <w:pPr>
              <w:pStyle w:val="112"/>
              <w:keepNext w:val="0"/>
              <w:keepLines w:val="0"/>
              <w:suppressLineNumbers w:val="0"/>
              <w:spacing w:before="40" w:beforeAutospacing="0" w:after="0" w:afterAutospacing="0" w:line="268" w:lineRule="exact"/>
              <w:ind w:left="97" w:right="62"/>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昼间</w:t>
            </w:r>
          </w:p>
        </w:tc>
        <w:tc>
          <w:tcPr>
            <w:tcW w:w="456" w:type="pct"/>
            <w:noWrap w:val="0"/>
            <w:vAlign w:val="center"/>
          </w:tcPr>
          <w:p>
            <w:pPr>
              <w:pStyle w:val="112"/>
              <w:keepNext w:val="0"/>
              <w:keepLines w:val="0"/>
              <w:suppressLineNumbers w:val="0"/>
              <w:tabs>
                <w:tab w:val="center" w:pos="390"/>
              </w:tabs>
              <w:spacing w:before="40" w:beforeAutospacing="0" w:after="0" w:afterAutospacing="0" w:line="268" w:lineRule="exact"/>
              <w:ind w:left="128" w:right="9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pct"/>
            <w:vMerge w:val="restart"/>
            <w:noWrap w:val="0"/>
            <w:vAlign w:val="center"/>
          </w:tcPr>
          <w:p>
            <w:pPr>
              <w:pStyle w:val="112"/>
              <w:keepNext w:val="0"/>
              <w:keepLines w:val="0"/>
              <w:suppressLineNumbers w:val="0"/>
              <w:spacing w:before="68" w:beforeAutospacing="0" w:after="0" w:afterAutospacing="0" w:line="276" w:lineRule="auto"/>
              <w:ind w:left="116" w:right="9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装置边界</w:t>
            </w:r>
          </w:p>
        </w:tc>
        <w:tc>
          <w:tcPr>
            <w:tcW w:w="549" w:type="pct"/>
            <w:noWrap w:val="0"/>
            <w:vAlign w:val="center"/>
          </w:tcPr>
          <w:p>
            <w:pPr>
              <w:pStyle w:val="112"/>
              <w:keepNext w:val="0"/>
              <w:keepLines w:val="0"/>
              <w:suppressLineNumbers w:val="0"/>
              <w:spacing w:before="24" w:beforeAutospacing="0" w:after="0" w:afterAutospacing="0" w:line="261" w:lineRule="exact"/>
              <w:ind w:left="0" w:right="12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东厂界</w:t>
            </w:r>
          </w:p>
        </w:tc>
        <w:tc>
          <w:tcPr>
            <w:tcW w:w="365" w:type="pct"/>
            <w:noWrap w:val="0"/>
            <w:vAlign w:val="center"/>
          </w:tcPr>
          <w:p>
            <w:pPr>
              <w:pStyle w:val="112"/>
              <w:keepNext w:val="0"/>
              <w:keepLines w:val="0"/>
              <w:suppressLineNumbers w:val="0"/>
              <w:spacing w:before="34" w:beforeAutospacing="0" w:after="0" w:afterAutospacing="0"/>
              <w:ind w:left="157" w:right="12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412" w:type="pct"/>
            <w:noWrap w:val="0"/>
            <w:vAlign w:val="center"/>
          </w:tcPr>
          <w:p>
            <w:pPr>
              <w:pStyle w:val="112"/>
              <w:keepNext w:val="0"/>
              <w:keepLines w:val="0"/>
              <w:suppressLineNumbers w:val="0"/>
              <w:spacing w:before="34" w:beforeAutospacing="0" w:after="0" w:afterAutospacing="0"/>
              <w:ind w:left="89"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52</w:t>
            </w:r>
          </w:p>
        </w:tc>
        <w:tc>
          <w:tcPr>
            <w:tcW w:w="531" w:type="pct"/>
            <w:noWrap w:val="0"/>
            <w:vAlign w:val="center"/>
          </w:tcPr>
          <w:p>
            <w:pPr>
              <w:pStyle w:val="112"/>
              <w:keepNext w:val="0"/>
              <w:keepLines w:val="0"/>
              <w:suppressLineNumbers w:val="0"/>
              <w:spacing w:before="34" w:beforeAutospacing="0" w:after="0" w:afterAutospacing="0"/>
              <w:ind w:left="93"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49</w:t>
            </w:r>
          </w:p>
        </w:tc>
        <w:tc>
          <w:tcPr>
            <w:tcW w:w="449" w:type="pct"/>
            <w:noWrap w:val="0"/>
            <w:vAlign w:val="center"/>
          </w:tcPr>
          <w:p>
            <w:pPr>
              <w:pStyle w:val="112"/>
              <w:keepNext w:val="0"/>
              <w:keepLines w:val="0"/>
              <w:suppressLineNumbers w:val="0"/>
              <w:spacing w:before="34" w:beforeAutospacing="0" w:after="0" w:afterAutospacing="0"/>
              <w:ind w:left="91"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60.33</w:t>
            </w:r>
          </w:p>
        </w:tc>
        <w:tc>
          <w:tcPr>
            <w:tcW w:w="515" w:type="pct"/>
            <w:noWrap w:val="0"/>
            <w:vAlign w:val="center"/>
          </w:tcPr>
          <w:p>
            <w:pPr>
              <w:pStyle w:val="112"/>
              <w:keepNext w:val="0"/>
              <w:keepLines w:val="0"/>
              <w:suppressLineNumbers w:val="0"/>
              <w:spacing w:before="34" w:beforeAutospacing="0" w:after="0" w:afterAutospacing="0"/>
              <w:ind w:left="247"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53.76</w:t>
            </w:r>
          </w:p>
        </w:tc>
        <w:tc>
          <w:tcPr>
            <w:tcW w:w="420" w:type="pct"/>
            <w:noWrap w:val="0"/>
            <w:vAlign w:val="center"/>
          </w:tcPr>
          <w:p>
            <w:pPr>
              <w:pStyle w:val="112"/>
              <w:keepNext w:val="0"/>
              <w:keepLines w:val="0"/>
              <w:suppressLineNumbers w:val="0"/>
              <w:spacing w:before="34" w:beforeAutospacing="0" w:after="0" w:afterAutospacing="0"/>
              <w:ind w:left="102"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416" w:type="pct"/>
            <w:noWrap w:val="0"/>
            <w:vAlign w:val="center"/>
          </w:tcPr>
          <w:p>
            <w:pPr>
              <w:pStyle w:val="112"/>
              <w:keepNext w:val="0"/>
              <w:keepLines w:val="0"/>
              <w:suppressLineNumbers w:val="0"/>
              <w:spacing w:before="34" w:beforeAutospacing="0" w:after="0" w:afterAutospacing="0"/>
              <w:ind w:left="97"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413" w:type="pct"/>
            <w:noWrap w:val="0"/>
            <w:vAlign w:val="center"/>
          </w:tcPr>
          <w:p>
            <w:pPr>
              <w:pStyle w:val="112"/>
              <w:keepNext w:val="0"/>
              <w:keepLines w:val="0"/>
              <w:suppressLineNumbers w:val="0"/>
              <w:spacing w:before="24" w:beforeAutospacing="0" w:after="0" w:afterAutospacing="0" w:line="261" w:lineRule="exact"/>
              <w:ind w:left="97"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c>
          <w:tcPr>
            <w:tcW w:w="456" w:type="pct"/>
            <w:noWrap w:val="0"/>
            <w:vAlign w:val="center"/>
          </w:tcPr>
          <w:p>
            <w:pPr>
              <w:pStyle w:val="112"/>
              <w:keepNext w:val="0"/>
              <w:keepLines w:val="0"/>
              <w:suppressLineNumbers w:val="0"/>
              <w:spacing w:before="24" w:beforeAutospacing="0" w:after="0" w:afterAutospacing="0" w:line="261" w:lineRule="exact"/>
              <w:ind w:left="128" w:right="9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549" w:type="pct"/>
            <w:noWrap w:val="0"/>
            <w:vAlign w:val="center"/>
          </w:tcPr>
          <w:p>
            <w:pPr>
              <w:pStyle w:val="112"/>
              <w:keepNext w:val="0"/>
              <w:keepLines w:val="0"/>
              <w:suppressLineNumbers w:val="0"/>
              <w:spacing w:before="29" w:beforeAutospacing="0" w:after="0" w:afterAutospacing="0" w:line="261" w:lineRule="exact"/>
              <w:ind w:left="0" w:right="12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南厂界</w:t>
            </w:r>
          </w:p>
        </w:tc>
        <w:tc>
          <w:tcPr>
            <w:tcW w:w="365" w:type="pct"/>
            <w:noWrap w:val="0"/>
            <w:vAlign w:val="center"/>
          </w:tcPr>
          <w:p>
            <w:pPr>
              <w:pStyle w:val="112"/>
              <w:keepNext w:val="0"/>
              <w:keepLines w:val="0"/>
              <w:suppressLineNumbers w:val="0"/>
              <w:spacing w:before="39" w:beforeAutospacing="0" w:after="0" w:afterAutospacing="0"/>
              <w:ind w:left="157" w:right="12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412" w:type="pct"/>
            <w:noWrap w:val="0"/>
            <w:vAlign w:val="center"/>
          </w:tcPr>
          <w:p>
            <w:pPr>
              <w:pStyle w:val="112"/>
              <w:keepNext w:val="0"/>
              <w:keepLines w:val="0"/>
              <w:suppressLineNumbers w:val="0"/>
              <w:spacing w:before="39" w:beforeAutospacing="0" w:after="0" w:afterAutospacing="0"/>
              <w:ind w:left="89"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52</w:t>
            </w:r>
          </w:p>
        </w:tc>
        <w:tc>
          <w:tcPr>
            <w:tcW w:w="531" w:type="pct"/>
            <w:noWrap w:val="0"/>
            <w:vAlign w:val="center"/>
          </w:tcPr>
          <w:p>
            <w:pPr>
              <w:pStyle w:val="112"/>
              <w:keepNext w:val="0"/>
              <w:keepLines w:val="0"/>
              <w:suppressLineNumbers w:val="0"/>
              <w:spacing w:before="39" w:beforeAutospacing="0" w:after="0" w:afterAutospacing="0"/>
              <w:ind w:left="93"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47</w:t>
            </w:r>
          </w:p>
        </w:tc>
        <w:tc>
          <w:tcPr>
            <w:tcW w:w="449" w:type="pct"/>
            <w:noWrap w:val="0"/>
            <w:vAlign w:val="center"/>
          </w:tcPr>
          <w:p>
            <w:pPr>
              <w:pStyle w:val="112"/>
              <w:keepNext w:val="0"/>
              <w:keepLines w:val="0"/>
              <w:suppressLineNumbers w:val="0"/>
              <w:spacing w:before="39" w:beforeAutospacing="0" w:after="0" w:afterAutospacing="0"/>
              <w:ind w:left="91"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55.64</w:t>
            </w:r>
          </w:p>
        </w:tc>
        <w:tc>
          <w:tcPr>
            <w:tcW w:w="515" w:type="pct"/>
            <w:noWrap w:val="0"/>
            <w:vAlign w:val="center"/>
          </w:tcPr>
          <w:p>
            <w:pPr>
              <w:pStyle w:val="112"/>
              <w:keepNext w:val="0"/>
              <w:keepLines w:val="0"/>
              <w:suppressLineNumbers w:val="0"/>
              <w:spacing w:before="39" w:beforeAutospacing="0" w:after="0" w:afterAutospacing="0"/>
              <w:ind w:left="247"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53.19</w:t>
            </w:r>
          </w:p>
        </w:tc>
        <w:tc>
          <w:tcPr>
            <w:tcW w:w="420" w:type="pct"/>
            <w:noWrap w:val="0"/>
            <w:vAlign w:val="center"/>
          </w:tcPr>
          <w:p>
            <w:pPr>
              <w:pStyle w:val="112"/>
              <w:keepNext w:val="0"/>
              <w:keepLines w:val="0"/>
              <w:suppressLineNumbers w:val="0"/>
              <w:spacing w:before="39" w:beforeAutospacing="0" w:after="0" w:afterAutospacing="0"/>
              <w:ind w:left="102"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416" w:type="pct"/>
            <w:noWrap w:val="0"/>
            <w:vAlign w:val="center"/>
          </w:tcPr>
          <w:p>
            <w:pPr>
              <w:pStyle w:val="112"/>
              <w:keepNext w:val="0"/>
              <w:keepLines w:val="0"/>
              <w:suppressLineNumbers w:val="0"/>
              <w:spacing w:before="39" w:beforeAutospacing="0" w:after="0" w:afterAutospacing="0"/>
              <w:ind w:left="97"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413" w:type="pct"/>
            <w:noWrap w:val="0"/>
            <w:vAlign w:val="center"/>
          </w:tcPr>
          <w:p>
            <w:pPr>
              <w:pStyle w:val="112"/>
              <w:keepNext w:val="0"/>
              <w:keepLines w:val="0"/>
              <w:suppressLineNumbers w:val="0"/>
              <w:spacing w:before="29" w:beforeAutospacing="0" w:after="0" w:afterAutospacing="0" w:line="261" w:lineRule="exact"/>
              <w:ind w:left="97"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c>
          <w:tcPr>
            <w:tcW w:w="456" w:type="pct"/>
            <w:noWrap w:val="0"/>
            <w:vAlign w:val="center"/>
          </w:tcPr>
          <w:p>
            <w:pPr>
              <w:pStyle w:val="112"/>
              <w:keepNext w:val="0"/>
              <w:keepLines w:val="0"/>
              <w:suppressLineNumbers w:val="0"/>
              <w:spacing w:before="29" w:beforeAutospacing="0" w:after="0" w:afterAutospacing="0" w:line="261" w:lineRule="exact"/>
              <w:ind w:left="128" w:right="9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549" w:type="pct"/>
            <w:noWrap w:val="0"/>
            <w:vAlign w:val="center"/>
          </w:tcPr>
          <w:p>
            <w:pPr>
              <w:pStyle w:val="112"/>
              <w:keepNext w:val="0"/>
              <w:keepLines w:val="0"/>
              <w:suppressLineNumbers w:val="0"/>
              <w:spacing w:before="32" w:beforeAutospacing="0" w:after="0" w:afterAutospacing="0" w:line="261" w:lineRule="exact"/>
              <w:ind w:left="0" w:right="12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西厂界</w:t>
            </w:r>
          </w:p>
        </w:tc>
        <w:tc>
          <w:tcPr>
            <w:tcW w:w="365" w:type="pct"/>
            <w:noWrap w:val="0"/>
            <w:vAlign w:val="center"/>
          </w:tcPr>
          <w:p>
            <w:pPr>
              <w:pStyle w:val="112"/>
              <w:keepNext w:val="0"/>
              <w:keepLines w:val="0"/>
              <w:suppressLineNumbers w:val="0"/>
              <w:spacing w:before="43" w:beforeAutospacing="0" w:after="0" w:afterAutospacing="0"/>
              <w:ind w:left="157" w:right="12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62</w:t>
            </w:r>
          </w:p>
        </w:tc>
        <w:tc>
          <w:tcPr>
            <w:tcW w:w="412" w:type="pct"/>
            <w:noWrap w:val="0"/>
            <w:vAlign w:val="center"/>
          </w:tcPr>
          <w:p>
            <w:pPr>
              <w:pStyle w:val="112"/>
              <w:keepNext w:val="0"/>
              <w:keepLines w:val="0"/>
              <w:suppressLineNumbers w:val="0"/>
              <w:spacing w:before="43" w:beforeAutospacing="0" w:after="0" w:afterAutospacing="0"/>
              <w:ind w:left="89"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51</w:t>
            </w:r>
          </w:p>
        </w:tc>
        <w:tc>
          <w:tcPr>
            <w:tcW w:w="531" w:type="pct"/>
            <w:noWrap w:val="0"/>
            <w:vAlign w:val="center"/>
          </w:tcPr>
          <w:p>
            <w:pPr>
              <w:pStyle w:val="112"/>
              <w:keepNext w:val="0"/>
              <w:keepLines w:val="0"/>
              <w:suppressLineNumbers w:val="0"/>
              <w:spacing w:before="43" w:beforeAutospacing="0" w:after="0" w:afterAutospacing="0"/>
              <w:ind w:left="93"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51.5</w:t>
            </w:r>
          </w:p>
        </w:tc>
        <w:tc>
          <w:tcPr>
            <w:tcW w:w="449" w:type="pct"/>
            <w:noWrap w:val="0"/>
            <w:vAlign w:val="center"/>
          </w:tcPr>
          <w:p>
            <w:pPr>
              <w:pStyle w:val="112"/>
              <w:keepNext w:val="0"/>
              <w:keepLines w:val="0"/>
              <w:suppressLineNumbers w:val="0"/>
              <w:spacing w:before="43" w:beforeAutospacing="0" w:after="0" w:afterAutospacing="0"/>
              <w:ind w:left="91"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62.37</w:t>
            </w:r>
          </w:p>
        </w:tc>
        <w:tc>
          <w:tcPr>
            <w:tcW w:w="515" w:type="pct"/>
            <w:noWrap w:val="0"/>
            <w:vAlign w:val="center"/>
          </w:tcPr>
          <w:p>
            <w:pPr>
              <w:pStyle w:val="112"/>
              <w:keepNext w:val="0"/>
              <w:keepLines w:val="0"/>
              <w:suppressLineNumbers w:val="0"/>
              <w:spacing w:before="43" w:beforeAutospacing="0" w:after="0" w:afterAutospacing="0"/>
              <w:ind w:left="247"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54.27</w:t>
            </w:r>
          </w:p>
        </w:tc>
        <w:tc>
          <w:tcPr>
            <w:tcW w:w="420" w:type="pct"/>
            <w:noWrap w:val="0"/>
            <w:vAlign w:val="center"/>
          </w:tcPr>
          <w:p>
            <w:pPr>
              <w:pStyle w:val="112"/>
              <w:keepNext w:val="0"/>
              <w:keepLines w:val="0"/>
              <w:suppressLineNumbers w:val="0"/>
              <w:spacing w:before="43" w:beforeAutospacing="0" w:after="0" w:afterAutospacing="0"/>
              <w:ind w:left="102"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416" w:type="pct"/>
            <w:noWrap w:val="0"/>
            <w:vAlign w:val="center"/>
          </w:tcPr>
          <w:p>
            <w:pPr>
              <w:pStyle w:val="112"/>
              <w:keepNext w:val="0"/>
              <w:keepLines w:val="0"/>
              <w:suppressLineNumbers w:val="0"/>
              <w:spacing w:before="43" w:beforeAutospacing="0" w:after="0" w:afterAutospacing="0"/>
              <w:ind w:left="97"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413" w:type="pct"/>
            <w:noWrap w:val="0"/>
            <w:vAlign w:val="center"/>
          </w:tcPr>
          <w:p>
            <w:pPr>
              <w:pStyle w:val="112"/>
              <w:keepNext w:val="0"/>
              <w:keepLines w:val="0"/>
              <w:suppressLineNumbers w:val="0"/>
              <w:spacing w:before="32" w:beforeAutospacing="0" w:after="0" w:afterAutospacing="0" w:line="261" w:lineRule="exact"/>
              <w:ind w:left="97"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c>
          <w:tcPr>
            <w:tcW w:w="456" w:type="pct"/>
            <w:noWrap w:val="0"/>
            <w:vAlign w:val="center"/>
          </w:tcPr>
          <w:p>
            <w:pPr>
              <w:pStyle w:val="112"/>
              <w:keepNext w:val="0"/>
              <w:keepLines w:val="0"/>
              <w:suppressLineNumbers w:val="0"/>
              <w:spacing w:before="32" w:beforeAutospacing="0" w:after="0" w:afterAutospacing="0" w:line="261" w:lineRule="exact"/>
              <w:ind w:left="128" w:right="9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8" w:type="pct"/>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549" w:type="pct"/>
            <w:noWrap w:val="0"/>
            <w:vAlign w:val="center"/>
          </w:tcPr>
          <w:p>
            <w:pPr>
              <w:pStyle w:val="112"/>
              <w:keepNext w:val="0"/>
              <w:keepLines w:val="0"/>
              <w:suppressLineNumbers w:val="0"/>
              <w:spacing w:before="28" w:beforeAutospacing="0" w:after="0" w:afterAutospacing="0"/>
              <w:ind w:left="0" w:right="12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北厂界</w:t>
            </w:r>
          </w:p>
        </w:tc>
        <w:tc>
          <w:tcPr>
            <w:tcW w:w="365" w:type="pct"/>
            <w:noWrap w:val="0"/>
            <w:vAlign w:val="center"/>
          </w:tcPr>
          <w:p>
            <w:pPr>
              <w:pStyle w:val="112"/>
              <w:keepNext w:val="0"/>
              <w:keepLines w:val="0"/>
              <w:suppressLineNumbers w:val="0"/>
              <w:spacing w:before="39" w:beforeAutospacing="0" w:after="0" w:afterAutospacing="0"/>
              <w:ind w:left="157" w:right="12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57</w:t>
            </w:r>
          </w:p>
        </w:tc>
        <w:tc>
          <w:tcPr>
            <w:tcW w:w="412" w:type="pct"/>
            <w:noWrap w:val="0"/>
            <w:vAlign w:val="center"/>
          </w:tcPr>
          <w:p>
            <w:pPr>
              <w:pStyle w:val="112"/>
              <w:keepNext w:val="0"/>
              <w:keepLines w:val="0"/>
              <w:suppressLineNumbers w:val="0"/>
              <w:spacing w:before="39" w:beforeAutospacing="0" w:after="0" w:afterAutospacing="0"/>
              <w:ind w:left="89"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w:t>
            </w:r>
          </w:p>
        </w:tc>
        <w:tc>
          <w:tcPr>
            <w:tcW w:w="531" w:type="pct"/>
            <w:noWrap w:val="0"/>
            <w:vAlign w:val="center"/>
          </w:tcPr>
          <w:p>
            <w:pPr>
              <w:pStyle w:val="112"/>
              <w:keepNext w:val="0"/>
              <w:keepLines w:val="0"/>
              <w:suppressLineNumbers w:val="0"/>
              <w:spacing w:before="39" w:beforeAutospacing="0" w:after="0" w:afterAutospacing="0"/>
              <w:ind w:left="93"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44.1</w:t>
            </w:r>
          </w:p>
        </w:tc>
        <w:tc>
          <w:tcPr>
            <w:tcW w:w="449" w:type="pct"/>
            <w:noWrap w:val="0"/>
            <w:vAlign w:val="center"/>
          </w:tcPr>
          <w:p>
            <w:pPr>
              <w:pStyle w:val="112"/>
              <w:keepNext w:val="0"/>
              <w:keepLines w:val="0"/>
              <w:suppressLineNumbers w:val="0"/>
              <w:spacing w:before="39" w:beforeAutospacing="0" w:after="0" w:afterAutospacing="0"/>
              <w:ind w:left="91"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57.22</w:t>
            </w:r>
          </w:p>
        </w:tc>
        <w:tc>
          <w:tcPr>
            <w:tcW w:w="515" w:type="pct"/>
            <w:noWrap w:val="0"/>
            <w:vAlign w:val="center"/>
          </w:tcPr>
          <w:p>
            <w:pPr>
              <w:pStyle w:val="112"/>
              <w:keepNext w:val="0"/>
              <w:keepLines w:val="0"/>
              <w:suppressLineNumbers w:val="0"/>
              <w:spacing w:before="39" w:beforeAutospacing="0" w:after="0" w:afterAutospacing="0"/>
              <w:ind w:left="247"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50.99</w:t>
            </w:r>
          </w:p>
        </w:tc>
        <w:tc>
          <w:tcPr>
            <w:tcW w:w="420" w:type="pct"/>
            <w:noWrap w:val="0"/>
            <w:vAlign w:val="center"/>
          </w:tcPr>
          <w:p>
            <w:pPr>
              <w:pStyle w:val="112"/>
              <w:keepNext w:val="0"/>
              <w:keepLines w:val="0"/>
              <w:suppressLineNumbers w:val="0"/>
              <w:spacing w:before="39" w:beforeAutospacing="0" w:after="0" w:afterAutospacing="0"/>
              <w:ind w:left="102" w:right="64"/>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65</w:t>
            </w:r>
          </w:p>
        </w:tc>
        <w:tc>
          <w:tcPr>
            <w:tcW w:w="416" w:type="pct"/>
            <w:noWrap w:val="0"/>
            <w:vAlign w:val="center"/>
          </w:tcPr>
          <w:p>
            <w:pPr>
              <w:pStyle w:val="112"/>
              <w:keepNext w:val="0"/>
              <w:keepLines w:val="0"/>
              <w:suppressLineNumbers w:val="0"/>
              <w:spacing w:before="39" w:beforeAutospacing="0" w:after="0" w:afterAutospacing="0"/>
              <w:ind w:left="97" w:right="63"/>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w:t>
            </w:r>
          </w:p>
        </w:tc>
        <w:tc>
          <w:tcPr>
            <w:tcW w:w="413" w:type="pct"/>
            <w:noWrap w:val="0"/>
            <w:vAlign w:val="center"/>
          </w:tcPr>
          <w:p>
            <w:pPr>
              <w:pStyle w:val="112"/>
              <w:keepNext w:val="0"/>
              <w:keepLines w:val="0"/>
              <w:suppressLineNumbers w:val="0"/>
              <w:spacing w:before="28" w:beforeAutospacing="0" w:after="0" w:afterAutospacing="0"/>
              <w:ind w:left="97" w:right="62"/>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c>
          <w:tcPr>
            <w:tcW w:w="456" w:type="pct"/>
            <w:noWrap w:val="0"/>
            <w:vAlign w:val="center"/>
          </w:tcPr>
          <w:p>
            <w:pPr>
              <w:pStyle w:val="112"/>
              <w:keepNext w:val="0"/>
              <w:keepLines w:val="0"/>
              <w:suppressLineNumbers w:val="0"/>
              <w:spacing w:before="28" w:beforeAutospacing="0" w:after="0" w:afterAutospacing="0"/>
              <w:ind w:left="128" w:right="9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项目建成投产后，厂界昼间预测值在55.64dB(A)～62.37B(A)之间，夜间预测值在 50.99dB(A)～54.27dB(A)之间，均满足《工业企业厂界环境噪声排放标准》（GB12348-2008）3类标准限值要求，对周边环境影响较小。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固体废物环境影响分析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本</w:t>
      </w:r>
      <w:r>
        <w:rPr>
          <w:rFonts w:ascii="Times New Roman" w:hAnsi="Times New Roman" w:cs="Times New Roman"/>
          <w:color w:val="000000" w:themeColor="text1"/>
          <w14:textFill>
            <w14:solidFill>
              <w14:schemeClr w14:val="tx1"/>
            </w14:solidFill>
          </w14:textFill>
        </w:rPr>
        <w:t>项目主要</w:t>
      </w:r>
      <w:r>
        <w:rPr>
          <w:rFonts w:hint="eastAsia" w:ascii="Times New Roman" w:hAnsi="Times New Roman" w:cs="Times New Roman"/>
          <w:color w:val="000000" w:themeColor="text1"/>
          <w:lang w:eastAsia="zh-CN"/>
          <w14:textFill>
            <w14:solidFill>
              <w14:schemeClr w14:val="tx1"/>
            </w14:solidFill>
          </w14:textFill>
        </w:rPr>
        <w:t>为危险废物，危险废物主要</w:t>
      </w:r>
      <w:r>
        <w:rPr>
          <w:rFonts w:ascii="Times New Roman" w:hAnsi="Times New Roman" w:cs="Times New Roman"/>
          <w:color w:val="000000" w:themeColor="text1"/>
          <w14:textFill>
            <w14:solidFill>
              <w14:schemeClr w14:val="tx1"/>
            </w14:solidFill>
          </w14:textFill>
        </w:rPr>
        <w:t>为</w:t>
      </w:r>
      <w:r>
        <w:rPr>
          <w:rFonts w:hint="eastAsia" w:ascii="Times New Roman" w:hAnsi="Times New Roman" w:cs="Times New Roman"/>
          <w:color w:val="000000" w:themeColor="text1"/>
          <w:lang w:eastAsia="zh-CN"/>
          <w14:textFill>
            <w14:solidFill>
              <w14:schemeClr w14:val="tx1"/>
            </w14:solidFill>
          </w14:textFill>
        </w:rPr>
        <w:t>废催化剂、废保护剂、废瓷球</w:t>
      </w:r>
      <w:r>
        <w:rPr>
          <w:rFonts w:ascii="Times New Roman" w:hAnsi="Times New Roman"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本次评价根据《建设项目危险废物环境影响评价指南》开展危险废物的环境影响评价工作。</w:t>
      </w:r>
    </w:p>
    <w:p>
      <w:pPr>
        <w:pStyle w:val="6"/>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固体废物产生种类和处置方式</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根据工程分析，本项目各类固体废物产生情况和利用处置方式见下表所示。</w:t>
      </w:r>
    </w:p>
    <w:p>
      <w:pPr>
        <w:pStyle w:val="14"/>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项目固体废物产生及处置情况一览表</w:t>
      </w:r>
    </w:p>
    <w:tbl>
      <w:tblPr>
        <w:tblStyle w:val="41"/>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543"/>
        <w:gridCol w:w="1502"/>
        <w:gridCol w:w="543"/>
        <w:gridCol w:w="1164"/>
        <w:gridCol w:w="1226"/>
        <w:gridCol w:w="1871"/>
        <w:gridCol w:w="222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99" w:type="pct"/>
            <w:tcBorders>
              <w:top w:val="single" w:color="000000" w:sz="12" w:space="0"/>
              <w:left w:val="nil"/>
              <w:bottom w:val="single" w:color="000000" w:sz="2" w:space="0"/>
              <w:right w:val="single" w:color="auto" w:sz="2" w:space="0"/>
            </w:tcBorders>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序号</w:t>
            </w:r>
          </w:p>
        </w:tc>
        <w:tc>
          <w:tcPr>
            <w:tcW w:w="827"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固体废物名称</w:t>
            </w:r>
          </w:p>
        </w:tc>
        <w:tc>
          <w:tcPr>
            <w:tcW w:w="299"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形态</w:t>
            </w:r>
          </w:p>
        </w:tc>
        <w:tc>
          <w:tcPr>
            <w:tcW w:w="641"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性质</w:t>
            </w:r>
          </w:p>
        </w:tc>
        <w:tc>
          <w:tcPr>
            <w:tcW w:w="675"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产生量(t/a)</w:t>
            </w:r>
          </w:p>
        </w:tc>
        <w:tc>
          <w:tcPr>
            <w:tcW w:w="1030"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排放规律（年/次）</w:t>
            </w:r>
          </w:p>
        </w:tc>
        <w:tc>
          <w:tcPr>
            <w:tcW w:w="1227" w:type="pct"/>
            <w:tcBorders>
              <w:top w:val="single" w:color="000000" w:sz="12" w:space="0"/>
              <w:bottom w:val="single" w:color="000000" w:sz="2" w:space="0"/>
              <w:right w:val="nil"/>
            </w:tcBorders>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处理处置方式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99"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82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废催化剂</w:t>
            </w:r>
          </w:p>
        </w:tc>
        <w:tc>
          <w:tcPr>
            <w:tcW w:w="299"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固态</w:t>
            </w:r>
          </w:p>
        </w:tc>
        <w:tc>
          <w:tcPr>
            <w:tcW w:w="641"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危险废物</w:t>
            </w:r>
          </w:p>
        </w:tc>
        <w:tc>
          <w:tcPr>
            <w:tcW w:w="675"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9.18</w:t>
            </w:r>
          </w:p>
        </w:tc>
        <w:tc>
          <w:tcPr>
            <w:tcW w:w="1030"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w:t>
            </w:r>
          </w:p>
        </w:tc>
        <w:tc>
          <w:tcPr>
            <w:tcW w:w="122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交由有资质单位处理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99"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82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废保护剂</w:t>
            </w:r>
          </w:p>
        </w:tc>
        <w:tc>
          <w:tcPr>
            <w:tcW w:w="299"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固体</w:t>
            </w:r>
          </w:p>
        </w:tc>
        <w:tc>
          <w:tcPr>
            <w:tcW w:w="641"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危险废物</w:t>
            </w:r>
          </w:p>
        </w:tc>
        <w:tc>
          <w:tcPr>
            <w:tcW w:w="675"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1030"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122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交由有资质单位处理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99"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82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废瓷球</w:t>
            </w:r>
          </w:p>
        </w:tc>
        <w:tc>
          <w:tcPr>
            <w:tcW w:w="299"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固体</w:t>
            </w:r>
          </w:p>
        </w:tc>
        <w:tc>
          <w:tcPr>
            <w:tcW w:w="641"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危险废物</w:t>
            </w:r>
          </w:p>
        </w:tc>
        <w:tc>
          <w:tcPr>
            <w:tcW w:w="675"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0.6</w:t>
            </w:r>
          </w:p>
        </w:tc>
        <w:tc>
          <w:tcPr>
            <w:tcW w:w="1030"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1227" w:type="pct"/>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交由有资质单位处置</w:t>
            </w:r>
          </w:p>
        </w:tc>
      </w:tr>
    </w:tbl>
    <w:p>
      <w:pPr>
        <w:pStyle w:val="14"/>
        <w:keepNext w:val="0"/>
        <w:keepLines w:val="0"/>
        <w:pageBreakBefore w:val="0"/>
        <w:widowControl w:val="0"/>
        <w:kinsoku/>
        <w:wordWrap/>
        <w:overflowPunct/>
        <w:topLinePunct w:val="0"/>
        <w:autoSpaceDE/>
        <w:autoSpaceDN/>
        <w:bidi w:val="0"/>
        <w:adjustRightInd/>
        <w:snapToGrid/>
        <w:spacing w:line="240" w:lineRule="auto"/>
        <w:ind w:firstLine="0"/>
        <w:textAlignment w:val="auto"/>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项目危险废物产生及处置情况汇总表</w:t>
      </w:r>
    </w:p>
    <w:tbl>
      <w:tblPr>
        <w:tblStyle w:val="4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5"/>
        <w:gridCol w:w="685"/>
        <w:gridCol w:w="776"/>
        <w:gridCol w:w="1196"/>
        <w:gridCol w:w="794"/>
        <w:gridCol w:w="999"/>
        <w:gridCol w:w="690"/>
        <w:gridCol w:w="690"/>
        <w:gridCol w:w="999"/>
        <w:gridCol w:w="538"/>
        <w:gridCol w:w="578"/>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t>序号</w:t>
            </w:r>
          </w:p>
        </w:tc>
        <w:tc>
          <w:tcPr>
            <w:tcW w:w="38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危险废物名称</w:t>
            </w:r>
          </w:p>
        </w:tc>
        <w:tc>
          <w:tcPr>
            <w:tcW w:w="42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危险废物类别</w:t>
            </w:r>
          </w:p>
        </w:tc>
        <w:tc>
          <w:tcPr>
            <w:tcW w:w="647"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危险废物代码</w:t>
            </w:r>
          </w:p>
        </w:tc>
        <w:tc>
          <w:tcPr>
            <w:tcW w:w="37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产生量(t/a)</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产生工序及装置</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形态</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主要成分</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有害成分</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产废周期</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危险特性</w:t>
            </w:r>
          </w:p>
        </w:tc>
        <w:tc>
          <w:tcPr>
            <w:tcW w:w="49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t>1</w:t>
            </w:r>
          </w:p>
        </w:tc>
        <w:tc>
          <w:tcPr>
            <w:tcW w:w="380"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pacing w:val="-10"/>
                <w:w w:val="9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废催化剂</w:t>
            </w:r>
          </w:p>
        </w:tc>
        <w:tc>
          <w:tcPr>
            <w:tcW w:w="42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7"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251</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9.18t/a（6年/次）</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加氢反应器</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粘稠状半固态</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石油类</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致癌、致突变、致畸形的有机物质</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6年</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T</w:t>
            </w:r>
          </w:p>
        </w:tc>
        <w:tc>
          <w:tcPr>
            <w:tcW w:w="49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暂存于危废暂存间后交由有资质单位处理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t>2</w:t>
            </w:r>
          </w:p>
        </w:tc>
        <w:tc>
          <w:tcPr>
            <w:tcW w:w="380"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pacing w:val="-10"/>
                <w:w w:val="9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废保护剂</w:t>
            </w:r>
          </w:p>
        </w:tc>
        <w:tc>
          <w:tcPr>
            <w:tcW w:w="42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647"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37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eastAsia="宋体" w:cs="Times New Roman"/>
                <w:color w:val="000000" w:themeColor="text1"/>
                <w:sz w:val="21"/>
                <w14:textFill>
                  <w14:solidFill>
                    <w14:schemeClr w14:val="tx1"/>
                  </w14:solidFill>
                </w14:textFill>
              </w:rPr>
              <w:t>3 t/a（3年/次）</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加氢反应器</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粘稠状半固态</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石油类</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致癌、致突变、致畸形的有机物质</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3年</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T</w:t>
            </w:r>
            <w:r>
              <w:rPr>
                <w:rFonts w:hint="default" w:ascii="Times New Roman" w:hAnsi="Times New Roman" w:eastAsia="宋体" w:cs="Times New Roman"/>
                <w:color w:val="000000" w:themeColor="text1"/>
                <w:sz w:val="21"/>
                <w:lang w:val="en-US" w:eastAsia="zh-CN"/>
                <w14:textFill>
                  <w14:solidFill>
                    <w14:schemeClr w14:val="tx1"/>
                  </w14:solidFill>
                </w14:textFill>
              </w:rPr>
              <w:t>/In</w:t>
            </w:r>
          </w:p>
        </w:tc>
        <w:tc>
          <w:tcPr>
            <w:tcW w:w="49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暂存于危废暂存间后交由有资质单位处理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t>3</w:t>
            </w:r>
          </w:p>
        </w:tc>
        <w:tc>
          <w:tcPr>
            <w:tcW w:w="380" w:type="pct"/>
            <w:tcBorders>
              <w:tl2br w:val="nil"/>
              <w:tr2bl w:val="nil"/>
            </w:tcBorders>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spacing w:val="-10"/>
                <w:w w:val="9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废瓷球</w:t>
            </w:r>
          </w:p>
        </w:tc>
        <w:tc>
          <w:tcPr>
            <w:tcW w:w="42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647"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color w:val="000000" w:themeColor="text1"/>
                <w:spacing w:val="-10"/>
                <w:w w:val="90"/>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251</w:t>
            </w: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7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eastAsia="宋体" w:cs="Times New Roman"/>
                <w:color w:val="000000" w:themeColor="text1"/>
                <w:sz w:val="21"/>
                <w14:textFill>
                  <w14:solidFill>
                    <w14:schemeClr w14:val="tx1"/>
                  </w14:solidFill>
                </w14:textFill>
              </w:rPr>
              <w:t>3 t/a（3年/次）</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加氢反应器</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固态</w:t>
            </w:r>
          </w:p>
        </w:tc>
        <w:tc>
          <w:tcPr>
            <w:tcW w:w="383"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石油类</w:t>
            </w:r>
          </w:p>
        </w:tc>
        <w:tc>
          <w:tcPr>
            <w:tcW w:w="550"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致癌、致突变、致畸形的有机物质</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3年</w:t>
            </w:r>
          </w:p>
        </w:tc>
        <w:tc>
          <w:tcPr>
            <w:tcW w:w="301"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T</w:t>
            </w:r>
          </w:p>
        </w:tc>
        <w:tc>
          <w:tcPr>
            <w:tcW w:w="498" w:type="pct"/>
            <w:tcBorders>
              <w:tl2br w:val="nil"/>
              <w:tr2bl w:val="nil"/>
            </w:tcBorders>
            <w:noWrap w:val="0"/>
            <w:vAlign w:val="center"/>
          </w:tcPr>
          <w:p>
            <w:pPr>
              <w:pStyle w:val="134"/>
              <w:keepNext w:val="0"/>
              <w:keepLines w:val="0"/>
              <w:suppressLineNumbers w:val="0"/>
              <w:spacing w:before="62" w:beforeLines="20" w:beforeAutospacing="0" w:after="62" w:afterLines="20" w:afterAutospacing="0" w:line="240" w:lineRule="exact"/>
              <w:ind w:left="0" w:right="0" w:firstLine="0" w:firstLineChars="0"/>
              <w:jc w:val="cente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val="0"/>
                <w:color w:val="000000" w:themeColor="text1"/>
                <w:kern w:val="2"/>
                <w:sz w:val="21"/>
                <w:szCs w:val="21"/>
                <w:lang w:val="en-US" w:eastAsia="zh-CN" w:bidi="ar-SA"/>
                <w14:textFill>
                  <w14:solidFill>
                    <w14:schemeClr w14:val="tx1"/>
                  </w14:solidFill>
                </w14:textFill>
              </w:rPr>
              <w:t>暂存于危废暂存间后交由有资质单位处理</w:t>
            </w:r>
          </w:p>
        </w:tc>
      </w:tr>
    </w:tbl>
    <w:p>
      <w:pPr>
        <w:pStyle w:val="6"/>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固体废物影响分析</w:t>
      </w:r>
    </w:p>
    <w:p>
      <w:pPr>
        <w:pStyle w:val="132"/>
        <w:ind w:firstLine="4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（1）固废收集、贮存情况</w:t>
      </w:r>
    </w:p>
    <w:p>
      <w:pPr>
        <w:pStyle w:val="132"/>
        <w:ind w:firstLine="480"/>
        <w:rPr>
          <w:rStyle w:val="196"/>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本项目现有厂区已设有危险废物暂存库（位于项目用地西南方向约200米），面积为600m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用于暂存厂区内现有及本项目产生的危险废物，并按《环境保护图形标志-固体废物贮存（处置）场》（GB15562.2）的规定设置警示标志。项目危险废物存放区应严格执行《危险废物贮存污染控制标准》（GB18597-2001，2013年修订）的有关规定；危险废物的收集、贮存、运输全过程应严格执行《危险废物收集贮存运输技术规范》（HJ2025-2012）的有关规定。危废暂存区内部按危险废物类型设挡墙间隔，分区存放。危险废物从产生单元转运至危险废物暂存间后，应对转运沿线进行检查和清理，确保无危险废物遗失在转运路线上。项目产生的危险废物在厂区内的贮存时间不得超过一年。</w:t>
      </w:r>
    </w:p>
    <w:p>
      <w:pPr>
        <w:pStyle w:val="132"/>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产生的各类固体废物均得到妥善的处理处置，只要做好厂区暂存设施的防治工作，严格按《危险废物转移联单制度》转移产生的危险废物，并采取密闭防渗的运输车辆运输，固体废物对周边环境和运输沿途影响较小。</w:t>
      </w:r>
    </w:p>
    <w:p>
      <w:pPr>
        <w:pStyle w:val="5"/>
        <w:rPr>
          <w:color w:val="000000" w:themeColor="text1"/>
          <w14:textFill>
            <w14:solidFill>
              <w14:schemeClr w14:val="tx1"/>
            </w14:solidFill>
          </w14:textFill>
        </w:rPr>
      </w:pPr>
      <w:bookmarkStart w:id="485" w:name="_Toc29901798"/>
      <w:r>
        <w:rPr>
          <w:color w:val="000000" w:themeColor="text1"/>
          <w14:textFill>
            <w14:solidFill>
              <w14:schemeClr w14:val="tx1"/>
            </w14:solidFill>
          </w14:textFill>
        </w:rPr>
        <w:t>危险废物贮存场所（设施） 环境影响分析</w:t>
      </w:r>
      <w:bookmarkEnd w:id="485"/>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（1）危废暂存间选址可行性分析</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本项目炼油部现有厂区已设置一个危废暂存间，位于厂区西南方向约200m。《危险废物贮存污染控制标准》（GB18597-2011，2013年修订）主要针对集中式危险废物贮存的污染控制，企业的危险废物暂存间建设可参考其要求。</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本项目所在区域地质结构稳定，地势平坦，周边无山体，不会受滑坡、泥石流、洪水的影响；项目危险废物暂存间远离储罐区；项目周边并没有敏感建筑，危险废物从产生点运输至危险废物暂存间均在厂内进行。</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综上所述，本项目危险废物暂存间的选址较为合理。</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（2）危废暂存间贮存能力可行性分析</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危险废物贮存能力与产生量与转运周期密切相关，在严格落实本次评价提出的要求基础上，贮存能力是可行的。</w:t>
      </w:r>
    </w:p>
    <w:p>
      <w:pPr>
        <w:pStyle w:val="14"/>
        <w:adjustRightInd w:val="0"/>
        <w:snapToGrid w:val="0"/>
        <w:spacing w:line="240" w:lineRule="auto"/>
        <w:rPr>
          <w:color w:val="000000" w:themeColor="text1"/>
          <w14:textFill>
            <w14:solidFill>
              <w14:schemeClr w14:val="tx1"/>
            </w14:solidFill>
          </w14:textFill>
        </w:rPr>
      </w:pPr>
    </w:p>
    <w:p>
      <w:pPr>
        <w:pStyle w:val="14"/>
        <w:adjustRightInd w:val="0"/>
        <w:snapToGrid w:val="0"/>
        <w:spacing w:line="240" w:lineRule="auto"/>
        <w:rPr>
          <w:color w:val="000000" w:themeColor="text1"/>
          <w14:textFill>
            <w14:solidFill>
              <w14:schemeClr w14:val="tx1"/>
            </w14:solidFill>
          </w14:textFill>
        </w:rPr>
      </w:pPr>
    </w:p>
    <w:p>
      <w:pPr>
        <w:pStyle w:val="14"/>
        <w:adjustRightInd w:val="0"/>
        <w:snapToGrid w:val="0"/>
        <w:spacing w:line="240" w:lineRule="auto"/>
        <w:rPr>
          <w:color w:val="000000" w:themeColor="text1"/>
          <w14:textFill>
            <w14:solidFill>
              <w14:schemeClr w14:val="tx1"/>
            </w14:solidFill>
          </w14:textFill>
        </w:rPr>
      </w:pPr>
    </w:p>
    <w:p>
      <w:pPr>
        <w:pStyle w:val="14"/>
        <w:adjustRightInd w:val="0"/>
        <w:snapToGrid w:val="0"/>
        <w:spacing w:line="240" w:lineRule="auto"/>
        <w:rPr>
          <w:color w:val="000000" w:themeColor="text1"/>
          <w14:textFill>
            <w14:solidFill>
              <w14:schemeClr w14:val="tx1"/>
            </w14:solidFill>
          </w14:textFill>
        </w:rPr>
      </w:pPr>
    </w:p>
    <w:p>
      <w:pPr>
        <w:pStyle w:val="14"/>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厂区危险废物最大储存量一览表</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70"/>
        <w:gridCol w:w="1369"/>
        <w:gridCol w:w="1421"/>
        <w:gridCol w:w="827"/>
        <w:gridCol w:w="827"/>
        <w:gridCol w:w="1290"/>
        <w:gridCol w:w="887"/>
        <w:gridCol w:w="89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tcBorders>
              <w:top w:val="single" w:color="000000" w:sz="12" w:space="0"/>
              <w:left w:val="nil"/>
              <w:bottom w:val="single" w:color="000000" w:sz="2" w:space="0"/>
              <w:right w:val="single" w:color="auto" w:sz="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来源</w:t>
            </w:r>
          </w:p>
        </w:tc>
        <w:tc>
          <w:tcPr>
            <w:tcW w:w="753"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名称</w:t>
            </w:r>
          </w:p>
        </w:tc>
        <w:tc>
          <w:tcPr>
            <w:tcW w:w="782"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贮存场所</w:t>
            </w:r>
          </w:p>
        </w:tc>
        <w:tc>
          <w:tcPr>
            <w:tcW w:w="455"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占地面积m</w:t>
            </w:r>
            <w:r>
              <w:rPr>
                <w:rFonts w:hint="default" w:ascii="Times New Roman" w:hAnsi="Times New Roman" w:eastAsia="宋体" w:cs="Times New Roman"/>
                <w:snapToGrid w:val="0"/>
                <w:color w:val="000000" w:themeColor="text1"/>
                <w:kern w:val="0"/>
                <w:sz w:val="21"/>
                <w:szCs w:val="21"/>
                <w:vertAlign w:val="superscript"/>
                <w14:textFill>
                  <w14:solidFill>
                    <w14:schemeClr w14:val="tx1"/>
                  </w14:solidFill>
                </w14:textFill>
              </w:rPr>
              <w:t>2</w:t>
            </w:r>
          </w:p>
        </w:tc>
        <w:tc>
          <w:tcPr>
            <w:tcW w:w="455"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贮存能力t</w:t>
            </w:r>
          </w:p>
        </w:tc>
        <w:tc>
          <w:tcPr>
            <w:tcW w:w="710"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储存设施材质</w:t>
            </w:r>
          </w:p>
        </w:tc>
        <w:tc>
          <w:tcPr>
            <w:tcW w:w="488" w:type="pct"/>
            <w:tcBorders>
              <w:top w:val="single" w:color="000000" w:sz="12" w:space="0"/>
              <w:bottom w:val="single" w:color="000000" w:sz="2" w:space="0"/>
              <w:right w:val="single" w:color="auto" w:sz="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产生量</w:t>
            </w:r>
          </w:p>
        </w:tc>
        <w:tc>
          <w:tcPr>
            <w:tcW w:w="490" w:type="pct"/>
            <w:tcBorders>
              <w:top w:val="single" w:color="000000" w:sz="12" w:space="0"/>
              <w:bottom w:val="single" w:color="000000" w:sz="2" w:space="0"/>
              <w:right w:val="nil"/>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运转周期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次/年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项目现有危险废物暂存情况</w:t>
            </w: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MTBE废催化剂</w:t>
            </w:r>
          </w:p>
        </w:tc>
        <w:tc>
          <w:tcPr>
            <w:tcW w:w="782" w:type="pct"/>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危险废物暂存间内分区存放</w:t>
            </w:r>
          </w:p>
        </w:tc>
        <w:tc>
          <w:tcPr>
            <w:tcW w:w="455" w:type="pct"/>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600</w:t>
            </w: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100</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废石棉</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10</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苯乙烯PSA废除油剂</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桶装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废润滑油桶</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含油废海绵橡胶带</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废生产辅料包装桶</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6</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废脱硫剂</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40</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桶装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废白土</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炼油废催化剂</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炼油废催化剂</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70</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炼油废催化剂包装袋</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废润滑油</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10</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桶装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restar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本次</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新</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建项目</w:t>
            </w: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废催化剂</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50</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9.18t/a</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废保护剂</w:t>
            </w:r>
          </w:p>
        </w:tc>
        <w:tc>
          <w:tcPr>
            <w:tcW w:w="782"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20</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3t/a</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864"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753" w:type="pct"/>
            <w:tcBorders>
              <w:bottom w:val="single" w:color="000000" w:sz="1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废瓷球</w:t>
            </w:r>
          </w:p>
        </w:tc>
        <w:tc>
          <w:tcPr>
            <w:tcW w:w="782" w:type="pct"/>
            <w:vMerge w:val="continue"/>
            <w:tcBorders>
              <w:bottom w:val="single" w:color="000000" w:sz="12"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c>
          <w:tcPr>
            <w:tcW w:w="455" w:type="pct"/>
            <w:vMerge w:val="continue"/>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55"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5</w:t>
            </w:r>
          </w:p>
        </w:tc>
        <w:tc>
          <w:tcPr>
            <w:tcW w:w="71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袋装</w:t>
            </w:r>
          </w:p>
        </w:tc>
        <w:tc>
          <w:tcPr>
            <w:tcW w:w="488"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0.6t/a</w:t>
            </w:r>
          </w:p>
        </w:tc>
        <w:tc>
          <w:tcPr>
            <w:tcW w:w="490" w:type="pct"/>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3</w:t>
            </w:r>
          </w:p>
        </w:tc>
      </w:tr>
    </w:tbl>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（3）对周围环境的影响</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①对地面水、地下水、土壤的影响</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危险废物暂存间在严格按照《危险废物贮存污染控制标准》（GB18597-2001，2013年修订）的要求设计、施工、运行、管理的前提下，正常情况不会对地面水、地下水和土壤产生影响。在事故状态下，分馏残渣泄露。由于危险废物暂存间设有泄露液体截流、导流及收集措施，在做好危险废物防渗的条件下，泄露液体不会进入地面水、地下水和土壤。因此危险废物暂存间存放的危险废物对地面水、地下水、土壤的基本没有影响。</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②对环境空气的影响</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项目产生的危险废物多为固体废物，难以挥发，且存放在密封袋中。由于排放量较小，对大气环境的影响较小。建议企业加强通风措施，安装浓度监控器及报警器。</w:t>
      </w:r>
    </w:p>
    <w:p>
      <w:pPr>
        <w:pStyle w:val="5"/>
        <w:rPr>
          <w:color w:val="000000" w:themeColor="text1"/>
          <w14:textFill>
            <w14:solidFill>
              <w14:schemeClr w14:val="tx1"/>
            </w14:solidFill>
          </w14:textFill>
        </w:rPr>
      </w:pPr>
      <w:bookmarkStart w:id="486" w:name="_Toc29901799"/>
      <w:r>
        <w:rPr>
          <w:color w:val="000000" w:themeColor="text1"/>
          <w14:textFill>
            <w14:solidFill>
              <w14:schemeClr w14:val="tx1"/>
            </w14:solidFill>
          </w14:textFill>
        </w:rPr>
        <w:t>危险废物收集、运输过程环境影响分析</w:t>
      </w:r>
      <w:bookmarkEnd w:id="486"/>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项目生产车间距危险废物暂存间距离较近，且都位于厂区内，之间并没有环境敏感目标。在产生点用容器收集后，主要通过人工、手推车、叉车等方式进行运输。危险废物在运输过程中主要的环境污染为危险废物洒落。在做好以下几点的基础上，危险废物在运输过程中对环境的影响较小。</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（1）危险废物内部转运应综合考虑厂区的实际情况确定转运路线，尽量避开办公区和生活区。</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（2）危险废物内部转运作业应采用专用的工具，危险废物内部转运应填写《危险废物厂内转运记录表》。</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（3）危险废物内部转运结束后，应对转运路线进行检查和清理，确保无危险废物遗失在转运路线上。</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（4）运输前危险废物需进行分类，按种类、数量、危险特性、物理形态、运输要求等因素确定包装形式；包装应与危险废物相容，且防渗、防漏。</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本项目危废处置由专业人员操作，单独收集和贮运，严格执行转移联单管理制度及国家和省有关转移管理的相关规定、处置过程安全操作规程、人员培训考核制度、档案管理制度、处置全过程管理制度等，并制定好危险废物转移运输途中的污染防范及事故应急措施，严格按照要求办理有关手续。</w:t>
      </w:r>
    </w:p>
    <w:p>
      <w:pPr>
        <w:pStyle w:val="5"/>
        <w:rPr>
          <w:color w:val="000000" w:themeColor="text1"/>
          <w14:textFill>
            <w14:solidFill>
              <w14:schemeClr w14:val="tx1"/>
            </w14:solidFill>
          </w14:textFill>
        </w:rPr>
      </w:pPr>
      <w:bookmarkStart w:id="487" w:name="_Toc29901800"/>
      <w:r>
        <w:rPr>
          <w:color w:val="000000" w:themeColor="text1"/>
          <w14:textFill>
            <w14:solidFill>
              <w14:schemeClr w14:val="tx1"/>
            </w14:solidFill>
          </w14:textFill>
        </w:rPr>
        <w:t>委托利用或处置环境影响分析</w:t>
      </w:r>
      <w:bookmarkEnd w:id="487"/>
    </w:p>
    <w:p>
      <w:pPr>
        <w:pStyle w:val="132"/>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（1）中石化巴陵石油化工有限公司危险废物委托处置情况</w:t>
      </w:r>
    </w:p>
    <w:p>
      <w:pPr>
        <w:pStyle w:val="132"/>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中石化巴陵石油化工有限公司委托的危险废物处理公司比较多，不同类型的危险废物委托不同的公司处理，根据业主提供的资料，中石化巴陵石油化工有限公司委托的危险废物处理公司具体情况如下表所示。</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巴陵石化分公司危险废物处理公司情况一览表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1646"/>
        <w:gridCol w:w="1345"/>
        <w:gridCol w:w="1069"/>
        <w:gridCol w:w="2014"/>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序号</w:t>
            </w:r>
          </w:p>
        </w:tc>
        <w:tc>
          <w:tcPr>
            <w:tcW w:w="0" w:type="auto"/>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固体废物来源</w:t>
            </w:r>
          </w:p>
        </w:tc>
        <w:tc>
          <w:tcPr>
            <w:tcW w:w="0" w:type="auto"/>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固体废物名称</w:t>
            </w:r>
          </w:p>
        </w:tc>
        <w:tc>
          <w:tcPr>
            <w:tcW w:w="0" w:type="auto"/>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固体废物类别</w:t>
            </w:r>
          </w:p>
        </w:tc>
        <w:tc>
          <w:tcPr>
            <w:tcW w:w="0" w:type="auto"/>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委托单位名称</w:t>
            </w:r>
          </w:p>
        </w:tc>
        <w:tc>
          <w:tcPr>
            <w:tcW w:w="0" w:type="auto"/>
            <w:tcBorders>
              <w:top w:val="single" w:color="auto" w:sz="12" w:space="0"/>
              <w:righ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危险废物利用和处置单位危险废物经营许可证编号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1号机组</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废离子交换树脂</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1号机组</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废脱硝催化剂</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郴州市富昌废弃资产再生有限公司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1号机组</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废脱硝催化剂</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攸县晟煌环保科技有限公司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2号机组</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废包装桶</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湖南久和环保科技有限公司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湘环（危）字第（233）号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2号机组</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废矿物油</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远大（湖南）再生燃油股份有限公司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6</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3号机组</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废石棉</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7</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苯乙烯生产装置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废苯乙烯催化剂</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8</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苯乙烯生产装置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废苯乙烯聚合物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9</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常减压蒸馏（含电脱盐）装置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废生产辅料包装桶</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湖南腾旺环保科技有限公司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常减压蒸馏（含电脱盐）装置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废脱硫剂</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11</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常减压蒸馏（含电脱盐）装置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过期失效的生产辅料</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12</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常减压蒸馏（含电脱盐）装置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一般工业固体废物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一般工业固体废物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岳阳市云溪区云兴矿业有限公司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13</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储存系统</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含矿物油废物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岳阳鼎格云天环保科技有限公司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14</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催化裂化装置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催化裂化废催化剂</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15</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催化裂化装置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催化裂化废催化剂包装袋</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16</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催化裂化装置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废活性炭</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岳阳鼎格云天环保科技有限公司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17</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催化裂化装置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废焦炭</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远大（湖南）再生燃料油股份有限公司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18</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催化裂化装置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废矿物油</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岳阳鼎格云天环保科技有限公司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19</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煤化工部双氧水装置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废瓷球</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煤化工部双氧水装置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废过滤袋</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21</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煤化工部双氧水装置</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废矿物油</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远大（湖南）再生燃油股份有限公司</w:t>
            </w:r>
          </w:p>
        </w:tc>
        <w:tc>
          <w:tcPr>
            <w:tcW w:w="0" w:type="auto"/>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22</w:t>
            </w:r>
          </w:p>
        </w:tc>
        <w:tc>
          <w:tcPr>
            <w:tcW w:w="0" w:type="auto"/>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煤化工部双氧水装置</w:t>
            </w:r>
          </w:p>
        </w:tc>
        <w:tc>
          <w:tcPr>
            <w:tcW w:w="0" w:type="auto"/>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废滤芯</w:t>
            </w:r>
          </w:p>
        </w:tc>
        <w:tc>
          <w:tcPr>
            <w:tcW w:w="0" w:type="auto"/>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0" w:type="auto"/>
            <w:tcBorders>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湖南瀚洋环保科技有限公司</w:t>
            </w:r>
          </w:p>
        </w:tc>
        <w:tc>
          <w:tcPr>
            <w:tcW w:w="0" w:type="auto"/>
            <w:tcBorders>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湘环（危）字第（165）号</w:t>
            </w:r>
          </w:p>
        </w:tc>
      </w:tr>
    </w:tbl>
    <w:p>
      <w:pPr>
        <w:pStyle w:val="14"/>
        <w:ind w:firstLine="480"/>
        <w:jc w:val="both"/>
        <w:rPr>
          <w:b w:val="0"/>
          <w:bCs/>
          <w:color w:val="000000" w:themeColor="text1"/>
          <w:sz w:val="24"/>
          <w:szCs w:val="24"/>
          <w14:textFill>
            <w14:solidFill>
              <w14:schemeClr w14:val="tx1"/>
            </w14:solidFill>
          </w14:textFill>
        </w:rPr>
      </w:pPr>
      <w:r>
        <w:rPr>
          <w:b w:val="0"/>
          <w:bCs/>
          <w:color w:val="000000" w:themeColor="text1"/>
          <w:sz w:val="24"/>
          <w:szCs w:val="24"/>
          <w14:textFill>
            <w14:solidFill>
              <w14:schemeClr w14:val="tx1"/>
            </w14:solidFill>
          </w14:textFill>
        </w:rPr>
        <w:t>由上表可知，本项目产生的危险废物主要为废催化剂、废保护剂和废瓷球，类比其他装置产生的固体废物委托的危险废物处理公司，主要委托湖南瀚洋环保科技有限公司对其产生的危险废物进行处理。</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（2）湖南瀚洋环保科技有限公司具体情况介绍</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企业目前与湖南瀚洋环保科技有限公司签订了危险废物处置协议。本次</w:t>
      </w:r>
      <w:r>
        <w:rPr>
          <w:rFonts w:hint="eastAsia"/>
          <w:color w:val="000000" w:themeColor="text1"/>
          <w:lang w:eastAsia="zh-CN"/>
          <w14:textFill>
            <w14:solidFill>
              <w14:schemeClr w14:val="tx1"/>
            </w14:solidFill>
          </w14:textFill>
        </w:rPr>
        <w:t>新建</w:t>
      </w:r>
      <w:r>
        <w:rPr>
          <w:color w:val="000000" w:themeColor="text1"/>
          <w14:textFill>
            <w14:solidFill>
              <w14:schemeClr w14:val="tx1"/>
            </w14:solidFill>
          </w14:textFill>
        </w:rPr>
        <w:t>项目产生的危险废物类别属于湖南瀚洋环保科技有限公司资质许可范围内，可继续委托湖南瀚洋环保科技有限公司处置。</w:t>
      </w:r>
    </w:p>
    <w:p>
      <w:pPr>
        <w:pStyle w:val="132"/>
        <w:ind w:firstLine="480"/>
        <w:rPr>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湖南瀚洋环保科技有限公司位于长沙市长沙县北山镇北山村万谷岭，其经营范围为HW01（831-003-01 831-004-01 831-005-01）；HW02；HW03；HW04；HW05；HW06；HW07；HW08；HW09；HW11；HW12；HW13；HW14；HW16；HW17；HW18；HW19；HW20；HW21；HW22；HW23；HW24；HW25；HW26；HW27；HW28；HW30；HW31；HW32；HW33；HW34；HW35；HW36；HW37；HW38；HW39；HW40；HW45；HW46；HW47；HW48；HW49；HW50。经营规模57450吨/年，危险废物来源限长沙市、株洲市、湘潭市、娄底市、岳阳市、益阳市、常德市、怀化市、张家界市、湘西自治州。经营许可证有效期为2016年12月19日至2021年12月18日</w:t>
      </w:r>
      <w:r>
        <w:rPr>
          <w:color w:val="000000" w:themeColor="text1"/>
          <w14:textFill>
            <w14:solidFill>
              <w14:schemeClr w14:val="tx1"/>
            </w14:solidFill>
          </w14:textFill>
        </w:rPr>
        <w:t>。</w:t>
      </w:r>
    </w:p>
    <w:p>
      <w:pPr>
        <w:pStyle w:val="5"/>
        <w:rPr>
          <w:color w:val="000000" w:themeColor="text1"/>
          <w14:textFill>
            <w14:solidFill>
              <w14:schemeClr w14:val="tx1"/>
            </w14:solidFill>
          </w14:textFill>
        </w:rPr>
      </w:pPr>
      <w:r>
        <w:rPr>
          <w:color w:val="000000" w:themeColor="text1"/>
          <w14:textFill>
            <w14:solidFill>
              <w14:schemeClr w14:val="tx1"/>
            </w14:solidFill>
          </w14:textFill>
        </w:rPr>
        <w:t>小结</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本次</w:t>
      </w:r>
      <w:r>
        <w:rPr>
          <w:rFonts w:hint="eastAsia"/>
          <w:color w:val="000000" w:themeColor="text1"/>
          <w:lang w:eastAsia="zh-CN"/>
          <w14:textFill>
            <w14:solidFill>
              <w14:schemeClr w14:val="tx1"/>
            </w14:solidFill>
          </w14:textFill>
        </w:rPr>
        <w:t>新建</w:t>
      </w:r>
      <w:r>
        <w:rPr>
          <w:color w:val="000000" w:themeColor="text1"/>
          <w14:textFill>
            <w14:solidFill>
              <w14:schemeClr w14:val="tx1"/>
            </w14:solidFill>
          </w14:textFill>
        </w:rPr>
        <w:t>项目产生的固体废物主要是危险废物，均交由有资质的单位处置。本项目工业固体废物的处理或处置符合“无害化”的原则，满足《中华人民共和国环境保护法》及《中华人民共和国固体废物污染环境防治法》的要求，对环境影响可以接受。</w:t>
      </w:r>
    </w:p>
    <w:p>
      <w:pPr>
        <w:pStyle w:val="5"/>
        <w:rPr>
          <w:color w:val="000000" w:themeColor="text1"/>
          <w14:textFill>
            <w14:solidFill>
              <w14:schemeClr w14:val="tx1"/>
            </w14:solidFill>
          </w14:textFill>
        </w:rPr>
      </w:pPr>
      <w:r>
        <w:rPr>
          <w:color w:val="000000" w:themeColor="text1"/>
          <w14:textFill>
            <w14:solidFill>
              <w14:schemeClr w14:val="tx1"/>
            </w14:solidFill>
          </w14:textFill>
        </w:rPr>
        <w:t>土壤环境影响分析</w:t>
      </w:r>
    </w:p>
    <w:p>
      <w:pPr>
        <w:pStyle w:val="6"/>
        <w:rPr>
          <w:color w:val="000000" w:themeColor="text1"/>
          <w14:textFill>
            <w14:solidFill>
              <w14:schemeClr w14:val="tx1"/>
            </w14:solidFill>
          </w14:textFill>
        </w:rPr>
      </w:pPr>
      <w:r>
        <w:rPr>
          <w:color w:val="000000" w:themeColor="text1"/>
          <w14:textFill>
            <w14:solidFill>
              <w14:schemeClr w14:val="tx1"/>
            </w14:solidFill>
          </w14:textFill>
        </w:rPr>
        <w:t>评价区域土地利用类型</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本项目位于中石化巴陵石油化工有限公司炼油部厂区内，项目所在地及项目周边用地类型均为工业用地。评价范围内无耕地和林地。</w:t>
      </w:r>
    </w:p>
    <w:p>
      <w:pPr>
        <w:pStyle w:val="6"/>
        <w:rPr>
          <w:color w:val="000000" w:themeColor="text1"/>
          <w14:textFill>
            <w14:solidFill>
              <w14:schemeClr w14:val="tx1"/>
            </w14:solidFill>
          </w14:textFill>
        </w:rPr>
      </w:pPr>
      <w:r>
        <w:rPr>
          <w:color w:val="000000" w:themeColor="text1"/>
          <w14:textFill>
            <w14:solidFill>
              <w14:schemeClr w14:val="tx1"/>
            </w14:solidFill>
          </w14:textFill>
        </w:rPr>
        <w:t>土壤环境影响途径分析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本项目为污染影响型建设项目，项目位于工业园区，在现有项目基础上新增装置设备，不涉及施工期土壤环境影响。本次评价重点分析营运期对项目及周边区域土壤环境的影响。</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项目工程分析，本项目不涉及重金属原辅材料使用，主要生产废气为挥发性有机废气，经预测分析能达标排放，沉降到地面对土壤影响较小，因此本次评价不考虑大气污染物沉降污染。重点考虑液态物料、生产工艺废水通过地面漫流的形式渗入周边土壤的土壤污染途径。运营期产生的危险废物存于危险废物暂存间，生产工艺废水经炼油部预处理站处理之后再排入</w:t>
      </w:r>
      <w:r>
        <w:rPr>
          <w:rFonts w:hint="default"/>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处理，生活污水经化粪池处理后同生产废水一同进入</w:t>
      </w:r>
      <w:r>
        <w:rPr>
          <w:rFonts w:hint="default"/>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处理。正常工况下，本项目潜在土壤污染源均达到设计要求，防渗性能完好，对土壤影响较小；非正常工况下，项目土壤环境影响源及影响因子识别如下表所示。</w:t>
      </w:r>
    </w:p>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项目土壤环境影响源及影响因子识别表</w:t>
      </w:r>
    </w:p>
    <w:tbl>
      <w:tblPr>
        <w:tblStyle w:val="41"/>
        <w:tblW w:w="8812" w:type="dxa"/>
        <w:tblInd w:w="106"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95"/>
        <w:gridCol w:w="1417"/>
        <w:gridCol w:w="5279"/>
        <w:gridCol w:w="11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污染源</w:t>
            </w:r>
          </w:p>
        </w:tc>
        <w:tc>
          <w:tcPr>
            <w:tcW w:w="1417" w:type="dxa"/>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非正常工况</w:t>
            </w:r>
          </w:p>
        </w:tc>
        <w:tc>
          <w:tcPr>
            <w:tcW w:w="5279" w:type="dxa"/>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潜在污染途经</w:t>
            </w:r>
          </w:p>
        </w:tc>
        <w:tc>
          <w:tcPr>
            <w:tcW w:w="1121" w:type="dxa"/>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主要污染物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 w:hRule="atLeast"/>
        </w:trPr>
        <w:tc>
          <w:tcPr>
            <w:tcW w:w="995" w:type="dxa"/>
            <w:noWrap w:val="0"/>
            <w:vAlign w:val="center"/>
          </w:tcPr>
          <w:p>
            <w:pPr>
              <w:pStyle w:val="112"/>
              <w:keepNext w:val="0"/>
              <w:keepLines w:val="0"/>
              <w:suppressLineNumbers w:val="0"/>
              <w:kinsoku w:val="0"/>
              <w:overflowPunct w:val="0"/>
              <w:spacing w:before="48" w:beforeLines="20" w:beforeAutospacing="0" w:after="48" w:afterLines="20" w:afterAutospacing="0"/>
              <w:ind w:left="0" w:right="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分馏塔</w:t>
            </w:r>
          </w:p>
        </w:tc>
        <w:tc>
          <w:tcPr>
            <w:tcW w:w="1417" w:type="dxa"/>
            <w:noWrap w:val="0"/>
            <w:vAlign w:val="center"/>
          </w:tcPr>
          <w:p>
            <w:pPr>
              <w:pStyle w:val="112"/>
              <w:keepNext w:val="0"/>
              <w:keepLines w:val="0"/>
              <w:suppressLineNumbers w:val="0"/>
              <w:kinsoku w:val="0"/>
              <w:overflowPunct w:val="0"/>
              <w:spacing w:before="48" w:beforeLines="20" w:beforeAutospacing="0" w:after="48" w:afterLines="20" w:afterAutospacing="0"/>
              <w:ind w:left="0" w:right="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分馏塔破裂</w:t>
            </w:r>
          </w:p>
        </w:tc>
        <w:tc>
          <w:tcPr>
            <w:tcW w:w="5279" w:type="dxa"/>
            <w:noWrap w:val="0"/>
            <w:vAlign w:val="center"/>
          </w:tcPr>
          <w:p>
            <w:pPr>
              <w:pStyle w:val="112"/>
              <w:keepNext w:val="0"/>
              <w:keepLines w:val="0"/>
              <w:suppressLineNumbers w:val="0"/>
              <w:kinsoku w:val="0"/>
              <w:overflowPunct w:val="0"/>
              <w:spacing w:before="48" w:beforeLines="20" w:beforeAutospacing="0" w:after="48" w:afterLines="20" w:afterAutospacing="0"/>
              <w:ind w:left="0" w:right="0"/>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分馏塔破裂，导石油产品泄漏，沿地面漫流渗入裸露土壤</w:t>
            </w:r>
          </w:p>
        </w:tc>
        <w:tc>
          <w:tcPr>
            <w:tcW w:w="1121" w:type="dxa"/>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石油烃</w:t>
            </w: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评价标准</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本项目所在地为及评价范围内的其他地块均为建设用地中的第二类用地，其评价标准为《土壤环境质量建设用地土壤污染风险管控标准(试行)》(GB 36600-2018)中第二类用地的筛选值进行土壤污染风险筛查。</w:t>
      </w:r>
    </w:p>
    <w:p>
      <w:pPr>
        <w:pStyle w:val="6"/>
        <w:rPr>
          <w:color w:val="000000" w:themeColor="text1"/>
          <w14:textFill>
            <w14:solidFill>
              <w14:schemeClr w14:val="tx1"/>
            </w14:solidFill>
          </w14:textFill>
        </w:rPr>
      </w:pPr>
      <w:r>
        <w:rPr>
          <w:color w:val="000000" w:themeColor="text1"/>
          <w14:textFill>
            <w14:solidFill>
              <w14:schemeClr w14:val="tx1"/>
            </w14:solidFill>
          </w14:textFill>
        </w:rPr>
        <w:t>预测与评价方法</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1、方法选择</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本项目为土壤污染影响型建设项目，评价等级为二级，本次评价选取《环境影响评价技术导则 土壤环境(试行)》(HJ 964-2018)中附录E推荐土壤环境影响预测方法一，该方法适用于某种物质可概化为以面源形式进入土壤环境的影响预测，包括大气沉降、地面漫流等，较为符合本项目可能发生的土壤污染途径分析结果。具体方法如下。</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（1）单位质量土壤中某种物质的增量可用下式计算：</w:t>
      </w:r>
    </w:p>
    <w:p>
      <w:pPr>
        <w:spacing w:line="360" w:lineRule="auto"/>
        <w:ind w:firstLine="20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ΔS=n(Is−Ls−Rs)/(ρ</w:t>
      </w:r>
      <w:r>
        <w:rPr>
          <w:rFonts w:hint="default" w:ascii="Times New Roman" w:hAnsi="Times New Roman" w:cs="Times New Roman"/>
          <w:color w:val="000000" w:themeColor="text1"/>
          <w:vertAlign w:val="subscript"/>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×A×D)</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ΔS——单位质量表层土壤中某种物质的增量，g/kg；</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Is——预测评价范围内单位年份表层土壤中某种物质的输入量，g；</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Ls——预测评价范围内单位年份表层土壤中某种物质经淋溶排出的量，g；</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Rs——预测评价范围内单位年份表层土壤中某种物质经径流排出的量，g；</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ρ</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——表层土壤容重，kg/m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A——预测评价范围，m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D——表层土壤深度，本项目地面基本硬化处理，从最大影响角度考虑，按照0进行核算，可根据实际情况适当调整；</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n——持续年份，a。</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（2）单位质量土壤中某种物质的预测值可根据其增量叠加现状值进行计算：</w:t>
      </w:r>
    </w:p>
    <w:p>
      <w:pPr>
        <w:spacing w:line="360" w:lineRule="auto"/>
        <w:ind w:firstLine="200"/>
        <w:jc w:val="center"/>
        <w:rPr>
          <w:color w:val="000000" w:themeColor="text1"/>
          <w14:textFill>
            <w14:solidFill>
              <w14:schemeClr w14:val="tx1"/>
            </w14:solidFill>
          </w14:textFill>
        </w:rPr>
      </w:pPr>
      <w:r>
        <w:rPr>
          <w:color w:val="000000" w:themeColor="text1"/>
          <w14:textFill>
            <w14:solidFill>
              <w14:schemeClr w14:val="tx1"/>
            </w14:solidFill>
          </w14:textFill>
        </w:rPr>
        <w:t>S=S</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+ΔS</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b</w:t>
      </w:r>
      <w:r>
        <w:rPr>
          <w:color w:val="000000" w:themeColor="text1"/>
          <w14:textFill>
            <w14:solidFill>
              <w14:schemeClr w14:val="tx1"/>
            </w14:solidFill>
          </w14:textFill>
        </w:rPr>
        <w:t>——单位质量土壤中某种物质的现状值，g/kg；</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S——单位质量土壤中某种物质的预测值，g/kg。</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2、参数选取</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根据项目情况，选取本次土壤环境预测评价参数见下表所示。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28</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本项目土壤环境影响预测评价参数一览表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135"/>
        <w:gridCol w:w="1135"/>
        <w:gridCol w:w="1793"/>
        <w:gridCol w:w="4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序号</w:t>
            </w:r>
          </w:p>
        </w:tc>
        <w:tc>
          <w:tcPr>
            <w:tcW w:w="61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参数</w:t>
            </w:r>
          </w:p>
        </w:tc>
        <w:tc>
          <w:tcPr>
            <w:tcW w:w="61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单位</w:t>
            </w:r>
          </w:p>
        </w:tc>
        <w:tc>
          <w:tcPr>
            <w:tcW w:w="970"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取值</w:t>
            </w:r>
          </w:p>
        </w:tc>
        <w:tc>
          <w:tcPr>
            <w:tcW w:w="2437"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Is</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w:t>
            </w:r>
          </w:p>
        </w:tc>
        <w:tc>
          <w:tcPr>
            <w:tcW w:w="970"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石油烃：1100000</w:t>
            </w:r>
          </w:p>
        </w:tc>
        <w:tc>
          <w:tcPr>
            <w:tcW w:w="2437" w:type="pct"/>
            <w:noWrap w:val="0"/>
            <w:vAlign w:val="center"/>
          </w:tcPr>
          <w:p>
            <w:pPr>
              <w:pStyle w:val="67"/>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按照事故状态下分馏塔的容积为55m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，考虑最不利情况下的分馏塔发生泄漏)，泄漏量为储罐存量的2%，即1.1t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Ls</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w:t>
            </w:r>
          </w:p>
        </w:tc>
        <w:tc>
          <w:tcPr>
            <w:tcW w:w="970"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所有全部为0</w:t>
            </w:r>
          </w:p>
        </w:tc>
        <w:tc>
          <w:tcPr>
            <w:tcW w:w="2437"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按最不利情况，不考虑淋溶排出量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Rs</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w:t>
            </w:r>
          </w:p>
        </w:tc>
        <w:tc>
          <w:tcPr>
            <w:tcW w:w="970"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880000</w:t>
            </w:r>
          </w:p>
        </w:tc>
        <w:tc>
          <w:tcPr>
            <w:tcW w:w="2437"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因项目储罐区设置围堰，泄漏的油类80%经收集回用于生产或妥善处理，20%残留在围堰中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ρ</w:t>
            </w:r>
            <w:r>
              <w:rPr>
                <w:rFonts w:hint="default" w:ascii="Times New Roman" w:hAnsi="Times New Roman" w:cs="Times New Roman"/>
                <w:color w:val="000000" w:themeColor="text1"/>
                <w:sz w:val="21"/>
                <w:szCs w:val="21"/>
                <w:vertAlign w:val="subscript"/>
                <w14:textFill>
                  <w14:solidFill>
                    <w14:schemeClr w14:val="tx1"/>
                  </w14:solidFill>
                </w14:textFill>
              </w:rPr>
              <w:t>b</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970"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2380</w:t>
            </w:r>
          </w:p>
        </w:tc>
        <w:tc>
          <w:tcPr>
            <w:tcW w:w="243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表层土壤容重kg/m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；取2380kg/m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970" w:type="pct"/>
            <w:noWrap w:val="0"/>
            <w:vAlign w:val="center"/>
          </w:tcPr>
          <w:p>
            <w:pPr>
              <w:pStyle w:val="67"/>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740</w:t>
            </w:r>
          </w:p>
        </w:tc>
        <w:tc>
          <w:tcPr>
            <w:tcW w:w="2437"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预测评价范围取项目所在地及周边200m范围面积740m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p>
        </w:tc>
        <w:tc>
          <w:tcPr>
            <w:tcW w:w="970"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w:t>
            </w:r>
          </w:p>
        </w:tc>
        <w:tc>
          <w:tcPr>
            <w:tcW w:w="2437"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表层土壤深度，本项目地面基本硬化处理，从最大影响角度考虑，按照0进行核算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noWrap w:val="0"/>
            <w:vAlign w:val="center"/>
          </w:tcPr>
          <w:p>
            <w:pPr>
              <w:keepNext/>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vertAlign w:val="subscript"/>
                <w14:textFill>
                  <w14:solidFill>
                    <w14:schemeClr w14:val="tx1"/>
                  </w14:solidFill>
                </w14:textFill>
              </w:rPr>
              <w:t>b</w:t>
            </w:r>
          </w:p>
        </w:tc>
        <w:tc>
          <w:tcPr>
            <w:tcW w:w="614"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g/kg</w:t>
            </w:r>
          </w:p>
        </w:tc>
        <w:tc>
          <w:tcPr>
            <w:tcW w:w="97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0.048</w:t>
            </w:r>
          </w:p>
        </w:tc>
        <w:tc>
          <w:tcPr>
            <w:tcW w:w="2437" w:type="pct"/>
            <w:noWrap w:val="0"/>
            <w:vAlign w:val="center"/>
          </w:tcPr>
          <w:p>
            <w:pPr>
              <w:pStyle w:val="112"/>
              <w:keepNext w:val="0"/>
              <w:keepLines w:val="0"/>
              <w:suppressLineNumbers w:val="0"/>
              <w:kinsoku w:val="0"/>
              <w:overflowPunct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本报告中土壤现状监测结果中最大值</w:t>
            </w:r>
          </w:p>
        </w:tc>
      </w:tr>
    </w:tbl>
    <w:p>
      <w:pPr>
        <w:pStyle w:val="6"/>
        <w:rPr>
          <w:color w:val="000000" w:themeColor="text1"/>
          <w14:textFill>
            <w14:solidFill>
              <w14:schemeClr w14:val="tx1"/>
            </w14:solidFill>
          </w14:textFill>
        </w:rPr>
      </w:pPr>
      <w:r>
        <w:rPr>
          <w:color w:val="000000" w:themeColor="text1"/>
          <w14:textFill>
            <w14:solidFill>
              <w14:schemeClr w14:val="tx1"/>
            </w14:solidFill>
          </w14:textFill>
        </w:rPr>
        <w:t>预测结果</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分馏塔发生泄露事故预测情景下的土壤影响预测结果见下表所示。</w:t>
      </w:r>
    </w:p>
    <w:p>
      <w:pPr>
        <w:ind w:firstLine="48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29</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项目土壤环境影响预测结果</w:t>
      </w:r>
    </w:p>
    <w:tbl>
      <w:tblPr>
        <w:tblStyle w:val="4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68"/>
        <w:gridCol w:w="2263"/>
        <w:gridCol w:w="2443"/>
        <w:gridCol w:w="22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 w:hRule="atLeast"/>
          <w:jc w:val="center"/>
        </w:trPr>
        <w:tc>
          <w:tcPr>
            <w:tcW w:w="1146" w:type="pct"/>
            <w:vMerge w:val="restar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持续年份</w:t>
            </w:r>
          </w:p>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(年)</w:t>
            </w:r>
          </w:p>
        </w:tc>
        <w:tc>
          <w:tcPr>
            <w:tcW w:w="2608" w:type="pct"/>
            <w:gridSpan w:val="2"/>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预测结果</w:t>
            </w:r>
          </w:p>
        </w:tc>
        <w:tc>
          <w:tcPr>
            <w:tcW w:w="1245"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筛选标准值</w:t>
            </w:r>
          </w:p>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(mg/kg)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254"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ΔS(mg/kg)</w:t>
            </w:r>
          </w:p>
        </w:tc>
        <w:tc>
          <w:tcPr>
            <w:tcW w:w="1354"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S(mg/kg)</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148</w:t>
            </w:r>
          </w:p>
        </w:tc>
        <w:tc>
          <w:tcPr>
            <w:tcW w:w="1245" w:type="pct"/>
            <w:vMerge w:val="restar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210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258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320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420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468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530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578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630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678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740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788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840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888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950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998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1050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1098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2100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2148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1146" w:type="pct"/>
            <w:noWrap w:val="0"/>
            <w:vAlign w:val="center"/>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30</w:t>
            </w:r>
          </w:p>
        </w:tc>
        <w:tc>
          <w:tcPr>
            <w:tcW w:w="12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3200</w:t>
            </w:r>
          </w:p>
        </w:tc>
        <w:tc>
          <w:tcPr>
            <w:tcW w:w="1354" w:type="pct"/>
            <w:noWrap w:val="0"/>
            <w:vAlign w:val="bottom"/>
          </w:tcPr>
          <w:p>
            <w:pPr>
              <w:pStyle w:val="112"/>
              <w:keepNext w:val="0"/>
              <w:keepLines w:val="0"/>
              <w:suppressLineNumbers w:val="0"/>
              <w:kinsoku w:val="0"/>
              <w:overflowPunct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3248</w:t>
            </w:r>
          </w:p>
        </w:tc>
        <w:tc>
          <w:tcPr>
            <w:tcW w:w="1245"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r>
    </w:tbl>
    <w:p>
      <w:pPr>
        <w:spacing w:before="120" w:beforeLines="5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由上表可知，在土壤中石油烃积累量逐步增加，但累积增加量很小。由预测数据可知，项目运营5~30年后周围影响区域土壤中有机物累积量小于《土壤环境质量建设用地土壤污染风险管控标准(试行)》(GB 36600-2018)中第二类用地的筛选值的标准，并且对占地范围内及占地范围外0.2km范围内土壤环境影响较小。</w:t>
      </w:r>
    </w:p>
    <w:p>
      <w:pPr>
        <w:ind w:firstLine="480"/>
        <w:jc w:val="center"/>
        <w:rPr>
          <w:b/>
          <w:color w:val="000000" w:themeColor="text1"/>
          <w14:textFill>
            <w14:solidFill>
              <w14:schemeClr w14:val="tx1"/>
            </w14:solidFill>
          </w14:textFill>
        </w:rPr>
      </w:pPr>
    </w:p>
    <w:p>
      <w:pPr>
        <w:keepNext/>
        <w:rPr>
          <w:color w:val="000000" w:themeColor="text1"/>
          <w14:textFill>
            <w14:solidFill>
              <w14:schemeClr w14:val="tx1"/>
            </w14:solidFill>
          </w14:textFill>
        </w:rPr>
      </w:pPr>
    </w:p>
    <w:p>
      <w:pPr>
        <w:pStyle w:val="17"/>
        <w:adjustRightInd w:val="0"/>
        <w:snapToGrid w:val="0"/>
        <w:spacing w:after="0" w:line="360" w:lineRule="auto"/>
        <w:ind w:firstLine="480" w:firstLineChars="200"/>
        <w:rPr>
          <w:color w:val="000000" w:themeColor="text1"/>
          <w14:textFill>
            <w14:solidFill>
              <w14:schemeClr w14:val="tx1"/>
            </w14:solidFill>
          </w14:textFill>
        </w:rPr>
      </w:pPr>
    </w:p>
    <w:p>
      <w:pPr>
        <w:pStyle w:val="17"/>
        <w:adjustRightInd w:val="0"/>
        <w:snapToGrid w:val="0"/>
        <w:spacing w:after="0" w:line="360" w:lineRule="auto"/>
        <w:ind w:firstLine="480" w:firstLineChars="200"/>
        <w:rPr>
          <w:color w:val="000000" w:themeColor="text1"/>
          <w14:textFill>
            <w14:solidFill>
              <w14:schemeClr w14:val="tx1"/>
            </w14:solidFill>
          </w14:textFill>
        </w:rPr>
      </w:pPr>
    </w:p>
    <w:p>
      <w:pPr>
        <w:pStyle w:val="2"/>
        <w:bidi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488" w:name="_Toc532498755"/>
      <w:bookmarkStart w:id="489" w:name="_Toc532497676"/>
      <w:bookmarkStart w:id="490" w:name="_Toc532763219"/>
      <w:bookmarkStart w:id="491" w:name="_Toc11786"/>
      <w:bookmarkStart w:id="492" w:name="_Toc532376162"/>
      <w:r>
        <w:rPr>
          <w:color w:val="000000" w:themeColor="text1"/>
          <w14:textFill>
            <w14:solidFill>
              <w14:schemeClr w14:val="tx1"/>
            </w14:solidFill>
          </w14:textFill>
        </w:rPr>
        <w:t>环境保护措施及可行性分析</w:t>
      </w:r>
      <w:bookmarkEnd w:id="488"/>
      <w:bookmarkEnd w:id="489"/>
      <w:bookmarkEnd w:id="490"/>
      <w:bookmarkEnd w:id="491"/>
      <w:bookmarkEnd w:id="492"/>
    </w:p>
    <w:p>
      <w:pPr>
        <w:pStyle w:val="4"/>
        <w:adjustRightInd w:val="0"/>
        <w:snapToGrid w:val="0"/>
        <w:rPr>
          <w:color w:val="000000" w:themeColor="text1"/>
          <w14:textFill>
            <w14:solidFill>
              <w14:schemeClr w14:val="tx1"/>
            </w14:solidFill>
          </w14:textFill>
        </w:rPr>
      </w:pPr>
      <w:bookmarkStart w:id="493" w:name="_Toc23453"/>
      <w:bookmarkStart w:id="494" w:name="_Toc532763221"/>
      <w:bookmarkStart w:id="495" w:name="_Toc532497683"/>
      <w:bookmarkStart w:id="496" w:name="_Toc532376164"/>
      <w:bookmarkStart w:id="497" w:name="_Toc532498757"/>
      <w:r>
        <w:rPr>
          <w:color w:val="000000" w:themeColor="text1"/>
          <w14:textFill>
            <w14:solidFill>
              <w14:schemeClr w14:val="tx1"/>
            </w14:solidFill>
          </w14:textFill>
        </w:rPr>
        <w:t>施工期污染防治措施</w:t>
      </w:r>
      <w:bookmarkEnd w:id="493"/>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施工期大气污染防治措施</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本次评价对施工现场的要求可归纳总结为六个100%，即工地周围围挡100%、物料堆放覆盖100%、土方开挖湿挖作业100%、路面硬化100%、出入车辆清洗100%、渣土车密闭运输100%。</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本次评价对实施这六个100%的具体措施提出如下要求：</w:t>
      </w:r>
    </w:p>
    <w:p>
      <w:pPr>
        <w:numPr>
          <w:ilvl w:val="0"/>
          <w:numId w:val="7"/>
        </w:numPr>
        <w:adjustRightInd w:val="0"/>
        <w:snapToGrid w:val="0"/>
        <w:spacing w:line="360" w:lineRule="auto"/>
        <w:ind w:firstLine="480" w:firstLineChars="200"/>
        <w:rPr>
          <w:color w:val="000000" w:themeColor="text1"/>
          <w:szCs w:val="22"/>
          <w14:textFill>
            <w14:solidFill>
              <w14:schemeClr w14:val="tx1"/>
            </w14:solidFill>
          </w14:textFill>
        </w:rPr>
      </w:pPr>
      <w:r>
        <w:rPr>
          <w:color w:val="000000" w:themeColor="text1"/>
          <w14:textFill>
            <w14:solidFill>
              <w14:schemeClr w14:val="tx1"/>
            </w14:solidFill>
          </w14:textFill>
        </w:rPr>
        <w:t>建设单位应在施工现场每一个大门口醒目位置按要求设置建筑施工扬尘防治公示牌，公示扬尘</w:t>
      </w:r>
      <w:r>
        <w:rPr>
          <w:color w:val="000000" w:themeColor="text1"/>
          <w:szCs w:val="22"/>
          <w14:textFill>
            <w14:solidFill>
              <w14:schemeClr w14:val="tx1"/>
            </w14:solidFill>
          </w14:textFill>
        </w:rPr>
        <w:t>防治标准、防治措施和建设、施工、监理单位承担扬尘污染防治工作的具体责任人姓名以及扬尘监督管理主管部门、举报电话等信息。</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房屋建筑工程施工现场四周应该连续设置硬质密闭围挡，不得留有缺口，底边要封闭，不得有泥浆外漏。破损的围挡应及时更换，确保围挡整洁观。严禁使用单层彩钢板、</w:t>
      </w:r>
      <w:r>
        <w:rPr>
          <w:color w:val="000000" w:themeColor="text1"/>
          <w:szCs w:val="22"/>
          <w14:textFill>
            <w14:solidFill>
              <w14:schemeClr w14:val="tx1"/>
            </w14:solidFill>
          </w14:textFill>
        </w:rPr>
        <w:t>竹笆、彩色编织布、安全网等易变形材料围挡。</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施工现场的围挡上方必须沿围挡加装喷雾系统，</w:t>
      </w:r>
      <w:r>
        <w:rPr>
          <w:color w:val="000000" w:themeColor="text1"/>
          <w:szCs w:val="22"/>
          <w14:textFill>
            <w14:solidFill>
              <w14:schemeClr w14:val="tx1"/>
            </w14:solidFill>
          </w14:textFill>
        </w:rPr>
        <w:t>每隔2米设置1个高压雾化喷头，施工区域要能形成大量水雾，吸附工地上扬起的粉尘颗粒物；施工期间除雨天外每小时开动喷雾系统不少于30分钟，时间间隔为10分钟。喷雾系统参数应满足规定标准。施工现场的塔吊应安装喷淋系统。每隔2米设置1个高压雾化喷头，施工区域要能形成大量水雾，吸附工地上扬起的粉尘颗粒物；施工期间除雨天外每小时开动喷雾系统不少于30分钟，时间间隔为10分钟。喷雾系统参数应满足规定标准。施工现场的塔吊应安装喷淋系统。</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Cs w:val="22"/>
          <w14:textFill>
            <w14:solidFill>
              <w14:schemeClr w14:val="tx1"/>
            </w14:solidFill>
          </w14:textFill>
        </w:rPr>
        <w:t>施工现场必须配备不少于1台满足规定标准的可移动、风送式喷雾机，适时开启降尘。</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Cs w:val="22"/>
          <w14:textFill>
            <w14:solidFill>
              <w14:schemeClr w14:val="tx1"/>
            </w14:solidFill>
          </w14:textFill>
        </w:rPr>
        <w:t>施工现场所有车辆出口应按规定设置自动冲洗设施，包括冲洗平台、自动洗车机、过水槽、冲洗软管、冲洗枪、排水沟、循环用水装置等，必须收集洗车过程中产生的废水和泥浆，确保车辆不带泥上路、净车出场。</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Cs w:val="22"/>
          <w14:textFill>
            <w14:solidFill>
              <w14:schemeClr w14:val="tx1"/>
            </w14:solidFill>
          </w14:textFill>
        </w:rPr>
        <w:t>施工现场内道路（含主次道）必须进行硬化（采用素土分层夯实、0.2米厚的不低于C20标号混凝土的做法），并针对项目实际情况形成环形道路，主干道宽度不小于3.5米。对于不能形成环形道路的，应设有不小于12米×12米的回车坪，回车坪地面必须进行硬化（做法同道路要求），道路两侧必须设排水沟。</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Cs w:val="22"/>
          <w14:textFill>
            <w14:solidFill>
              <w14:schemeClr w14:val="tx1"/>
            </w14:solidFill>
          </w14:textFill>
        </w:rPr>
        <w:t>施工现场的生活区、办公区、加工区、材料堆码区、停车场等须使用的地面必须进行硬化（除停车场可采用预制砖块铺设外，其余区域须采用素土分层夯实、0.1米厚的不低于C15标号混凝土的做法），确保地面坚实平整，不得有积水。</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bCs/>
          <w:color w:val="000000" w:themeColor="text1"/>
          <w:szCs w:val="24"/>
          <w14:textFill>
            <w14:solidFill>
              <w14:schemeClr w14:val="tx1"/>
            </w14:solidFill>
          </w14:textFill>
        </w:rPr>
        <w:t>在非降雨期间，施工现场必须定期洒水降尘，洒水次数每天不得少于3次，确保施工现场道路保持潮湿状态，鼓励施工单位沿道路设置自动喷淋设施，实现自动洒水降尘</w:t>
      </w:r>
      <w:r>
        <w:rPr>
          <w:color w:val="000000" w:themeColor="text1"/>
          <w:szCs w:val="22"/>
          <w14:textFill>
            <w14:solidFill>
              <w14:schemeClr w14:val="tx1"/>
            </w14:solidFill>
          </w14:textFill>
        </w:rPr>
        <w:t>。</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Cs w:val="22"/>
          <w14:textFill>
            <w14:solidFill>
              <w14:schemeClr w14:val="tx1"/>
            </w14:solidFill>
          </w14:textFill>
        </w:rPr>
        <w:t>施工现场围墙范围内所有闲置场地应进行硬化或绿化，闲置场地裸露地面的裸露时间不得超过7天。闲置时间在2个月以内的可采用满铺防尘网覆盖，闲置时间在2个月及以上的必须硬化或绿化。采用绿化方式的，必须先撒播速生植物如小麦、紫云英、黑麦草（冬季）、狗牙根（夏季）等，再用防尘网覆盖，待绿化植物成活后方可撤离防尘网。</w:t>
      </w:r>
    </w:p>
    <w:p>
      <w:pPr>
        <w:numPr>
          <w:ilvl w:val="0"/>
          <w:numId w:val="7"/>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Cs w:val="22"/>
          <w14:textFill>
            <w14:solidFill>
              <w14:schemeClr w14:val="tx1"/>
            </w14:solidFill>
          </w14:textFill>
        </w:rPr>
        <w:t>施工现场应设置密闭式垃圾站、箱、桶。建筑垃圾存放应设垃圾池，垃圾池必须三面砌筑围挡，垃圾上方必须采用防尘网覆盖，施工垃圾、生活垃圾应分类存放，并应及时清运出场。施工现场各作业面应做到每天工完场清。</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对施工现场的物料堆放提出如下要求：</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（1）施工场地内建筑材料、构件、料具等应按照施工总平面图划定的区域分类堆放整齐。钢筋、钢管、钢结构构件等材料应架空堆放，下设条形混凝土梁或条形砖墩。材料堆场地面应及时冲洗。</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（2）严禁在施工现场围档外堆放物料和建筑垃圾。严禁随意丢弃和焚烧沥青、油毡、橡胶、塑料、皮革、垃圾以及其他产生有毒有害烟尘、恶臭气体的各类废弃物。</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3）施工现场严禁大量堆码砂石、水泥、石灰等散体材料，必须使用预拌混凝土和预拌砂浆，严禁现场批量搅拌。对于少量的搅拌、粉碎、筛分、切割等作业活动，应在封闭条件下进行，并采取降尘防尘措施。零星水泥、石灰、砂石、粉煤灰、聚苯颗粒、陶粒、白灰、腻子粉、石膏粉等易产生扬尘的物料应当分类密闭存放，不能密闭的应当在其周围砌筑高度不小于0.5米的围挡，物料上方采取有效覆盖措施防止扬尘，并悬挂标识牌。</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kern w:val="2"/>
          <w:szCs w:val="22"/>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对施工工艺提出如下要求：</w:t>
      </w:r>
    </w:p>
    <w:p>
      <w:pPr>
        <w:pStyle w:val="20"/>
        <w:numPr>
          <w:ilvl w:val="0"/>
          <w:numId w:val="8"/>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砌筑、抹灰时的落地灰应及时清扫，不得在未实施洒水等抑尘措施情况下进行直接清扫。</w:t>
      </w:r>
    </w:p>
    <w:p>
      <w:pPr>
        <w:pStyle w:val="20"/>
        <w:numPr>
          <w:ilvl w:val="0"/>
          <w:numId w:val="8"/>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散装水泥罐出口必须有有效的防尘措施。</w:t>
      </w:r>
    </w:p>
    <w:p>
      <w:pPr>
        <w:pStyle w:val="20"/>
        <w:numPr>
          <w:ilvl w:val="0"/>
          <w:numId w:val="8"/>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现场切割装饰工程所用墙砖、地砖、石材、木制品、泡沫塑料板等装饰块材时，应集中在封闭式切割间或带水切割，操作人员必须有防尘保护措施。</w:t>
      </w:r>
    </w:p>
    <w:p>
      <w:pPr>
        <w:pStyle w:val="20"/>
        <w:numPr>
          <w:ilvl w:val="0"/>
          <w:numId w:val="8"/>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对混凝土或砖基层进行剔凿、清扫处理时，宜采用防尘降尘清理措施。</w:t>
      </w:r>
    </w:p>
    <w:p>
      <w:pPr>
        <w:pStyle w:val="20"/>
        <w:numPr>
          <w:ilvl w:val="0"/>
          <w:numId w:val="8"/>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绿化工程产生的垃圾，在主次干道、景观带及繁华地段做到当天清理干净，其它地段应在两天内清理干净。</w:t>
      </w:r>
    </w:p>
    <w:p>
      <w:pPr>
        <w:pStyle w:val="20"/>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color w:val="000000" w:themeColor="text1"/>
          <w:szCs w:val="22"/>
          <w14:textFill>
            <w14:solidFill>
              <w14:schemeClr w14:val="tx1"/>
            </w14:solidFill>
          </w14:textFill>
        </w:rPr>
      </w:pPr>
      <w:r>
        <w:rPr>
          <w:color w:val="000000" w:themeColor="text1"/>
          <w:szCs w:val="22"/>
          <w14:textFill>
            <w14:solidFill>
              <w14:schemeClr w14:val="tx1"/>
            </w14:solidFill>
          </w14:textFill>
        </w:rPr>
        <w:t>对施工现场的物料运输提出如下要求：</w:t>
      </w:r>
    </w:p>
    <w:p>
      <w:pPr>
        <w:pStyle w:val="20"/>
        <w:numPr>
          <w:ilvl w:val="0"/>
          <w:numId w:val="9"/>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运输建筑垃圾、建筑土方、工程渣土的单位应取得市容主管部门核发的许可证；车辆外形完好且能完全密闭；</w:t>
      </w:r>
    </w:p>
    <w:p>
      <w:pPr>
        <w:pStyle w:val="20"/>
        <w:numPr>
          <w:ilvl w:val="0"/>
          <w:numId w:val="9"/>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建筑垃圾、建筑土方、工程渣土的装载高度应低于车厢栏板高度，装载量不得超过车辆额定载重量；</w:t>
      </w:r>
    </w:p>
    <w:p>
      <w:pPr>
        <w:pStyle w:val="20"/>
        <w:numPr>
          <w:ilvl w:val="0"/>
          <w:numId w:val="9"/>
        </w:numPr>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建筑垃圾、建筑土方、工程渣土应按有关部门规定的时间、线路、倾倒点进行运输、倾倒。</w:t>
      </w:r>
    </w:p>
    <w:p>
      <w:pPr>
        <w:pStyle w:val="20"/>
        <w:adjustRightInd w:val="0"/>
        <w:snapToGrid w:val="0"/>
        <w:spacing w:after="0" w:line="360" w:lineRule="auto"/>
        <w:ind w:left="0" w:leftChars="0" w:firstLine="480"/>
        <w:rPr>
          <w:color w:val="000000" w:themeColor="text1"/>
          <w14:textFill>
            <w14:solidFill>
              <w14:schemeClr w14:val="tx1"/>
            </w14:solidFill>
          </w14:textFill>
        </w:rPr>
      </w:pPr>
      <w:r>
        <w:rPr>
          <w:color w:val="000000" w:themeColor="text1"/>
          <w:szCs w:val="22"/>
          <w14:textFill>
            <w14:solidFill>
              <w14:schemeClr w14:val="tx1"/>
            </w14:solidFill>
          </w14:textFill>
        </w:rPr>
        <w:t>建筑施工各责任主体必须做好特殊天气条件下的施工扬尘应急处理工作。根据当地政府发布严重污染等恶劣天气等级预警响应，及时落实各类工程的应急响应措施，确保建筑施工的扬尘防治应急响应全部执行到位</w:t>
      </w:r>
    </w:p>
    <w:p>
      <w:pPr>
        <w:pStyle w:val="20"/>
        <w:adjustRightInd w:val="0"/>
        <w:snapToGrid w:val="0"/>
        <w:spacing w:after="0" w:line="360" w:lineRule="auto"/>
        <w:ind w:left="0" w:leftChars="0" w:firstLine="480"/>
        <w:rPr>
          <w:color w:val="000000" w:themeColor="text1"/>
          <w:szCs w:val="22"/>
          <w14:textFill>
            <w14:solidFill>
              <w14:schemeClr w14:val="tx1"/>
            </w14:solidFill>
          </w14:textFill>
        </w:rPr>
      </w:pPr>
      <w:r>
        <w:rPr>
          <w:color w:val="000000" w:themeColor="text1"/>
          <w:szCs w:val="22"/>
          <w14:textFill>
            <w14:solidFill>
              <w14:schemeClr w14:val="tx1"/>
            </w14:solidFill>
          </w14:textFill>
        </w:rPr>
        <w:t>在采取相应的大气污染防治措施后，本项目施工期废气对周围环境影响较小。上述措施主要是围挡和洒水，围挡起直接阻挡扬尘飞扬的作用；洒水可降低施工扬尘的起尘量。这些防尘措施均是常用的，也是有效的。根据资料分析，洒水对控制施工扬尘很有效，特别是对施工近场（30m以内）降尘效果达60%以上，同时扬尘的影响范围也减少70%左右，严格按照上述措施治理后，拟建项目施工期扬尘污染可以减小到最低，措施可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施工期水污染防治措施</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为减缓项目施工期对周边水体的不利影响，建设单位和施工单位采取以下防范措施：</w:t>
      </w:r>
    </w:p>
    <w:p>
      <w:pPr>
        <w:pStyle w:val="37"/>
        <w:widowControl w:val="0"/>
        <w:numPr>
          <w:ilvl w:val="0"/>
          <w:numId w:val="10"/>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项目物料临时堆场的选址须避开周边雨水汇集区，堆场周围应该做好导流沟，将雨水引入沉淀池沉淀处理；施工单位应向气象部门多了解天气情况，在雨水降临之前，做好施工场地内堆放的建筑材料的防护措施，进行必要的遮盖，避免被雨水直接冲刷。</w:t>
      </w:r>
    </w:p>
    <w:p>
      <w:pPr>
        <w:pStyle w:val="37"/>
        <w:widowControl w:val="0"/>
        <w:numPr>
          <w:ilvl w:val="0"/>
          <w:numId w:val="10"/>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含有害物质的建材堆放点应设篷盖措施，暴雨时设土工布围栏，防止被雨水冲刷进入水体。施工结束后，各施工场地的废油、废石灰、废水泥、施工垃圾等应及时清理，严禁抛入水体。</w:t>
      </w:r>
    </w:p>
    <w:p>
      <w:pPr>
        <w:pStyle w:val="37"/>
        <w:widowControl w:val="0"/>
        <w:numPr>
          <w:ilvl w:val="0"/>
          <w:numId w:val="10"/>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施工机械定点冲洗，并在冲洗场地内设置集水沟和有效的隔油池，将机械冲洗等含油废水进行收集、除油处理后回用。</w:t>
      </w:r>
    </w:p>
    <w:p>
      <w:pPr>
        <w:pStyle w:val="37"/>
        <w:widowControl w:val="0"/>
        <w:numPr>
          <w:ilvl w:val="0"/>
          <w:numId w:val="10"/>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加强施工管理，杜绝施工机械的跑冒滴漏，避免流入地表水环境造成油污染。</w:t>
      </w:r>
    </w:p>
    <w:p>
      <w:pPr>
        <w:pStyle w:val="37"/>
        <w:widowControl w:val="0"/>
        <w:numPr>
          <w:ilvl w:val="0"/>
          <w:numId w:val="10"/>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有关施工现场水环境污染防治的其它措施按照《建设工程施工现场环境保护工作基本标准》执行。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施工期噪声污染防治措施</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为了尽量减小本项目建设施工排放噪声对周围环境可能造成的影响，建设单位和工程施工单位应采取一系列切实可行的措施来防治噪声污染：</w:t>
      </w:r>
    </w:p>
    <w:p>
      <w:pPr>
        <w:pStyle w:val="37"/>
        <w:widowControl w:val="0"/>
        <w:numPr>
          <w:ilvl w:val="0"/>
          <w:numId w:val="11"/>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选用低噪声机械设备或带隔声、消声的设备，加强对施工设备的维修和保养。</w:t>
      </w:r>
    </w:p>
    <w:p>
      <w:pPr>
        <w:pStyle w:val="37"/>
        <w:widowControl w:val="0"/>
        <w:numPr>
          <w:ilvl w:val="0"/>
          <w:numId w:val="11"/>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合理安排施工时间和施工场所，高噪声作业区应远离对声环境质量要求较高的敏感对象，严格按规范操作，场内施工的重声区，需设围屏作业，以阻挡噪声外传，减轻污染。在施工边界设置临时的2~3m高围墙，必要时在靠近敏感点一侧设置吸声屏障，减轻噪声影响。</w:t>
      </w:r>
    </w:p>
    <w:p>
      <w:pPr>
        <w:pStyle w:val="37"/>
        <w:widowControl w:val="0"/>
        <w:numPr>
          <w:ilvl w:val="0"/>
          <w:numId w:val="11"/>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合理疏导进入施工区的车辆，减少汽车会车时的鸣笛噪声。</w:t>
      </w:r>
    </w:p>
    <w:p>
      <w:pPr>
        <w:pStyle w:val="37"/>
        <w:widowControl w:val="0"/>
        <w:numPr>
          <w:ilvl w:val="0"/>
          <w:numId w:val="11"/>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优化施工方案，合理安排工期，将建筑施工环境噪声危害降到最低程度，施工单位在工程承包时，应把施工噪声控制列入承包内容，并确保各项控制措施的实施。对违反国家规定造成严重后果的，施工单位要承担相应责任。</w:t>
      </w:r>
    </w:p>
    <w:p>
      <w:pPr>
        <w:widowControl/>
        <w:adjustRightInd w:val="0"/>
        <w:snapToGrid w:val="0"/>
        <w:spacing w:line="360" w:lineRule="auto"/>
        <w:jc w:val="left"/>
        <w:rPr>
          <w:color w:val="000000" w:themeColor="text1"/>
          <w:szCs w:val="22"/>
          <w14:textFill>
            <w14:solidFill>
              <w14:schemeClr w14:val="tx1"/>
            </w14:solidFill>
          </w14:textFill>
        </w:rPr>
      </w:pPr>
      <w:r>
        <w:rPr>
          <w:color w:val="000000" w:themeColor="text1"/>
          <w:szCs w:val="22"/>
          <w14:textFill>
            <w14:solidFill>
              <w14:schemeClr w14:val="tx1"/>
            </w14:solidFill>
          </w14:textFill>
        </w:rPr>
        <w:t>施工单位定期对施工场界噪声进行监测，如发现有超标现象，应采取必要的临时降噪措施，减缓可能对周围敏感点造成的环境影响。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施工固体废物污染防治措施</w:t>
      </w:r>
    </w:p>
    <w:p>
      <w:pPr>
        <w:pStyle w:val="37"/>
        <w:widowControl w:val="0"/>
        <w:adjustRightInd w:val="0"/>
        <w:snapToGrid w:val="0"/>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lang w:val="zh-CN"/>
          <w14:textFill>
            <w14:solidFill>
              <w14:schemeClr w14:val="tx1"/>
            </w14:solidFill>
          </w14:textFill>
        </w:rPr>
        <w:t>为减少施工固体废物对周边环境的影响，建议对于施工过程中产生的固体废物采取以下措施加以管理：</w:t>
      </w:r>
    </w:p>
    <w:p>
      <w:pPr>
        <w:pStyle w:val="37"/>
        <w:widowControl w:val="0"/>
        <w:numPr>
          <w:ilvl w:val="0"/>
          <w:numId w:val="12"/>
        </w:numPr>
        <w:adjustRightInd w:val="0"/>
        <w:snapToGrid w:val="0"/>
        <w:spacing w:before="0" w:beforeAutospacing="0" w:after="0" w:afterAutospacing="0"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kern w:val="2"/>
          <w14:textFill>
            <w14:solidFill>
              <w14:schemeClr w14:val="tx1"/>
            </w14:solidFill>
          </w14:textFill>
        </w:rPr>
        <w:t>施工过程产生的建筑垃圾应委托从事建筑垃圾运输和处置的有资质专业机构送入当地指定的建筑垃圾消纳场进行处置</w:t>
      </w:r>
      <w:r>
        <w:rPr>
          <w:rFonts w:ascii="Times New Roman" w:hAnsi="Times New Roman" w:cs="Times New Roman"/>
          <w:bCs/>
          <w:color w:val="000000" w:themeColor="text1"/>
          <w:kern w:val="2"/>
          <w:lang w:val="zh-CN"/>
          <w14:textFill>
            <w14:solidFill>
              <w14:schemeClr w14:val="tx1"/>
            </w14:solidFill>
          </w14:textFill>
        </w:rPr>
        <w:t>；</w:t>
      </w:r>
    </w:p>
    <w:p>
      <w:pPr>
        <w:pStyle w:val="37"/>
        <w:widowControl w:val="0"/>
        <w:numPr>
          <w:ilvl w:val="0"/>
          <w:numId w:val="12"/>
        </w:numPr>
        <w:adjustRightInd w:val="0"/>
        <w:snapToGrid w:val="0"/>
        <w:spacing w:before="0" w:beforeAutospacing="0" w:after="0" w:afterAutospacing="0" w:line="360" w:lineRule="auto"/>
        <w:jc w:val="both"/>
        <w:rPr>
          <w:rFonts w:ascii="Times New Roman" w:hAnsi="Times New Roman" w:cs="Times New Roman"/>
          <w:bCs/>
          <w:color w:val="000000" w:themeColor="text1"/>
          <w:kern w:val="2"/>
          <w14:textFill>
            <w14:solidFill>
              <w14:schemeClr w14:val="tx1"/>
            </w14:solidFill>
          </w14:textFill>
        </w:rPr>
      </w:pPr>
      <w:r>
        <w:rPr>
          <w:rFonts w:ascii="Times New Roman" w:hAnsi="Times New Roman" w:cs="Times New Roman"/>
          <w:bCs/>
          <w:color w:val="000000" w:themeColor="text1"/>
          <w:kern w:val="2"/>
          <w:lang w:val="zh-CN"/>
          <w14:textFill>
            <w14:solidFill>
              <w14:schemeClr w14:val="tx1"/>
            </w14:solidFill>
          </w14:textFill>
        </w:rPr>
        <w:t>施工人员生活垃圾及时送园区环卫部门统一处理。</w:t>
      </w:r>
    </w:p>
    <w:p>
      <w:pPr>
        <w:pStyle w:val="4"/>
        <w:bidi w:val="0"/>
        <w:rPr>
          <w:color w:val="000000" w:themeColor="text1"/>
          <w14:textFill>
            <w14:solidFill>
              <w14:schemeClr w14:val="tx1"/>
            </w14:solidFill>
          </w14:textFill>
        </w:rPr>
      </w:pPr>
      <w:r>
        <w:rPr>
          <w:bCs/>
          <w:color w:val="000000" w:themeColor="text1"/>
          <w:szCs w:val="24"/>
          <w:lang w:val="zh-CN"/>
          <w14:textFill>
            <w14:solidFill>
              <w14:schemeClr w14:val="tx1"/>
            </w14:solidFill>
          </w14:textFill>
        </w:rPr>
        <w:br w:type="page"/>
      </w:r>
      <w:bookmarkStart w:id="498" w:name="_Toc18401"/>
      <w:r>
        <w:rPr>
          <w:rStyle w:val="171"/>
          <w:b/>
          <w:color w:val="000000" w:themeColor="text1"/>
          <w14:textFill>
            <w14:solidFill>
              <w14:schemeClr w14:val="tx1"/>
            </w14:solidFill>
          </w14:textFill>
        </w:rPr>
        <w:t>运营期污染防治措施</w:t>
      </w:r>
      <w:bookmarkEnd w:id="494"/>
      <w:bookmarkEnd w:id="495"/>
      <w:bookmarkEnd w:id="496"/>
      <w:bookmarkEnd w:id="497"/>
      <w:bookmarkEnd w:id="498"/>
    </w:p>
    <w:p>
      <w:pPr>
        <w:pStyle w:val="5"/>
        <w:rPr>
          <w:color w:val="000000" w:themeColor="text1"/>
          <w14:textFill>
            <w14:solidFill>
              <w14:schemeClr w14:val="tx1"/>
            </w14:solidFill>
          </w14:textFill>
        </w:rPr>
      </w:pPr>
      <w:bookmarkStart w:id="499" w:name="_Toc532497684"/>
      <w:r>
        <w:rPr>
          <w:color w:val="000000" w:themeColor="text1"/>
          <w14:textFill>
            <w14:solidFill>
              <w14:schemeClr w14:val="tx1"/>
            </w14:solidFill>
          </w14:textFill>
        </w:rPr>
        <w:t>大气污染防治措施</w:t>
      </w:r>
      <w:bookmarkEnd w:id="499"/>
    </w:p>
    <w:p>
      <w:pPr>
        <w:pStyle w:val="6"/>
        <w:rPr>
          <w:color w:val="000000" w:themeColor="text1"/>
          <w14:textFill>
            <w14:solidFill>
              <w14:schemeClr w14:val="tx1"/>
            </w14:solidFill>
          </w14:textFill>
        </w:rPr>
      </w:pPr>
      <w:r>
        <w:rPr>
          <w:color w:val="000000" w:themeColor="text1"/>
          <w14:textFill>
            <w14:solidFill>
              <w14:schemeClr w14:val="tx1"/>
            </w14:solidFill>
          </w14:textFill>
        </w:rPr>
        <w:t>不凝气依托火炬燃烧</w:t>
      </w:r>
    </w:p>
    <w:p>
      <w:pPr>
        <w:numPr>
          <w:ilvl w:val="0"/>
          <w:numId w:val="13"/>
        </w:num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工艺原理</w:t>
      </w:r>
    </w:p>
    <w:p>
      <w:pPr>
        <w:pStyle w:val="20"/>
        <w:spacing w:after="0"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气柜装置由气柜和LG型螺杆压缩机组两部分组成。</w:t>
      </w:r>
    </w:p>
    <w:p>
      <w:pPr>
        <w:pStyle w:val="4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炼油部气柜分为水封式气柜，由水槽、塔节、钟罩三部分组成，设计容量为5000Nm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主要附件有避雷针、液位计、导轨、导轮、平衡配重块等，操作压力≦4kPa，小于火炬水封罐的水封压力（6kPa），在正常情况下，放空瓦斯由于受到火炬水封罐水封的封堵而进入水气柜存储，当生产不稳定或开停工期间气体放空量可能较大，气柜容量及回收能力满足不了要求时，放空气体可通过水封罐排至火柜焚烧。</w:t>
      </w:r>
    </w:p>
    <w:p>
      <w:pPr>
        <w:pStyle w:val="4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LG低瓦螺杆压缩机组为单级撬装式喷液螺杆压缩机组（排气量600Nm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/h，排气压力为0.6MPa），它是用于将气柜来的低瓦斯（≦4kPa）经压缩机压缩升压，再经换热器冷却，分液罐分液后送到炼油部催化装置回收或直接送往高瓦斯外管网。</w:t>
      </w:r>
    </w:p>
    <w:p>
      <w:pPr>
        <w:pStyle w:val="4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螺杆压缩机属于回转型容积式压缩机，它是依靠一对阴、阳转子在制有一定形状的进气孔和排气孔的密闭机壳内，作相反方向的旋转运动，使齿槽间的封闭容积逐步缩小，从而将低瓦斯升压为高压瓦斯。</w:t>
      </w:r>
    </w:p>
    <w:p>
      <w:pPr>
        <w:numPr>
          <w:ilvl w:val="0"/>
          <w:numId w:val="13"/>
        </w:num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现有火炬情况</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炼油部现有火炬系统建于2000年，在装置开、停工或生产不正常时，排出的各种工艺气，经现有火炬系统管网送气柜回收轻烃，回收不完时引入火炬焚烧。处理量5000Nm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/min，火炬头直径DN600，高度120m。其处理工艺：在装置开、停工或生产不正常时，排出的各种工艺气，经收集进入火炬系统的600m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气柜（统称火炬气），火炬气经水封罐、气水分离罐进入压缩机，气体经过一级压缩后进入级间冷却器，将水冷凝脱除；未被冷凝的气体进入压缩机经二级压缩后，再经盐水冷却器冷凝将气体中可能冷凝的低分子烃分离出来，压入产品罐；未被冷凝的气体进入油吸收塔，不凝气体从从塔顶排出，而烃类气体被油吸收后，进入解析塔进行解吸、冷凝后回收，进入产品罐。当进气量大于气柜容量或是装置冷凝系统出现故障时，自动点火。本项目不凝气可依托炼油部现有装置进行处理。</w:t>
      </w:r>
    </w:p>
    <w:p>
      <w:pPr>
        <w:pStyle w:val="6"/>
        <w:rPr>
          <w:color w:val="000000" w:themeColor="text1"/>
          <w14:textFill>
            <w14:solidFill>
              <w14:schemeClr w14:val="tx1"/>
            </w14:solidFill>
          </w14:textFill>
        </w:rPr>
      </w:pPr>
      <w:r>
        <w:rPr>
          <w:color w:val="000000" w:themeColor="text1"/>
          <w14:textFill>
            <w14:solidFill>
              <w14:schemeClr w14:val="tx1"/>
            </w14:solidFill>
          </w14:textFill>
        </w:rPr>
        <w:t>无组织排放控制措施</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石油炼制工业污染物排放标准</w:t>
      </w:r>
      <w:r>
        <w:rPr>
          <w:color w:val="000000" w:themeColor="text1"/>
          <w14:textFill>
            <w14:solidFill>
              <w14:schemeClr w14:val="tx1"/>
            </w14:solidFill>
          </w14:textFill>
        </w:rPr>
        <w:t>》（GB</w:t>
      </w:r>
      <w:r>
        <w:rPr>
          <w:rFonts w:hint="eastAsia"/>
          <w:color w:val="000000" w:themeColor="text1"/>
          <w:lang w:val="en-US" w:eastAsia="zh-CN"/>
          <w14:textFill>
            <w14:solidFill>
              <w14:schemeClr w14:val="tx1"/>
            </w14:solidFill>
          </w14:textFill>
        </w:rPr>
        <w:t>31570</w:t>
      </w:r>
      <w:r>
        <w:rPr>
          <w:color w:val="000000" w:themeColor="text1"/>
          <w14:textFill>
            <w14:solidFill>
              <w14:schemeClr w14:val="tx1"/>
            </w14:solidFill>
          </w14:textFill>
        </w:rPr>
        <w:t>-2015）要求，本评价对减少项目生产装置区和储罐区废气无组织排放控制提出如下措施：</w:t>
      </w:r>
    </w:p>
    <w:p>
      <w:pPr>
        <w:pStyle w:val="17"/>
        <w:adjustRightInd w:val="0"/>
        <w:snapToGrid w:val="0"/>
        <w:spacing w:after="0" w:line="360" w:lineRule="auto"/>
        <w:ind w:firstLine="480" w:firstLineChars="20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①</w:t>
      </w:r>
      <w:r>
        <w:rPr>
          <w:rFonts w:hint="eastAsia"/>
          <w:color w:val="000000" w:themeColor="text1"/>
          <w:lang w:val="en-US" w:eastAsia="zh-CN"/>
          <w14:textFill>
            <w14:solidFill>
              <w14:schemeClr w14:val="tx1"/>
            </w14:solidFill>
          </w14:textFill>
        </w:rPr>
        <w:t>挥发性有机物流经以下设备与管线组件时，应进行泄漏检测与控制：a）泵、b）压缩机、c）阀门、d）开口阀或开口管线、e）法兰及其他连接件、f）泄压设备、g）取样连接系统、h）其他密封设备。</w:t>
      </w:r>
    </w:p>
    <w:p>
      <w:pPr>
        <w:pStyle w:val="17"/>
        <w:adjustRightInd w:val="0"/>
        <w:snapToGrid w:val="0"/>
        <w:spacing w:after="0" w:line="360" w:lineRule="auto"/>
        <w:ind w:firstLine="480" w:firstLineChars="20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②</w:t>
      </w:r>
      <w:r>
        <w:rPr>
          <w:rFonts w:hint="eastAsia"/>
          <w:color w:val="000000" w:themeColor="text1"/>
          <w:lang w:val="en-US" w:eastAsia="zh-CN"/>
          <w14:textFill>
            <w14:solidFill>
              <w14:schemeClr w14:val="tx1"/>
            </w14:solidFill>
          </w14:textFill>
        </w:rPr>
        <w:t>根据设备与管线组件的类型，采用不同的泄露检测周期：a）泵、压缩机、阀门、开口阀或开口管线、气体/蒸气泄压设备、取样连接系统每3个月检测一次。b）法兰及其他连接件，其它密封设备每6个月检测一次。c）对于挥发性有机物流经的初次开工开始运转的设备和管线组件，应在开工后30日内对其进行第一次检测。d）挥发性有机液体流经的设备和管线组件每周应进行目视观察，检查其密封处是否出现滴液迹象。</w:t>
      </w:r>
    </w:p>
    <w:p>
      <w:pPr>
        <w:pStyle w:val="17"/>
        <w:adjustRightInd w:val="0"/>
        <w:snapToGrid w:val="0"/>
        <w:spacing w:after="0" w:line="360" w:lineRule="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③</w:t>
      </w:r>
      <w:r>
        <w:rPr>
          <w:rFonts w:hint="eastAsia"/>
          <w:color w:val="000000" w:themeColor="text1"/>
          <w:lang w:val="en-US" w:eastAsia="zh-CN"/>
          <w14:textFill>
            <w14:solidFill>
              <w14:schemeClr w14:val="tx1"/>
            </w14:solidFill>
          </w14:textFill>
        </w:rPr>
        <w:t>当检测到泄漏时，在可行条件下应尽快维修，一般不晚于发现泄漏后15日，首次（尝试）维修不应晚于检测到泄漏后5日。首次尝试维修应当包括（但不限于）以下描述的相关措施：拧紧密封螺母或压盖、在设计压力及温度下密封冲洗。若检测到泄漏后，在不关闭工艺单元的条件下，在15日内进行维修技术上不可行，则可以延迟维修，但不应晚于最近一个停工期。</w:t>
      </w:r>
    </w:p>
    <w:p>
      <w:pPr>
        <w:pStyle w:val="17"/>
        <w:adjustRightInd w:val="0"/>
        <w:snapToGrid w:val="0"/>
        <w:spacing w:after="0" w:line="360" w:lineRule="auto"/>
        <w:ind w:firstLine="480" w:firstLineChars="20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④</w:t>
      </w:r>
      <w:r>
        <w:rPr>
          <w:rFonts w:hint="eastAsia"/>
          <w:color w:val="000000" w:themeColor="text1"/>
          <w:lang w:val="en-US" w:eastAsia="zh-CN"/>
          <w14:textFill>
            <w14:solidFill>
              <w14:schemeClr w14:val="tx1"/>
            </w14:solidFill>
          </w14:textFill>
        </w:rPr>
        <w:t>酸性气回收装置的加工能力应保证在加工最大硫含量原油及加工装置最大负荷情况下，能完全处理产生的酸性气。</w:t>
      </w:r>
    </w:p>
    <w:p>
      <w:pPr>
        <w:pStyle w:val="17"/>
        <w:adjustRightInd w:val="0"/>
        <w:snapToGrid w:val="0"/>
        <w:spacing w:after="0"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⑤</w:t>
      </w:r>
      <w:r>
        <w:rPr>
          <w:rFonts w:hint="eastAsia" w:ascii="宋体" w:hAnsi="宋体" w:eastAsia="宋体" w:cs="宋体"/>
          <w:color w:val="000000" w:themeColor="text1"/>
          <w:lang w:val="en-US" w:eastAsia="zh-CN"/>
          <w14:textFill>
            <w14:solidFill>
              <w14:schemeClr w14:val="tx1"/>
            </w14:solidFill>
          </w14:textFill>
        </w:rPr>
        <w:t>关于有机废气收集和传输与处理：用于含挥发性有机物容器真空保持的真空泵排气；非正常工况下，生产设备通过安全阀排出的含挥发性有机物的废气；有机废气收集、传输设施的设置和操作条件应保证被收集的有机气体不通过收集、传输设施的开口向大气泄漏。</w:t>
      </w:r>
    </w:p>
    <w:p>
      <w:pPr>
        <w:pStyle w:val="17"/>
        <w:adjustRightInd w:val="0"/>
        <w:snapToGrid w:val="0"/>
        <w:spacing w:after="0"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⑥</w:t>
      </w:r>
      <w:r>
        <w:rPr>
          <w:rFonts w:hint="eastAsia" w:eastAsia="宋体"/>
          <w:color w:val="000000" w:themeColor="text1"/>
          <w:lang w:val="en-US" w:eastAsia="zh-CN"/>
          <w14:textFill>
            <w14:solidFill>
              <w14:schemeClr w14:val="tx1"/>
            </w14:solidFill>
          </w14:textFill>
        </w:rPr>
        <w:t>采取措施回收排入火炬系统的气体和液体；在任何时候，挥发性有机物和恶臭物质进入火炬能应点燃并充分燃烧；应连续监测、记录引燃设施和火炬的开工状态（火炬气流量、火炬头温度、火种气流量、火种温度等），并保存记录1年以上。</w:t>
      </w:r>
    </w:p>
    <w:p>
      <w:pPr>
        <w:pStyle w:val="17"/>
        <w:adjustRightInd w:val="0"/>
        <w:snapToGrid w:val="0"/>
        <w:spacing w:after="0"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⑦</w:t>
      </w:r>
      <w:r>
        <w:rPr>
          <w:rFonts w:hint="eastAsia" w:eastAsia="宋体"/>
          <w:color w:val="000000" w:themeColor="text1"/>
          <w:lang w:val="en-US" w:eastAsia="zh-CN"/>
          <w14:textFill>
            <w14:solidFill>
              <w14:schemeClr w14:val="tx1"/>
            </w14:solidFill>
          </w14:textFill>
        </w:rPr>
        <w:t>用于输送、储存、处理含挥发性有机物、恶臭物质的生产设施，以及水、大气、固体废物污染控制设施在检维修时清扫气应接入有机废气回收或处理装置，其大气污染物排放应符合表3、表4的规定。</w:t>
      </w:r>
    </w:p>
    <w:p>
      <w:pPr>
        <w:pStyle w:val="17"/>
        <w:adjustRightInd w:val="0"/>
        <w:snapToGrid w:val="0"/>
        <w:spacing w:after="0"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⑧</w:t>
      </w:r>
      <w:r>
        <w:rPr>
          <w:rFonts w:hint="eastAsia" w:eastAsia="宋体"/>
          <w:color w:val="000000" w:themeColor="text1"/>
          <w:lang w:val="en-US" w:eastAsia="zh-CN"/>
          <w14:textFill>
            <w14:solidFill>
              <w14:schemeClr w14:val="tx1"/>
            </w14:solidFill>
          </w14:textFill>
        </w:rPr>
        <w:t>产生大气污染物的生产工艺和装置需设立局部或整体气体收集系统和净化处理装置，达标排放。排气筒高度应按照环境影响评价要求确定，且至少不低于15m。</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通过以上措施控制后，项目有机废气无组织排放量大大减少，污染防治措施可行。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挥发性有机废气治理措施可行性分析</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根据《挥发性有机无组织排放控制标准》（GB37822-2019）中要求，本项目对应要求符合性分析如下所示：</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（1）根据“盛装VOCs物料的容器或包装应存放于室内，或存放与设置有雨棚、遮阳和防渗设施的专用场地”，项目罐区及装置均按照重点防渗区设计，满足要求；</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（2）根据“液态VOCs物料应采用密闭管道输送方式或采用高位槽（罐）、桶、泵等给料方式密闭投加”，项目有机物料均采用密闭管道运输，通过泵打入反应釜中，满足要求；</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（3）根据相关物料投加要求，液态VOCs物料应采用密闭管道输送方式密闭投加，密闭投加的，满足其相关要求。</w:t>
      </w:r>
    </w:p>
    <w:p>
      <w:pPr>
        <w:pStyle w:val="20"/>
        <w:spacing w:after="0" w:line="360" w:lineRule="auto"/>
        <w:ind w:left="0" w:leftChars="0" w:firstLine="480"/>
        <w:rPr>
          <w:color w:val="000000" w:themeColor="text1"/>
          <w14:textFill>
            <w14:solidFill>
              <w14:schemeClr w14:val="tx1"/>
            </w14:solidFill>
          </w14:textFill>
        </w:rPr>
      </w:pPr>
      <w:r>
        <w:rPr>
          <w:color w:val="000000" w:themeColor="text1"/>
          <w14:textFill>
            <w14:solidFill>
              <w14:schemeClr w14:val="tx1"/>
            </w14:solidFill>
          </w14:textFill>
        </w:rPr>
        <w:t>（4）根据物料卸料过程要求，液态VOCs物料应采用密闭管道输送方式密闭卸料，满足其相关要求。</w:t>
      </w:r>
    </w:p>
    <w:p>
      <w:pPr>
        <w:pStyle w:val="20"/>
        <w:spacing w:after="0" w:line="360" w:lineRule="auto"/>
        <w:ind w:left="0" w:leftChars="0" w:firstLine="480"/>
        <w:rPr>
          <w:color w:val="000000" w:themeColor="text1"/>
          <w14:textFill>
            <w14:solidFill>
              <w14:schemeClr w14:val="tx1"/>
            </w14:solidFill>
          </w14:textFill>
        </w:rPr>
      </w:pPr>
      <w:r>
        <w:rPr>
          <w:color w:val="000000" w:themeColor="text1"/>
          <w14:textFill>
            <w14:solidFill>
              <w14:schemeClr w14:val="tx1"/>
            </w14:solidFill>
          </w14:textFill>
        </w:rPr>
        <w:t>（5）根据“反应设备进料置换废气、挥发废气、反应尾气等应排至VOCs废气收集处理系统”，本项目分馏塔产生的不凝气通过公司火炬燃烧，不外排。</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综上所述，项目挥发性有机物排放满足《挥发性有机物无组织排放控制标准》（GB37822-2019）中</w:t>
      </w:r>
      <w:r>
        <w:rPr>
          <w:rFonts w:hint="default" w:ascii="Times New Roman" w:hAnsi="Times New Roman" w:cs="Times New Roman"/>
          <w:color w:val="000000" w:themeColor="text1"/>
          <w:lang w:eastAsia="zh-CN"/>
          <w14:textFill>
            <w14:solidFill>
              <w14:schemeClr w14:val="tx1"/>
            </w14:solidFill>
          </w14:textFill>
        </w:rPr>
        <w:t>的</w:t>
      </w:r>
      <w:r>
        <w:rPr>
          <w:rFonts w:hint="default" w:ascii="Times New Roman" w:hAnsi="Times New Roman" w:cs="Times New Roman"/>
          <w:color w:val="000000" w:themeColor="text1"/>
          <w14:textFill>
            <w14:solidFill>
              <w14:schemeClr w14:val="tx1"/>
            </w14:solidFill>
          </w14:textFill>
        </w:rPr>
        <w:t>要求。</w:t>
      </w:r>
    </w:p>
    <w:p>
      <w:pPr>
        <w:pStyle w:val="4"/>
        <w:rPr>
          <w:color w:val="000000" w:themeColor="text1"/>
          <w14:textFill>
            <w14:solidFill>
              <w14:schemeClr w14:val="tx1"/>
            </w14:solidFill>
          </w14:textFill>
        </w:rPr>
      </w:pPr>
      <w:bookmarkStart w:id="500" w:name="_Toc23244"/>
      <w:r>
        <w:rPr>
          <w:color w:val="000000" w:themeColor="text1"/>
          <w14:textFill>
            <w14:solidFill>
              <w14:schemeClr w14:val="tx1"/>
            </w14:solidFill>
          </w14:textFill>
        </w:rPr>
        <w:t>废水污染治理措施可行性分析</w:t>
      </w:r>
      <w:bookmarkEnd w:id="500"/>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本项目污水防治是依托巴陵石化分公司现有的</w:t>
      </w:r>
      <w:r>
        <w:rPr>
          <w:rFonts w:hint="eastAsia"/>
          <w:color w:val="000000" w:themeColor="text1"/>
          <w14:textFill>
            <w14:solidFill>
              <w14:schemeClr w14:val="tx1"/>
            </w14:solidFill>
          </w14:textFill>
        </w:rPr>
        <w:t>巴陵石化水务部云溪生化装置</w:t>
      </w:r>
      <w:r>
        <w:rPr>
          <w:rFonts w:hint="eastAsia"/>
          <w:color w:val="000000" w:themeColor="text1"/>
          <w:lang w:eastAsia="zh-CN"/>
          <w14:textFill>
            <w14:solidFill>
              <w14:schemeClr w14:val="tx1"/>
            </w14:solidFill>
          </w14:textFill>
        </w:rPr>
        <w:t>处理</w:t>
      </w:r>
      <w:r>
        <w:rPr>
          <w:color w:val="000000" w:themeColor="text1"/>
          <w14:textFill>
            <w14:solidFill>
              <w14:schemeClr w14:val="tx1"/>
            </w14:solidFill>
          </w14:textFill>
        </w:rPr>
        <w:t>。按照</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的处理要求，对产生的污水通过“雨污分流、清污分流”等措施实行分类排放，确保污水能够得到有效的处理。</w:t>
      </w:r>
    </w:p>
    <w:p>
      <w:pPr>
        <w:pStyle w:val="5"/>
        <w:rPr>
          <w:color w:val="000000" w:themeColor="text1"/>
          <w14:textFill>
            <w14:solidFill>
              <w14:schemeClr w14:val="tx1"/>
            </w14:solidFill>
          </w14:textFill>
        </w:rPr>
      </w:pPr>
      <w:r>
        <w:rPr>
          <w:color w:val="000000" w:themeColor="text1"/>
          <w14:textFill>
            <w14:solidFill>
              <w14:schemeClr w14:val="tx1"/>
            </w14:solidFill>
          </w14:textFill>
        </w:rPr>
        <w:t>污水收集排放系统</w:t>
      </w:r>
    </w:p>
    <w:p>
      <w:pPr>
        <w:pStyle w:val="6"/>
        <w:numPr>
          <w:ilvl w:val="0"/>
          <w:numId w:val="0"/>
        </w:numPr>
        <w:ind w:left="1431" w:hanging="864"/>
        <w:rPr>
          <w:color w:val="000000" w:themeColor="text1"/>
          <w14:textFill>
            <w14:solidFill>
              <w14:schemeClr w14:val="tx1"/>
            </w14:solidFill>
          </w14:textFill>
        </w:rPr>
      </w:pPr>
      <w:r>
        <w:rPr>
          <w:color w:val="000000" w:themeColor="text1"/>
          <w14:textFill>
            <w14:solidFill>
              <w14:schemeClr w14:val="tx1"/>
            </w14:solidFill>
          </w14:textFill>
        </w:rPr>
        <w:t>项目污水收集排放系统分析情况如下：</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（1）项目污水收集排放系统</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本项目地面冲洗废水经炼油部污水预处理装置隔油处理后，再送</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处理，初期雨水经炼油部污水预处理装置隔油处理后，再送</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处理。机泵冷却产生的含油污水经炼油部污水预处理装置处理后，再送</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处理。粗白油分馏塔顶回流罐产生的含硫污水经送酸性水气提装置处理后部分回用常压装置，其余排入炼油部污水预处理装置处理后，再送</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（2）初期雨水收集排放系统</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项目装置区周边设置排水沟，并设雨水切换阀，降雨前30分钟的初期雨水通过污水阀门排入厂区雨水沟送至污水处理厂处理，后期的清洁雨水通过关闭污水阀，打开明沟清水阀排入明沟至松阳湖。</w:t>
      </w:r>
    </w:p>
    <w:p>
      <w:pPr>
        <w:pStyle w:val="5"/>
        <w:rPr>
          <w:color w:val="000000" w:themeColor="text1"/>
          <w14:textFill>
            <w14:solidFill>
              <w14:schemeClr w14:val="tx1"/>
            </w14:solidFill>
          </w14:textFill>
        </w:rPr>
      </w:pPr>
      <w:r>
        <w:rPr>
          <w:color w:val="000000" w:themeColor="text1"/>
          <w14:textFill>
            <w14:solidFill>
              <w14:schemeClr w14:val="tx1"/>
            </w14:solidFill>
          </w14:textFill>
        </w:rPr>
        <w:t>初期雨水和事故废水防治措施</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初期雨水收集的工作流程：</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正常状态时，装置区初期雨水（前30分钟）经排水沟收集后，通过污水阀门切换自流进入厂区雨水沟，送至</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进行处理；后期雨水通过清水阀门切换进入雨水沟，最终排入松阳湖。</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事故池利用现有收集池管网与巴陵石化全厂事故收集池连通，全厂事故收集池容积20000m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，当项目事故收集池容积不能满足要求时，可考虑通过管道将事故废水输送至全厂事故收集池。</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事故时，首先将排水沟的清水阀门关闭，进入装置区周围排水沟的事故水均通过污水阀门切换至事故收集池进行储存。待事故完毕，对收集池水进行检测。根据检测结果，收集池的水送至</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进行处理；或收集池的水再用泵提升送至雨水沟内排至松阳湖。</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废水采用三级防控，装置区采用应急污水收集环沟、事故收集池、污水处理厂。</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对本工程废水的可接纳性分析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本项目产生的生产污水和初期雨水均依托</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进行处理，因此，需对项目产生的污水处理可行性进行分析。本项目生产废水和初期雨水均排入厂区排污管道进入后纳入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统一处理。本项目含硫废水送原有酸性水汽提装置处理后部分回用常压装置，其余排入烯烃事业部（炼油事业部）污水预处理装置处理后，再送</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进行处理后，外排长江。含油废水送炼油事业部污水预处理装置处理后，再送</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进行处理后，外排长江。</w:t>
      </w:r>
    </w:p>
    <w:p>
      <w:pPr>
        <w:pStyle w:val="5"/>
        <w:rPr>
          <w:color w:val="000000" w:themeColor="text1"/>
          <w:szCs w:val="21"/>
          <w14:textFill>
            <w14:solidFill>
              <w14:schemeClr w14:val="tx1"/>
            </w14:solidFill>
          </w14:textFill>
        </w:rPr>
      </w:pPr>
      <w:r>
        <w:rPr>
          <w:color w:val="000000" w:themeColor="text1"/>
          <w14:textFill>
            <w14:solidFill>
              <w14:schemeClr w14:val="tx1"/>
            </w14:solidFill>
          </w14:textFill>
        </w:rPr>
        <w:t>炼油事业部预处理站工艺流程图</w:t>
      </w:r>
    </w:p>
    <w:p>
      <w:pPr>
        <w:rPr>
          <w:color w:val="000000" w:themeColor="text1"/>
          <w14:textFill>
            <w14:solidFill>
              <w14:schemeClr w14:val="tx1"/>
            </w14:solidFill>
          </w14:textFill>
        </w:rPr>
      </w:pPr>
      <w:r>
        <w:rPr>
          <w:color w:val="000000" w:themeColor="text1"/>
          <w14:textFill>
            <w14:solidFill>
              <w14:schemeClr w14:val="tx1"/>
            </w14:solidFill>
          </w14:textFill>
        </w:rPr>
        <w:object>
          <v:shape id="_x0000_i1036" o:spt="75" type="#_x0000_t75" style="height:58.2pt;width:447.45pt;" o:ole="t" filled="f" o:preferrelative="t" stroked="f" coordsize="21600,21600">
            <v:path/>
            <v:fill on="f" focussize="0,0"/>
            <v:stroke on="f"/>
            <v:imagedata r:id="rId48" o:title=""/>
            <o:lock v:ext="edit" aspectratio="t"/>
            <w10:wrap type="none"/>
            <w10:anchorlock/>
          </v:shape>
          <o:OLEObject Type="Embed" ProgID="Visio.Drawing.11" ShapeID="_x0000_i1036" DrawAspect="Content" ObjectID="_1468075736" r:id="rId47">
            <o:LockedField>false</o:LockedField>
          </o:OLEObject>
        </w:object>
      </w:r>
    </w:p>
    <w:p>
      <w:pPr>
        <w:pStyle w:val="20"/>
        <w:keepNext/>
        <w:ind w:left="480" w:firstLine="482"/>
        <w:jc w:val="center"/>
        <w:rPr>
          <w:b/>
          <w:color w:val="000000" w:themeColor="text1"/>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炼油部污水预处理场工艺流程图</w:t>
      </w:r>
    </w:p>
    <w:p>
      <w:pPr>
        <w:pStyle w:val="20"/>
        <w:keepNext/>
        <w:numPr>
          <w:ilvl w:val="0"/>
          <w:numId w:val="14"/>
        </w:numPr>
        <w:ind w:left="480" w:firstLine="480"/>
        <w:rPr>
          <w:bCs/>
          <w:color w:val="000000" w:themeColor="text1"/>
          <w14:textFill>
            <w14:solidFill>
              <w14:schemeClr w14:val="tx1"/>
            </w14:solidFill>
          </w14:textFill>
        </w:rPr>
      </w:pPr>
      <w:r>
        <w:rPr>
          <w:bCs/>
          <w:color w:val="000000" w:themeColor="text1"/>
          <w14:textFill>
            <w14:solidFill>
              <w14:schemeClr w14:val="tx1"/>
            </w14:solidFill>
          </w14:textFill>
        </w:rPr>
        <w:t>工艺原理</w:t>
      </w:r>
    </w:p>
    <w:p>
      <w:pPr>
        <w:pStyle w:val="40"/>
        <w:spacing w:after="0" w:line="360" w:lineRule="auto"/>
        <w:ind w:firstLine="480" w:firstLineChars="200"/>
        <w:rPr>
          <w:color w:val="000000" w:themeColor="text1"/>
          <w14:textFill>
            <w14:solidFill>
              <w14:schemeClr w14:val="tx1"/>
            </w14:solidFill>
          </w14:textFill>
        </w:rPr>
      </w:pPr>
      <w:r>
        <w:rPr>
          <w:bCs/>
          <w:color w:val="000000" w:themeColor="text1"/>
          <w14:textFill>
            <w14:solidFill>
              <w14:schemeClr w14:val="tx1"/>
            </w14:solidFill>
          </w14:textFill>
        </w:rPr>
        <w:t>炼油部预处理厂主要对进厂污水进行除油处理，除油后的污水送至</w:t>
      </w:r>
      <w:r>
        <w:rPr>
          <w:rFonts w:hint="eastAsia"/>
          <w:color w:val="000000" w:themeColor="text1"/>
          <w14:textFill>
            <w14:solidFill>
              <w14:schemeClr w14:val="tx1"/>
            </w14:solidFill>
          </w14:textFill>
        </w:rPr>
        <w:t>巴陵石化水务部云溪生化装置</w:t>
      </w:r>
      <w:r>
        <w:rPr>
          <w:bCs/>
          <w:color w:val="000000" w:themeColor="text1"/>
          <w14:textFill>
            <w14:solidFill>
              <w14:schemeClr w14:val="tx1"/>
            </w14:solidFill>
          </w14:textFill>
        </w:rPr>
        <w:t>处理，</w:t>
      </w:r>
      <w:r>
        <w:rPr>
          <w:color w:val="000000" w:themeColor="text1"/>
          <w14:textFill>
            <w14:solidFill>
              <w14:schemeClr w14:val="tx1"/>
            </w14:solidFill>
          </w14:textFill>
        </w:rPr>
        <w:t>主要设计有隔油、气浮、生化等一整套工艺流程。处理能力为120万t/a，实际处理量为110万t/a，回收的污油经脱水后全部送装置回炼。</w:t>
      </w:r>
    </w:p>
    <w:p>
      <w:pPr>
        <w:pStyle w:val="5"/>
        <w:rPr>
          <w:color w:val="000000" w:themeColor="text1"/>
          <w14:textFill>
            <w14:solidFill>
              <w14:schemeClr w14:val="tx1"/>
            </w14:solidFill>
          </w14:textFill>
        </w:rPr>
      </w:pPr>
      <w:r>
        <w:rPr>
          <w:color w:val="000000" w:themeColor="text1"/>
          <w14:textFill>
            <w14:solidFill>
              <w14:schemeClr w14:val="tx1"/>
            </w14:solidFill>
          </w14:textFill>
        </w:rPr>
        <w:t>酸性水汽提工艺流程图</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7" o:spt="75" type="#_x0000_t75" style="height:191.2pt;width:413.75pt;" o:ole="t" filled="f" o:preferrelative="t" stroked="f" coordsize="21600,21600">
            <v:path/>
            <v:fill on="f" focussize="0,0"/>
            <v:stroke on="f"/>
            <v:imagedata r:id="rId50" o:title=""/>
            <o:lock v:ext="edit" aspectratio="t"/>
            <w10:wrap type="none"/>
            <w10:anchorlock/>
          </v:shape>
          <o:OLEObject Type="Embed" ProgID="Visio.Drawing.11" ShapeID="_x0000_i1037" DrawAspect="Content" ObjectID="_1468075737" r:id="rId49">
            <o:LockedField>false</o:LockedField>
          </o:OLEObject>
        </w:object>
      </w:r>
    </w:p>
    <w:p>
      <w:pPr>
        <w:pStyle w:val="20"/>
        <w:keepNext/>
        <w:ind w:left="480" w:firstLine="482"/>
        <w:jc w:val="center"/>
        <w:rPr>
          <w:b/>
          <w:color w:val="000000" w:themeColor="text1"/>
          <w:szCs w:val="24"/>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w:t>
      </w:r>
      <w:r>
        <w:rPr>
          <w:b/>
          <w:color w:val="000000" w:themeColor="text1"/>
          <w:szCs w:val="24"/>
          <w14:textFill>
            <w14:solidFill>
              <w14:schemeClr w14:val="tx1"/>
            </w14:solidFill>
          </w14:textFill>
        </w:rPr>
        <w:t>酸性水汽提工艺流程图</w:t>
      </w:r>
    </w:p>
    <w:p>
      <w:pPr>
        <w:adjustRightInd w:val="0"/>
        <w:snapToGrid w:val="0"/>
        <w:spacing w:line="360" w:lineRule="auto"/>
        <w:ind w:firstLine="480" w:firstLineChars="200"/>
        <w:rPr>
          <w:color w:val="000000" w:themeColor="text1"/>
          <w14:textFill>
            <w14:solidFill>
              <w14:schemeClr w14:val="tx1"/>
            </w14:solidFill>
          </w14:textFill>
        </w:rPr>
      </w:pP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（1）工艺原理</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污水汽提装置主要是利用氨</w:t>
      </w:r>
      <w:r>
        <w:rPr>
          <w:rFonts w:hint="eastAsia"/>
          <w:color w:val="000000" w:themeColor="text1"/>
          <w:lang w:val="en-US" w:eastAsia="zh-CN"/>
          <w14:textFill>
            <w14:solidFill>
              <w14:schemeClr w14:val="tx1"/>
            </w14:solidFill>
          </w14:textFill>
        </w:rPr>
        <w:t>气</w:t>
      </w:r>
      <w:r>
        <w:rPr>
          <w:color w:val="000000" w:themeColor="text1"/>
          <w14:textFill>
            <w14:solidFill>
              <w14:schemeClr w14:val="tx1"/>
            </w14:solidFill>
          </w14:textFill>
        </w:rPr>
        <w:t>与硫化氢的溶解度的不同，且其随温度变化的特点，将氨</w:t>
      </w:r>
      <w:r>
        <w:rPr>
          <w:rFonts w:hint="eastAsia"/>
          <w:color w:val="000000" w:themeColor="text1"/>
          <w:lang w:val="en-US" w:eastAsia="zh-CN"/>
          <w14:textFill>
            <w14:solidFill>
              <w14:schemeClr w14:val="tx1"/>
            </w14:solidFill>
          </w14:textFill>
        </w:rPr>
        <w:t>气</w:t>
      </w:r>
      <w:r>
        <w:rPr>
          <w:color w:val="000000" w:themeColor="text1"/>
          <w14:textFill>
            <w14:solidFill>
              <w14:schemeClr w14:val="tx1"/>
            </w14:solidFill>
          </w14:textFill>
        </w:rPr>
        <w:t>与硫化氢分别从水中分离回收的装置，处理工艺主要有单塔汽提与双塔汽提，由于单塔汽提具有流程简单、能耗低等特点，现应用比较广泛。</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氨</w:t>
      </w:r>
      <w:r>
        <w:rPr>
          <w:rFonts w:hint="eastAsia"/>
          <w:color w:val="000000" w:themeColor="text1"/>
          <w:lang w:val="en-US" w:eastAsia="zh-CN"/>
          <w14:textFill>
            <w14:solidFill>
              <w14:schemeClr w14:val="tx1"/>
            </w14:solidFill>
          </w14:textFill>
        </w:rPr>
        <w:t>气</w:t>
      </w:r>
      <w:r>
        <w:rPr>
          <w:color w:val="000000" w:themeColor="text1"/>
          <w14:textFill>
            <w14:solidFill>
              <w14:schemeClr w14:val="tx1"/>
            </w14:solidFill>
          </w14:textFill>
        </w:rPr>
        <w:t>与硫化氢都可溶于水中而发生电离，而氨</w:t>
      </w:r>
      <w:r>
        <w:rPr>
          <w:rFonts w:hint="eastAsia"/>
          <w:color w:val="000000" w:themeColor="text1"/>
          <w:lang w:val="en-US" w:eastAsia="zh-CN"/>
          <w14:textFill>
            <w14:solidFill>
              <w14:schemeClr w14:val="tx1"/>
            </w14:solidFill>
          </w14:textFill>
        </w:rPr>
        <w:t>气</w:t>
      </w:r>
      <w:r>
        <w:rPr>
          <w:color w:val="000000" w:themeColor="text1"/>
          <w14:textFill>
            <w14:solidFill>
              <w14:schemeClr w14:val="tx1"/>
            </w14:solidFill>
          </w14:textFill>
        </w:rPr>
        <w:t>在水中的溶解度大于硫化氢在水中的溶解度，并且溶解度随着温度的升高而降低。硫化氢和氨</w:t>
      </w:r>
      <w:r>
        <w:rPr>
          <w:rFonts w:hint="eastAsia"/>
          <w:color w:val="000000" w:themeColor="text1"/>
          <w:lang w:val="en-US" w:eastAsia="zh-CN"/>
          <w14:textFill>
            <w14:solidFill>
              <w14:schemeClr w14:val="tx1"/>
            </w14:solidFill>
          </w14:textFill>
        </w:rPr>
        <w:t>气</w:t>
      </w:r>
      <w:r>
        <w:rPr>
          <w:color w:val="000000" w:themeColor="text1"/>
          <w14:textFill>
            <w14:solidFill>
              <w14:schemeClr w14:val="tx1"/>
            </w14:solidFill>
          </w14:textFill>
        </w:rPr>
        <w:t>共存于水中时，处于下列的化学电离和相平衡之中：</w:t>
      </w:r>
    </w:p>
    <w:p>
      <w:pPr>
        <w:pStyle w:val="24"/>
        <w:snapToGrid w:val="0"/>
        <w:spacing w:line="360" w:lineRule="auto"/>
        <w:ind w:firstLine="360" w:firstLineChars="1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 NH</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＋H</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O ＝ NH</w:t>
      </w:r>
      <w:r>
        <w:rPr>
          <w:rFonts w:hint="default" w:ascii="Times New Roman" w:hAnsi="Times New Roman" w:cs="Times New Roman"/>
          <w:color w:val="000000" w:themeColor="text1"/>
          <w:sz w:val="24"/>
          <w:szCs w:val="24"/>
          <w:vertAlign w:val="subscript"/>
          <w14:textFill>
            <w14:solidFill>
              <w14:schemeClr w14:val="tx1"/>
            </w14:solidFill>
          </w14:textFill>
        </w:rPr>
        <w:t>4</w:t>
      </w:r>
      <w:r>
        <w:rPr>
          <w:rFonts w:hint="default" w:ascii="Times New Roman" w:hAnsi="Times New Roman" w:cs="Times New Roman"/>
          <w:color w:val="000000" w:themeColor="text1"/>
          <w:sz w:val="24"/>
          <w:szCs w:val="24"/>
          <w:vertAlign w:val="superscript"/>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＋OH</w:t>
      </w:r>
      <w:r>
        <w:rPr>
          <w:rFonts w:hint="default" w:ascii="Times New Roman" w:hAnsi="Times New Roman" w:cs="Times New Roman"/>
          <w:color w:val="000000" w:themeColor="text1"/>
          <w:sz w:val="24"/>
          <w:szCs w:val="24"/>
          <w:vertAlign w:val="superscript"/>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( 1 )</w:t>
      </w:r>
    </w:p>
    <w:p>
      <w:pPr>
        <w:pStyle w:val="24"/>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S＝HS</w:t>
      </w:r>
      <w:r>
        <w:rPr>
          <w:rFonts w:hint="default" w:ascii="Times New Roman" w:hAnsi="Times New Roman" w:cs="Times New Roman"/>
          <w:color w:val="000000" w:themeColor="text1"/>
          <w:sz w:val="24"/>
          <w:szCs w:val="24"/>
          <w:vertAlign w:val="superscript"/>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＋H</w:t>
      </w:r>
      <w:r>
        <w:rPr>
          <w:rFonts w:hint="default" w:ascii="Times New Roman" w:hAnsi="Times New Roman" w:cs="Times New Roman"/>
          <w:color w:val="000000" w:themeColor="text1"/>
          <w:sz w:val="24"/>
          <w:szCs w:val="24"/>
          <w:vertAlign w:val="superscript"/>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 xml:space="preserve">                                       ( 2 )</w:t>
      </w:r>
    </w:p>
    <w:p>
      <w:pPr>
        <w:pStyle w:val="24"/>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HS</w:t>
      </w:r>
      <w:r>
        <w:rPr>
          <w:rFonts w:hint="default" w:ascii="Times New Roman" w:hAnsi="Times New Roman" w:cs="Times New Roman"/>
          <w:color w:val="000000" w:themeColor="text1"/>
          <w:sz w:val="24"/>
          <w:szCs w:val="24"/>
          <w:vertAlign w:val="superscript"/>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＋NH</w:t>
      </w:r>
      <w:r>
        <w:rPr>
          <w:rFonts w:hint="default" w:ascii="Times New Roman" w:hAnsi="Times New Roman" w:cs="Times New Roman"/>
          <w:color w:val="000000" w:themeColor="text1"/>
          <w:sz w:val="24"/>
          <w:szCs w:val="24"/>
          <w:vertAlign w:val="subscript"/>
          <w14:textFill>
            <w14:solidFill>
              <w14:schemeClr w14:val="tx1"/>
            </w14:solidFill>
          </w14:textFill>
        </w:rPr>
        <w:t>4</w:t>
      </w:r>
      <w:r>
        <w:rPr>
          <w:rFonts w:hint="default" w:ascii="Times New Roman" w:hAnsi="Times New Roman" w:cs="Times New Roman"/>
          <w:color w:val="000000" w:themeColor="text1"/>
          <w:sz w:val="24"/>
          <w:szCs w:val="24"/>
          <w:vertAlign w:val="superscript"/>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＝NH</w:t>
      </w:r>
      <w:r>
        <w:rPr>
          <w:rFonts w:hint="default" w:ascii="Times New Roman" w:hAnsi="Times New Roman" w:cs="Times New Roman"/>
          <w:color w:val="000000" w:themeColor="text1"/>
          <w:sz w:val="24"/>
          <w:szCs w:val="24"/>
          <w:vertAlign w:val="subscript"/>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HS ＝ ( NH</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 H</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S )液＝( NH</w:t>
      </w:r>
      <w:r>
        <w:rPr>
          <w:rFonts w:hint="default" w:ascii="Times New Roman" w:hAnsi="Times New Roman" w:cs="Times New Roman"/>
          <w:color w:val="000000" w:themeColor="text1"/>
          <w:sz w:val="24"/>
          <w:szCs w:val="24"/>
          <w:vertAlign w:val="sub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＋H</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S )气 ( 3 )</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kern w:val="0"/>
          <w14:textFill>
            <w14:solidFill>
              <w14:schemeClr w14:val="tx1"/>
            </w14:solidFill>
          </w14:textFill>
        </w:rPr>
        <w:t>H</w:t>
      </w:r>
      <w:r>
        <w:rPr>
          <w:color w:val="000000" w:themeColor="text1"/>
          <w:kern w:val="0"/>
          <w:vertAlign w:val="subscript"/>
          <w14:textFill>
            <w14:solidFill>
              <w14:schemeClr w14:val="tx1"/>
            </w14:solidFill>
          </w14:textFill>
        </w:rPr>
        <w:t>2</w:t>
      </w:r>
      <w:r>
        <w:rPr>
          <w:color w:val="000000" w:themeColor="text1"/>
          <w:kern w:val="0"/>
          <w14:textFill>
            <w14:solidFill>
              <w14:schemeClr w14:val="tx1"/>
            </w14:solidFill>
          </w14:textFill>
        </w:rPr>
        <w:t>S的溶解度远小于NH</w:t>
      </w:r>
      <w:r>
        <w:rPr>
          <w:color w:val="000000" w:themeColor="text1"/>
          <w:kern w:val="0"/>
          <w:vertAlign w:val="subscript"/>
          <w14:textFill>
            <w14:solidFill>
              <w14:schemeClr w14:val="tx1"/>
            </w14:solidFill>
          </w14:textFill>
        </w:rPr>
        <w:t>3</w:t>
      </w:r>
      <w:r>
        <w:rPr>
          <w:color w:val="000000" w:themeColor="text1"/>
          <w:kern w:val="0"/>
          <w14:textFill>
            <w14:solidFill>
              <w14:schemeClr w14:val="tx1"/>
            </w14:solidFill>
          </w14:textFill>
        </w:rPr>
        <w:t>，且饱和蒸汽压比同温度下的氨</w:t>
      </w:r>
      <w:r>
        <w:rPr>
          <w:rFonts w:hint="eastAsia"/>
          <w:color w:val="000000" w:themeColor="text1"/>
          <w:kern w:val="0"/>
          <w:lang w:val="en-US" w:eastAsia="zh-CN"/>
          <w14:textFill>
            <w14:solidFill>
              <w14:schemeClr w14:val="tx1"/>
            </w14:solidFill>
          </w14:textFill>
        </w:rPr>
        <w:t>气</w:t>
      </w:r>
      <w:r>
        <w:rPr>
          <w:color w:val="000000" w:themeColor="text1"/>
          <w:kern w:val="0"/>
          <w14:textFill>
            <w14:solidFill>
              <w14:schemeClr w14:val="tx1"/>
            </w14:solidFill>
          </w14:textFill>
        </w:rPr>
        <w:t>大的多，故其相对挥发度也就比氨</w:t>
      </w:r>
      <w:r>
        <w:rPr>
          <w:rFonts w:hint="eastAsia"/>
          <w:color w:val="000000" w:themeColor="text1"/>
          <w:kern w:val="0"/>
          <w:lang w:val="en-US" w:eastAsia="zh-CN"/>
          <w14:textFill>
            <w14:solidFill>
              <w14:schemeClr w14:val="tx1"/>
            </w14:solidFill>
          </w14:textFill>
        </w:rPr>
        <w:t>气</w:t>
      </w:r>
      <w:r>
        <w:rPr>
          <w:color w:val="000000" w:themeColor="text1"/>
          <w:kern w:val="0"/>
          <w14:textFill>
            <w14:solidFill>
              <w14:schemeClr w14:val="tx1"/>
            </w14:solidFill>
          </w14:textFill>
        </w:rPr>
        <w:t>大，因此，只要溶液中有一定数量的游离H</w:t>
      </w:r>
      <w:r>
        <w:rPr>
          <w:color w:val="000000" w:themeColor="text1"/>
          <w:kern w:val="0"/>
          <w:vertAlign w:val="subscript"/>
          <w14:textFill>
            <w14:solidFill>
              <w14:schemeClr w14:val="tx1"/>
            </w14:solidFill>
          </w14:textFill>
        </w:rPr>
        <w:t>2</w:t>
      </w:r>
      <w:r>
        <w:rPr>
          <w:color w:val="000000" w:themeColor="text1"/>
          <w:kern w:val="0"/>
          <w14:textFill>
            <w14:solidFill>
              <w14:schemeClr w14:val="tx1"/>
            </w14:solidFill>
          </w14:textFill>
        </w:rPr>
        <w:t>S分子存在，则与之呈平衡状态的气相中的H</w:t>
      </w:r>
      <w:r>
        <w:rPr>
          <w:color w:val="000000" w:themeColor="text1"/>
          <w:kern w:val="0"/>
          <w:vertAlign w:val="subscript"/>
          <w14:textFill>
            <w14:solidFill>
              <w14:schemeClr w14:val="tx1"/>
            </w14:solidFill>
          </w14:textFill>
        </w:rPr>
        <w:t>2</w:t>
      </w:r>
      <w:r>
        <w:rPr>
          <w:color w:val="000000" w:themeColor="text1"/>
          <w:kern w:val="0"/>
          <w14:textFill>
            <w14:solidFill>
              <w14:schemeClr w14:val="tx1"/>
            </w14:solidFill>
          </w14:textFill>
        </w:rPr>
        <w:t>S浓度就很可观。正是由于氨</w:t>
      </w:r>
      <w:r>
        <w:rPr>
          <w:rFonts w:hint="eastAsia"/>
          <w:color w:val="000000" w:themeColor="text1"/>
          <w:kern w:val="0"/>
          <w:lang w:val="en-US" w:eastAsia="zh-CN"/>
          <w14:textFill>
            <w14:solidFill>
              <w14:schemeClr w14:val="tx1"/>
            </w14:solidFill>
          </w14:textFill>
        </w:rPr>
        <w:t>气</w:t>
      </w:r>
      <w:r>
        <w:rPr>
          <w:color w:val="000000" w:themeColor="text1"/>
          <w:kern w:val="0"/>
          <w14:textFill>
            <w14:solidFill>
              <w14:schemeClr w14:val="tx1"/>
            </w14:solidFill>
          </w14:textFill>
        </w:rPr>
        <w:t>的溶解度比硫化氢大的多，而硫化氢的相对挥发度比氨</w:t>
      </w:r>
      <w:r>
        <w:rPr>
          <w:rFonts w:hint="eastAsia"/>
          <w:color w:val="000000" w:themeColor="text1"/>
          <w:kern w:val="0"/>
          <w:lang w:val="en-US" w:eastAsia="zh-CN"/>
          <w14:textFill>
            <w14:solidFill>
              <w14:schemeClr w14:val="tx1"/>
            </w14:solidFill>
          </w14:textFill>
        </w:rPr>
        <w:t>气</w:t>
      </w:r>
      <w:r>
        <w:rPr>
          <w:color w:val="000000" w:themeColor="text1"/>
          <w:kern w:val="0"/>
          <w14:textFill>
            <w14:solidFill>
              <w14:schemeClr w14:val="tx1"/>
            </w14:solidFill>
          </w14:textFill>
        </w:rPr>
        <w:t>大的多，故汽提塔顶部在较低的温度下可以获得含NH</w:t>
      </w:r>
      <w:r>
        <w:rPr>
          <w:color w:val="000000" w:themeColor="text1"/>
          <w:kern w:val="0"/>
          <w:vertAlign w:val="subscript"/>
          <w14:textFill>
            <w14:solidFill>
              <w14:schemeClr w14:val="tx1"/>
            </w14:solidFill>
          </w14:textFill>
        </w:rPr>
        <w:t>3</w:t>
      </w:r>
      <w:r>
        <w:rPr>
          <w:color w:val="000000" w:themeColor="text1"/>
          <w:kern w:val="0"/>
          <w14:textFill>
            <w14:solidFill>
              <w14:schemeClr w14:val="tx1"/>
            </w14:solidFill>
          </w14:textFill>
        </w:rPr>
        <w:t>很少的酸性气体。</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（2）工艺流程</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自各装置来的含硫污水，经脱气罐脱除瓦斯及部分油后进入原料污水罐。通过原料污水泵抽出，泵出口分为两路：一路直接打入污水汽提塔顶部作冷回流，控制塔顶温度不高于50℃，吸收顶部汽提出来的氨，保证酸性气的纯度；另一路经与侧线系统与塔底出来的净化水换热，温度达到150℃左右入汽提塔。</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塔底由重沸器提供汽提蒸汽，从塔顶抽出的酸性气可去制硫装置与硫酸装置。塔盘处抽出富氨气体经三级冷凝器脱水后进氨精制系统。气氨经冷凝、吸咐脱硫后压缩为液氨，液氨送催化剂分公司化工库或送催化等装置注氨用。 </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从塔底出来的净化水先经换热、冷却降温，部分进入常压装置回用，其它总生化污水处理厂处理。</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（3）主要质量控制指标</w:t>
      </w:r>
    </w:p>
    <w:p>
      <w:pPr>
        <w:pStyle w:val="24"/>
        <w:adjustRightInd w:val="0"/>
        <w:snapToGrid w:val="0"/>
        <w:spacing w:line="360" w:lineRule="auto"/>
        <w:ind w:firstLine="600"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净化水质量：NH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含量≤120mg/l， H</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 xml:space="preserve">S含量≤30mg/l  </w:t>
      </w:r>
    </w:p>
    <w:p>
      <w:pPr>
        <w:pStyle w:val="24"/>
        <w:adjustRightInd w:val="0"/>
        <w:snapToGrid w:val="0"/>
        <w:spacing w:line="360" w:lineRule="auto"/>
        <w:ind w:firstLine="600"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液氨质量：H</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 xml:space="preserve">S含量≤3PPm </w:t>
      </w:r>
    </w:p>
    <w:p>
      <w:pPr>
        <w:pStyle w:val="24"/>
        <w:adjustRightInd w:val="0"/>
        <w:snapToGrid w:val="0"/>
        <w:spacing w:line="360" w:lineRule="auto"/>
        <w:ind w:firstLine="600" w:firstLineChars="25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酸性气质量：NH</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 xml:space="preserve">含量≤3%， 烃≤2%  </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RGG酸性水汽提装置处理后的含硫废水，47%的净化水回用于常压装置，可以满足其用水的要求；其余53%的净化水送总污水生化处理场也可以满足公司对烯烃事业部的暗沟水质的要求，该方法回收了硫和氨，水质得到了净化，该方案成熟，在绝大多数炼制厂均得到了应用，该方案可保证常压装置的含硫废水稳定处理，可行。</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工艺流程介绍</w:t>
      </w:r>
    </w:p>
    <w:p>
      <w:pPr>
        <w:widowControl/>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本项目生产污水和需处理的初期雨水流进入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前一座5000m</w:t>
      </w:r>
      <w:r>
        <w:rPr>
          <w:color w:val="000000" w:themeColor="text1"/>
          <w:vertAlign w:val="superscript"/>
          <w14:textFill>
            <w14:solidFill>
              <w14:schemeClr w14:val="tx1"/>
            </w14:solidFill>
          </w14:textFill>
        </w:rPr>
        <w:t>3</w:t>
      </w:r>
      <w:r>
        <w:rPr>
          <w:rFonts w:hint="eastAsia"/>
          <w:color w:val="000000" w:themeColor="text1"/>
          <w:lang w:eastAsia="zh-CN"/>
          <w14:textFill>
            <w14:solidFill>
              <w14:schemeClr w14:val="tx1"/>
            </w14:solidFill>
          </w14:textFill>
        </w:rPr>
        <w:t>的</w:t>
      </w:r>
      <w:r>
        <w:rPr>
          <w:color w:val="000000" w:themeColor="text1"/>
          <w14:textFill>
            <w14:solidFill>
              <w14:schemeClr w14:val="tx1"/>
            </w14:solidFill>
          </w14:textFill>
        </w:rPr>
        <w:t>调节池，调节池主要起均衡水质、调节水量作用，使进入</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的污水达到水质、水量的均衡，减少对后续处理工艺的冲击，稳定出水水质。</w:t>
      </w:r>
    </w:p>
    <w:p>
      <w:pPr>
        <w:widowControl/>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本项目污水处理厂工艺流程图见下图所示。</w:t>
      </w:r>
    </w:p>
    <w:p>
      <w:pPr>
        <w:widowControl/>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object>
          <v:shape id="_x0000_i1038" o:spt="75" alt="" type="#_x0000_t75" style="height:233.85pt;width:426.8pt;" o:ole="t" filled="f" o:preferrelative="t" stroked="f" coordsize="21600,21600">
            <v:path/>
            <v:fill on="f" focussize="0,0"/>
            <v:stroke on="f"/>
            <v:imagedata r:id="rId52" o:title=""/>
            <o:lock v:ext="edit" aspectratio="t"/>
            <w10:wrap type="none"/>
            <w10:anchorlock/>
          </v:shape>
          <o:OLEObject Type="Embed" ProgID="Visio.Drawing.11" ShapeID="_x0000_i1038" DrawAspect="Content" ObjectID="_1468075738" r:id="rId51">
            <o:LockedField>false</o:LockedField>
          </o:OLEObject>
        </w:object>
      </w:r>
    </w:p>
    <w:p>
      <w:pPr>
        <w:pStyle w:val="20"/>
        <w:keepNext/>
        <w:ind w:left="480" w:firstLine="482"/>
        <w:jc w:val="center"/>
        <w:rPr>
          <w:b/>
          <w:color w:val="000000" w:themeColor="text1"/>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巴陵石化水务部云溪生化装置</w:t>
      </w:r>
      <w:r>
        <w:rPr>
          <w:b/>
          <w:color w:val="000000" w:themeColor="text1"/>
          <w14:textFill>
            <w14:solidFill>
              <w14:schemeClr w14:val="tx1"/>
            </w14:solidFill>
          </w14:textFill>
        </w:rPr>
        <w:t>工艺流程图</w:t>
      </w:r>
    </w:p>
    <w:p>
      <w:pPr>
        <w:pStyle w:val="20"/>
        <w:keepNext/>
        <w:spacing w:after="0" w:line="360" w:lineRule="auto"/>
        <w:ind w:left="0" w:leftChars="0"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（1）工艺原理</w:t>
      </w:r>
    </w:p>
    <w:p>
      <w:pPr>
        <w:pStyle w:val="102"/>
        <w:spacing w:line="360" w:lineRule="auto"/>
        <w:ind w:firstLine="46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5"/>
          <w:sz w:val="24"/>
          <w:szCs w:val="24"/>
          <w14:textFill>
            <w14:solidFill>
              <w14:schemeClr w14:val="tx1"/>
            </w14:solidFill>
          </w14:textFill>
        </w:rPr>
        <w:t>巴陵石化水务部云溪生化装置汇集了各事业部的工业废水，各事业部废水经预处理后通过暗沟排入巴陵石化水务部云溪生化装置</w:t>
      </w:r>
      <w:r>
        <w:rPr>
          <w:rFonts w:hint="eastAsia" w:ascii="Times New Roman" w:hAnsi="Times New Roman" w:cs="Times New Roman"/>
          <w:color w:val="000000" w:themeColor="text1"/>
          <w:spacing w:val="-5"/>
          <w:sz w:val="24"/>
          <w:szCs w:val="24"/>
          <w:lang w:eastAsia="zh-CN"/>
          <w14:textFill>
            <w14:solidFill>
              <w14:schemeClr w14:val="tx1"/>
            </w14:solidFill>
          </w14:textFill>
        </w:rPr>
        <w:t>处置</w:t>
      </w:r>
      <w:r>
        <w:rPr>
          <w:rFonts w:hint="default" w:ascii="Times New Roman" w:hAnsi="Times New Roman" w:cs="Times New Roman"/>
          <w:color w:val="000000" w:themeColor="text1"/>
          <w:spacing w:val="-5"/>
          <w:sz w:val="24"/>
          <w:szCs w:val="24"/>
          <w14:textFill>
            <w14:solidFill>
              <w14:schemeClr w14:val="tx1"/>
            </w14:solidFill>
          </w14:textFill>
        </w:rPr>
        <w:t>，处理后经管道外排</w:t>
      </w:r>
      <w:r>
        <w:rPr>
          <w:rFonts w:hint="default" w:ascii="Times New Roman" w:hAnsi="Times New Roman" w:cs="Times New Roman"/>
          <w:color w:val="000000" w:themeColor="text1"/>
          <w:sz w:val="24"/>
          <w:szCs w:val="24"/>
          <w14:textFill>
            <w14:solidFill>
              <w14:schemeClr w14:val="tx1"/>
            </w14:solidFill>
          </w14:textFill>
        </w:rPr>
        <w:t>长江。巴陵石化水务部云溪生化装置现有2套生化处理装置和1套环氧污水处理设施，总规模1200m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/h，目前实际处理880m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/h。其中生化污水处理系统设计规模700m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/h，目前实际处理量为520m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/h。</w:t>
      </w:r>
    </w:p>
    <w:p>
      <w:pPr>
        <w:pStyle w:val="102"/>
        <w:spacing w:line="360" w:lineRule="auto"/>
        <w:ind w:firstLine="460" w:firstLineChars="200"/>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spacing w:val="-5"/>
          <w:sz w:val="24"/>
          <w:szCs w:val="24"/>
          <w14:textFill>
            <w14:solidFill>
              <w14:schemeClr w14:val="tx1"/>
            </w14:solidFill>
          </w14:textFill>
        </w:rPr>
        <w:t>第一套污水处理装置采用O/O处理工艺，设计处理水量 400m</w:t>
      </w:r>
      <w:r>
        <w:rPr>
          <w:rFonts w:hint="default" w:ascii="Times New Roman" w:hAnsi="Times New Roman" w:cs="Times New Roman"/>
          <w:color w:val="000000" w:themeColor="text1"/>
          <w:spacing w:val="-5"/>
          <w:sz w:val="24"/>
          <w:szCs w:val="24"/>
          <w:vertAlign w:val="superscript"/>
          <w14:textFill>
            <w14:solidFill>
              <w14:schemeClr w14:val="tx1"/>
            </w14:solidFill>
          </w14:textFill>
        </w:rPr>
        <w:t>3</w:t>
      </w:r>
      <w:r>
        <w:rPr>
          <w:rFonts w:hint="default" w:ascii="Times New Roman" w:hAnsi="Times New Roman" w:cs="Times New Roman"/>
          <w:color w:val="000000" w:themeColor="text1"/>
          <w:spacing w:val="-5"/>
          <w:sz w:val="24"/>
          <w:szCs w:val="24"/>
          <w14:textFill>
            <w14:solidFill>
              <w14:schemeClr w14:val="tx1"/>
            </w14:solidFill>
          </w14:textFill>
        </w:rPr>
        <w:t>/h。</w:t>
      </w:r>
    </w:p>
    <w:p>
      <w:pPr>
        <w:pStyle w:val="102"/>
        <w:spacing w:line="360" w:lineRule="auto"/>
        <w:ind w:firstLine="460" w:firstLineChars="200"/>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spacing w:val="-5"/>
          <w:sz w:val="24"/>
          <w:szCs w:val="24"/>
          <w14:textFill>
            <w14:solidFill>
              <w14:schemeClr w14:val="tx1"/>
            </w14:solidFill>
          </w14:textFill>
        </w:rPr>
        <w:t>第二套为A/O/O 装置，即缺氧-好氧-好氧组合工艺，设计处理水量300m</w:t>
      </w:r>
      <w:r>
        <w:rPr>
          <w:rFonts w:hint="default" w:ascii="Times New Roman" w:hAnsi="Times New Roman" w:cs="Times New Roman"/>
          <w:color w:val="000000" w:themeColor="text1"/>
          <w:spacing w:val="-5"/>
          <w:sz w:val="24"/>
          <w:szCs w:val="24"/>
          <w:vertAlign w:val="superscript"/>
          <w14:textFill>
            <w14:solidFill>
              <w14:schemeClr w14:val="tx1"/>
            </w14:solidFill>
          </w14:textFill>
        </w:rPr>
        <w:t>3</w:t>
      </w:r>
      <w:r>
        <w:rPr>
          <w:rFonts w:hint="default" w:ascii="Times New Roman" w:hAnsi="Times New Roman" w:cs="Times New Roman"/>
          <w:color w:val="000000" w:themeColor="text1"/>
          <w:spacing w:val="-5"/>
          <w:sz w:val="24"/>
          <w:szCs w:val="24"/>
          <w14:textFill>
            <w14:solidFill>
              <w14:schemeClr w14:val="tx1"/>
            </w14:solidFill>
          </w14:textFill>
        </w:rPr>
        <w:t>/h。</w:t>
      </w:r>
    </w:p>
    <w:p>
      <w:pPr>
        <w:pStyle w:val="102"/>
        <w:spacing w:line="360" w:lineRule="auto"/>
        <w:ind w:firstLine="460" w:firstLineChars="200"/>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spacing w:val="-5"/>
          <w:sz w:val="24"/>
          <w:szCs w:val="24"/>
          <w14:textFill>
            <w14:solidFill>
              <w14:schemeClr w14:val="tx1"/>
            </w14:solidFill>
          </w14:textFill>
        </w:rPr>
        <w:t>第三套为HO/O装置，采用高浓度活性污泥法＋二段接触氧化工艺，设计处理水量500m</w:t>
      </w:r>
      <w:r>
        <w:rPr>
          <w:rFonts w:hint="default" w:ascii="Times New Roman" w:hAnsi="Times New Roman" w:cs="Times New Roman"/>
          <w:color w:val="000000" w:themeColor="text1"/>
          <w:spacing w:val="-5"/>
          <w:sz w:val="24"/>
          <w:szCs w:val="24"/>
          <w:vertAlign w:val="superscript"/>
          <w14:textFill>
            <w14:solidFill>
              <w14:schemeClr w14:val="tx1"/>
            </w14:solidFill>
          </w14:textFill>
        </w:rPr>
        <w:t>3</w:t>
      </w:r>
      <w:r>
        <w:rPr>
          <w:rFonts w:hint="default" w:ascii="Times New Roman" w:hAnsi="Times New Roman" w:cs="Times New Roman"/>
          <w:color w:val="000000" w:themeColor="text1"/>
          <w:spacing w:val="-5"/>
          <w:sz w:val="24"/>
          <w:szCs w:val="24"/>
          <w14:textFill>
            <w14:solidFill>
              <w14:schemeClr w14:val="tx1"/>
            </w14:solidFill>
          </w14:textFill>
        </w:rPr>
        <w:t>/h，单独处理环氧树脂事业部环氧污水。</w:t>
      </w:r>
    </w:p>
    <w:p>
      <w:pPr>
        <w:pStyle w:val="102"/>
        <w:spacing w:line="360" w:lineRule="auto"/>
        <w:ind w:firstLine="460" w:firstLineChars="200"/>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spacing w:val="-5"/>
          <w:sz w:val="24"/>
          <w:szCs w:val="24"/>
          <w14:textFill>
            <w14:solidFill>
              <w14:schemeClr w14:val="tx1"/>
            </w14:solidFill>
          </w14:textFill>
        </w:rPr>
        <w:t>巴陵石化水务部云溪生化装置工程设计进水水质COD</w:t>
      </w:r>
      <w:r>
        <w:rPr>
          <w:rFonts w:hint="eastAsia" w:ascii="Times New Roman" w:hAnsi="Times New Roman" w:cs="Times New Roman"/>
          <w:color w:val="000000" w:themeColor="text1"/>
          <w:spacing w:val="-5"/>
          <w:sz w:val="24"/>
          <w:szCs w:val="24"/>
          <w:lang w:eastAsia="zh-CN"/>
          <w14:textFill>
            <w14:solidFill>
              <w14:schemeClr w14:val="tx1"/>
            </w14:solidFill>
          </w14:textFill>
        </w:rPr>
        <w:t>：</w:t>
      </w:r>
      <w:r>
        <w:rPr>
          <w:rFonts w:hint="default" w:ascii="Times New Roman" w:hAnsi="Times New Roman" w:cs="Times New Roman"/>
          <w:color w:val="000000" w:themeColor="text1"/>
          <w:spacing w:val="-5"/>
          <w:sz w:val="24"/>
          <w:szCs w:val="24"/>
          <w14:textFill>
            <w14:solidFill>
              <w14:schemeClr w14:val="tx1"/>
            </w14:solidFill>
          </w14:textFill>
        </w:rPr>
        <w:t>610~4200mg/L，平均值1058mg/L，出水COD≦60mg/L。</w:t>
      </w:r>
    </w:p>
    <w:p>
      <w:pPr>
        <w:pStyle w:val="17"/>
        <w:spacing w:after="0" w:line="360" w:lineRule="auto"/>
        <w:ind w:firstLine="472" w:firstLineChars="2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pacing w:val="-2"/>
          <w:szCs w:val="24"/>
          <w14:textFill>
            <w14:solidFill>
              <w14:schemeClr w14:val="tx1"/>
            </w14:solidFill>
          </w14:textFill>
        </w:rPr>
        <w:t>根据中石化巴陵石油化工有限公司</w:t>
      </w:r>
      <w:r>
        <w:rPr>
          <w:rFonts w:hint="default" w:ascii="Times New Roman" w:hAnsi="Times New Roman" w:cs="Times New Roman"/>
          <w:color w:val="000000" w:themeColor="text1"/>
          <w:szCs w:val="24"/>
          <w14:textFill>
            <w14:solidFill>
              <w14:schemeClr w14:val="tx1"/>
            </w14:solidFill>
          </w14:textFill>
        </w:rPr>
        <w:t>2019</w:t>
      </w:r>
      <w:r>
        <w:rPr>
          <w:rFonts w:hint="default" w:ascii="Times New Roman" w:hAnsi="Times New Roman" w:cs="Times New Roman"/>
          <w:color w:val="000000" w:themeColor="text1"/>
          <w:spacing w:val="-4"/>
          <w:szCs w:val="24"/>
          <w14:textFill>
            <w14:solidFill>
              <w14:schemeClr w14:val="tx1"/>
            </w14:solidFill>
          </w14:textFill>
        </w:rPr>
        <w:t>年前二季度</w:t>
      </w:r>
      <w:r>
        <w:rPr>
          <w:rFonts w:hint="default" w:ascii="Times New Roman" w:hAnsi="Times New Roman" w:cs="Times New Roman"/>
          <w:color w:val="000000" w:themeColor="text1"/>
          <w:spacing w:val="-3"/>
          <w:szCs w:val="24"/>
          <w14:textFill>
            <w14:solidFill>
              <w14:schemeClr w14:val="tx1"/>
            </w14:solidFill>
          </w14:textFill>
        </w:rPr>
        <w:t>监督性监测数据可知</w:t>
      </w:r>
      <w:r>
        <w:rPr>
          <w:rFonts w:hint="default" w:ascii="Times New Roman" w:hAnsi="Times New Roman" w:cs="Times New Roman"/>
          <w:color w:val="000000" w:themeColor="text1"/>
          <w:szCs w:val="24"/>
          <w14:textFill>
            <w14:solidFill>
              <w14:schemeClr w14:val="tx1"/>
            </w14:solidFill>
          </w14:textFill>
        </w:rPr>
        <w:t>（详见下表</w:t>
      </w:r>
      <w:r>
        <w:rPr>
          <w:rFonts w:hint="default" w:ascii="Times New Roman" w:hAnsi="Times New Roman" w:cs="Times New Roman"/>
          <w:color w:val="000000" w:themeColor="text1"/>
          <w:spacing w:val="-24"/>
          <w:szCs w:val="24"/>
          <w14:textFill>
            <w14:solidFill>
              <w14:schemeClr w14:val="tx1"/>
            </w14:solidFill>
          </w14:textFill>
        </w:rPr>
        <w:t>），</w:t>
      </w:r>
      <w:r>
        <w:rPr>
          <w:rFonts w:hint="default" w:ascii="Times New Roman" w:hAnsi="Times New Roman" w:cs="Times New Roman"/>
          <w:color w:val="000000" w:themeColor="text1"/>
          <w:spacing w:val="-3"/>
          <w:szCs w:val="24"/>
          <w14:textFill>
            <w14:solidFill>
              <w14:schemeClr w14:val="tx1"/>
            </w14:solidFill>
          </w14:textFill>
        </w:rPr>
        <w:t>巴陵石化分公司废水经生化处理后满足《</w:t>
      </w:r>
      <w:r>
        <w:rPr>
          <w:rFonts w:hint="eastAsia" w:cs="Times New Roman"/>
          <w:color w:val="000000" w:themeColor="text1"/>
          <w:spacing w:val="-3"/>
          <w:szCs w:val="24"/>
          <w:lang w:val="en-US" w:eastAsia="zh-CN"/>
          <w14:textFill>
            <w14:solidFill>
              <w14:schemeClr w14:val="tx1"/>
            </w14:solidFill>
          </w14:textFill>
        </w:rPr>
        <w:t>石油炼制工业污染物排放标准</w:t>
      </w:r>
      <w:r>
        <w:rPr>
          <w:rFonts w:hint="default" w:ascii="Times New Roman" w:hAnsi="Times New Roman" w:cs="Times New Roman"/>
          <w:color w:val="000000" w:themeColor="text1"/>
          <w:szCs w:val="24"/>
          <w14:textFill>
            <w14:solidFill>
              <w14:schemeClr w14:val="tx1"/>
            </w14:solidFill>
          </w14:textFill>
        </w:rPr>
        <w:t>》（GB3157</w:t>
      </w:r>
      <w:r>
        <w:rPr>
          <w:rFonts w:hint="eastAsia" w:cs="Times New Roman"/>
          <w:color w:val="000000" w:themeColor="text1"/>
          <w:szCs w:val="24"/>
          <w:lang w:val="en-US" w:eastAsia="zh-CN"/>
          <w14:textFill>
            <w14:solidFill>
              <w14:schemeClr w14:val="tx1"/>
            </w14:solidFill>
          </w14:textFill>
        </w:rPr>
        <w:t>0</w:t>
      </w:r>
      <w:r>
        <w:rPr>
          <w:rFonts w:hint="default" w:ascii="Times New Roman" w:hAnsi="Times New Roman" w:cs="Times New Roman"/>
          <w:color w:val="000000" w:themeColor="text1"/>
          <w:szCs w:val="24"/>
          <w14:textFill>
            <w14:solidFill>
              <w14:schemeClr w14:val="tx1"/>
            </w14:solidFill>
          </w14:textFill>
        </w:rPr>
        <w:t>-2015）</w:t>
      </w:r>
      <w:r>
        <w:rPr>
          <w:rFonts w:hint="default" w:ascii="Times New Roman" w:hAnsi="Times New Roman" w:cs="Times New Roman"/>
          <w:color w:val="000000" w:themeColor="text1"/>
          <w:spacing w:val="-31"/>
          <w:szCs w:val="24"/>
          <w14:textFill>
            <w14:solidFill>
              <w14:schemeClr w14:val="tx1"/>
            </w14:solidFill>
          </w14:textFill>
        </w:rPr>
        <w:t>表 2</w:t>
      </w:r>
      <w:r>
        <w:rPr>
          <w:rFonts w:hint="default" w:ascii="Times New Roman" w:hAnsi="Times New Roman" w:cs="Times New Roman"/>
          <w:color w:val="000000" w:themeColor="text1"/>
          <w:szCs w:val="24"/>
          <w14:textFill>
            <w14:solidFill>
              <w14:schemeClr w14:val="tx1"/>
            </w14:solidFill>
          </w14:textFill>
        </w:rPr>
        <w:t xml:space="preserve"> 限值要求。</w:t>
      </w:r>
    </w:p>
    <w:p>
      <w:pPr>
        <w:pStyle w:val="17"/>
        <w:keepNext/>
        <w:spacing w:after="0"/>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巴陵石化分公司污水处理厂水质监测结果表   单位:mg/L，PH除外</w:t>
      </w:r>
    </w:p>
    <w:tbl>
      <w:tblPr>
        <w:tblStyle w:val="41"/>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79"/>
        <w:gridCol w:w="1992"/>
        <w:gridCol w:w="782"/>
        <w:gridCol w:w="782"/>
        <w:gridCol w:w="860"/>
        <w:gridCol w:w="899"/>
        <w:gridCol w:w="977"/>
        <w:gridCol w:w="941"/>
        <w:gridCol w:w="8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645" w:type="pct"/>
            <w:gridSpan w:val="2"/>
            <w:tcBorders>
              <w:top w:val="single" w:color="000000" w:sz="12" w:space="0"/>
              <w:left w:val="nil"/>
              <w:bottom w:val="single" w:color="000000" w:sz="4" w:space="0"/>
              <w:right w:val="single" w:color="000000" w:sz="4" w:space="0"/>
            </w:tcBorders>
            <w:noWrap w:val="0"/>
            <w:vAlign w:val="center"/>
          </w:tcPr>
          <w:p>
            <w:pPr>
              <w:pStyle w:val="112"/>
              <w:keepNext w:val="0"/>
              <w:keepLines w:val="0"/>
              <w:suppressLineNumbers w:val="0"/>
              <w:spacing w:before="20" w:beforeAutospacing="0" w:after="0" w:afterAutospacing="0"/>
              <w:ind w:left="927" w:right="90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控制项目</w:t>
            </w:r>
          </w:p>
        </w:tc>
        <w:tc>
          <w:tcPr>
            <w:tcW w:w="433" w:type="pct"/>
            <w:tcBorders>
              <w:top w:val="single" w:color="000000" w:sz="12"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pH</w:t>
            </w:r>
          </w:p>
        </w:tc>
        <w:tc>
          <w:tcPr>
            <w:tcW w:w="433" w:type="pct"/>
            <w:tcBorders>
              <w:top w:val="single" w:color="000000" w:sz="12"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COD</w:t>
            </w:r>
          </w:p>
        </w:tc>
        <w:tc>
          <w:tcPr>
            <w:tcW w:w="476" w:type="pct"/>
            <w:tcBorders>
              <w:top w:val="single" w:color="000000" w:sz="12"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石油类</w:t>
            </w:r>
          </w:p>
        </w:tc>
        <w:tc>
          <w:tcPr>
            <w:tcW w:w="498" w:type="pct"/>
            <w:tcBorders>
              <w:top w:val="single" w:color="000000" w:sz="12"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SS</w:t>
            </w:r>
          </w:p>
        </w:tc>
        <w:tc>
          <w:tcPr>
            <w:tcW w:w="541" w:type="pct"/>
            <w:tcBorders>
              <w:top w:val="single" w:color="000000" w:sz="12"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氨氮</w:t>
            </w:r>
          </w:p>
        </w:tc>
        <w:tc>
          <w:tcPr>
            <w:tcW w:w="521" w:type="pct"/>
            <w:tcBorders>
              <w:top w:val="single" w:color="000000" w:sz="12"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总磷</w:t>
            </w:r>
          </w:p>
        </w:tc>
        <w:tc>
          <w:tcPr>
            <w:tcW w:w="450" w:type="pct"/>
            <w:tcBorders>
              <w:top w:val="single" w:color="000000" w:sz="12" w:space="0"/>
              <w:left w:val="single" w:color="000000" w:sz="4" w:space="0"/>
              <w:bottom w:val="single" w:color="000000" w:sz="4" w:space="0"/>
              <w:right w:val="nil"/>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542" w:type="pct"/>
            <w:vMerge w:val="restar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29" w:beforeAutospacing="0" w:after="0" w:afterAutospacing="0"/>
              <w:ind w:left="1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处理设</w:t>
            </w:r>
          </w:p>
          <w:p>
            <w:pPr>
              <w:pStyle w:val="112"/>
              <w:keepNext w:val="0"/>
              <w:keepLines w:val="0"/>
              <w:suppressLineNumbers w:val="0"/>
              <w:spacing w:before="43" w:beforeAutospacing="0" w:after="0" w:afterAutospacing="0"/>
              <w:ind w:left="132"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施排口</w:t>
            </w:r>
          </w:p>
        </w:tc>
        <w:tc>
          <w:tcPr>
            <w:tcW w:w="110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25" w:beforeAutospacing="0" w:after="0" w:afterAutospacing="0"/>
              <w:ind w:left="143"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年第一季度</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0" w:right="15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7.25</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127" w:right="9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43.71</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103"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1.25</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103"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18.63</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106" w:right="7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3.38</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213" w:right="17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w:t>
            </w:r>
          </w:p>
        </w:tc>
        <w:tc>
          <w:tcPr>
            <w:tcW w:w="450" w:type="pct"/>
            <w:tcBorders>
              <w:top w:val="single" w:color="000000" w:sz="4" w:space="0"/>
              <w:left w:val="single" w:color="000000" w:sz="4" w:space="0"/>
              <w:bottom w:val="single" w:color="000000" w:sz="4" w:space="0"/>
              <w:right w:val="nil"/>
            </w:tcBorders>
            <w:noWrap w:val="0"/>
            <w:vAlign w:val="center"/>
          </w:tcPr>
          <w:p>
            <w:pPr>
              <w:pStyle w:val="112"/>
              <w:keepNext w:val="0"/>
              <w:keepLines w:val="0"/>
              <w:suppressLineNumbers w:val="0"/>
              <w:spacing w:before="35" w:beforeAutospacing="0" w:after="0" w:afterAutospacing="0"/>
              <w:ind w:left="111" w:right="6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110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21" w:beforeAutospacing="0" w:after="0" w:afterAutospacing="0"/>
              <w:ind w:left="143"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年第二季度</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0" w:right="15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7.37</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37.02</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06"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0.75</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103"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13.92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06" w:right="7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1.84</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213" w:right="17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0.09</w:t>
            </w:r>
          </w:p>
        </w:tc>
        <w:tc>
          <w:tcPr>
            <w:tcW w:w="450" w:type="pct"/>
            <w:tcBorders>
              <w:top w:val="single" w:color="000000" w:sz="4" w:space="0"/>
              <w:left w:val="single" w:color="000000" w:sz="4" w:space="0"/>
              <w:bottom w:val="single" w:color="000000" w:sz="4" w:space="0"/>
              <w:right w:val="nil"/>
            </w:tcBorders>
            <w:noWrap w:val="0"/>
            <w:vAlign w:val="center"/>
          </w:tcPr>
          <w:p>
            <w:pPr>
              <w:pStyle w:val="112"/>
              <w:keepNext w:val="0"/>
              <w:keepLines w:val="0"/>
              <w:suppressLineNumbers w:val="0"/>
              <w:spacing w:before="31" w:beforeAutospacing="0" w:after="0" w:afterAutospacing="0"/>
              <w:ind w:left="111" w:right="6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110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21" w:beforeAutospacing="0" w:after="0" w:afterAutospacing="0"/>
              <w:ind w:left="143"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年第三季度</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0" w:right="15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7.59</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39.06</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06"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1.65</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103"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27.00</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06" w:right="7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1.09</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213" w:right="17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0.22</w:t>
            </w:r>
          </w:p>
        </w:tc>
        <w:tc>
          <w:tcPr>
            <w:tcW w:w="450" w:type="pct"/>
            <w:tcBorders>
              <w:top w:val="single" w:color="000000" w:sz="4" w:space="0"/>
              <w:left w:val="single" w:color="000000" w:sz="4" w:space="0"/>
              <w:bottom w:val="single" w:color="000000" w:sz="4" w:space="0"/>
              <w:right w:val="nil"/>
            </w:tcBorders>
            <w:noWrap w:val="0"/>
            <w:vAlign w:val="center"/>
          </w:tcPr>
          <w:p>
            <w:pPr>
              <w:pStyle w:val="112"/>
              <w:keepNext w:val="0"/>
              <w:keepLines w:val="0"/>
              <w:suppressLineNumbers w:val="0"/>
              <w:spacing w:before="31" w:beforeAutospacing="0" w:after="0" w:afterAutospacing="0"/>
              <w:ind w:left="111" w:right="6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542"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p>
        </w:tc>
        <w:tc>
          <w:tcPr>
            <w:tcW w:w="110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21" w:beforeAutospacing="0" w:after="0" w:afterAutospacing="0"/>
              <w:ind w:left="143"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2019 年第四季度</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0" w:right="15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7.62</w:t>
            </w:r>
          </w:p>
        </w:tc>
        <w:tc>
          <w:tcPr>
            <w:tcW w:w="433"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27" w:right="9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35.81</w:t>
            </w:r>
          </w:p>
        </w:tc>
        <w:tc>
          <w:tcPr>
            <w:tcW w:w="476"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06"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1.40</w:t>
            </w:r>
          </w:p>
        </w:tc>
        <w:tc>
          <w:tcPr>
            <w:tcW w:w="49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5" w:beforeAutospacing="0" w:after="0" w:afterAutospacing="0"/>
              <w:ind w:left="103" w:right="7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18.62</w:t>
            </w:r>
          </w:p>
        </w:tc>
        <w:tc>
          <w:tcPr>
            <w:tcW w:w="54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106" w:right="7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1.06</w:t>
            </w:r>
          </w:p>
        </w:tc>
        <w:tc>
          <w:tcPr>
            <w:tcW w:w="521"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31" w:beforeAutospacing="0" w:after="0" w:afterAutospacing="0"/>
              <w:ind w:left="213" w:right="17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0.1</w:t>
            </w:r>
          </w:p>
        </w:tc>
        <w:tc>
          <w:tcPr>
            <w:tcW w:w="450" w:type="pct"/>
            <w:tcBorders>
              <w:top w:val="single" w:color="000000" w:sz="4" w:space="0"/>
              <w:left w:val="single" w:color="000000" w:sz="4" w:space="0"/>
              <w:bottom w:val="single" w:color="000000" w:sz="4" w:space="0"/>
              <w:right w:val="nil"/>
            </w:tcBorders>
            <w:noWrap w:val="0"/>
            <w:vAlign w:val="center"/>
          </w:tcPr>
          <w:p>
            <w:pPr>
              <w:pStyle w:val="112"/>
              <w:keepNext w:val="0"/>
              <w:keepLines w:val="0"/>
              <w:suppressLineNumbers w:val="0"/>
              <w:spacing w:before="31" w:beforeAutospacing="0" w:after="0" w:afterAutospacing="0"/>
              <w:ind w:left="111" w:right="6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1645" w:type="pct"/>
            <w:gridSpan w:val="2"/>
            <w:tcBorders>
              <w:top w:val="single" w:color="000000" w:sz="4" w:space="0"/>
              <w:left w:val="nil"/>
              <w:bottom w:val="single" w:color="000000" w:sz="12" w:space="0"/>
              <w:right w:val="single" w:color="000000" w:sz="4" w:space="0"/>
            </w:tcBorders>
            <w:noWrap w:val="0"/>
            <w:vAlign w:val="center"/>
          </w:tcPr>
          <w:p>
            <w:pPr>
              <w:pStyle w:val="112"/>
              <w:keepNext w:val="0"/>
              <w:keepLines w:val="0"/>
              <w:suppressLineNumbers w:val="0"/>
              <w:spacing w:before="25" w:beforeAutospacing="0" w:after="0" w:afterAutospacing="0"/>
              <w:ind w:left="108"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（GB3157</w:t>
            </w:r>
            <w:r>
              <w:rPr>
                <w:rFonts w:hint="eastAsia" w:ascii="Times New Roman" w:hAnsi="Times New Roman" w:cs="Times New Roman"/>
                <w:color w:val="000000" w:themeColor="text1"/>
                <w:sz w:val="21"/>
                <w:szCs w:val="21"/>
                <w:lang w:val="en-US" w:eastAsia="zh-CN"/>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-2015）表2限值</w:t>
            </w:r>
          </w:p>
        </w:tc>
        <w:tc>
          <w:tcPr>
            <w:tcW w:w="433" w:type="pct"/>
            <w:tcBorders>
              <w:top w:val="single" w:color="000000" w:sz="4" w:space="0"/>
              <w:left w:val="single" w:color="000000" w:sz="4" w:space="0"/>
              <w:bottom w:val="single" w:color="000000" w:sz="12" w:space="0"/>
              <w:right w:val="single" w:color="000000" w:sz="4" w:space="0"/>
            </w:tcBorders>
            <w:noWrap w:val="0"/>
            <w:vAlign w:val="center"/>
          </w:tcPr>
          <w:p>
            <w:pPr>
              <w:pStyle w:val="112"/>
              <w:keepNext w:val="0"/>
              <w:keepLines w:val="0"/>
              <w:suppressLineNumbers w:val="0"/>
              <w:spacing w:before="25" w:beforeAutospacing="0" w:after="0" w:afterAutospacing="0"/>
              <w:ind w:left="0" w:right="126"/>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6～9</w:t>
            </w:r>
          </w:p>
        </w:tc>
        <w:tc>
          <w:tcPr>
            <w:tcW w:w="433" w:type="pct"/>
            <w:tcBorders>
              <w:top w:val="single" w:color="000000" w:sz="4" w:space="0"/>
              <w:left w:val="single" w:color="000000" w:sz="4" w:space="0"/>
              <w:bottom w:val="single" w:color="000000" w:sz="12" w:space="0"/>
              <w:right w:val="single" w:color="000000" w:sz="4" w:space="0"/>
            </w:tcBorders>
            <w:noWrap w:val="0"/>
            <w:vAlign w:val="center"/>
          </w:tcPr>
          <w:p>
            <w:pPr>
              <w:pStyle w:val="16"/>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w:t>
            </w:r>
          </w:p>
        </w:tc>
        <w:tc>
          <w:tcPr>
            <w:tcW w:w="476" w:type="pct"/>
            <w:tcBorders>
              <w:top w:val="single" w:color="000000" w:sz="4" w:space="0"/>
              <w:left w:val="single" w:color="000000" w:sz="4" w:space="0"/>
              <w:bottom w:val="single" w:color="000000" w:sz="12" w:space="0"/>
              <w:right w:val="single" w:color="000000" w:sz="4" w:space="0"/>
            </w:tcBorders>
            <w:noWrap w:val="0"/>
            <w:vAlign w:val="center"/>
          </w:tcPr>
          <w:p>
            <w:pPr>
              <w:pStyle w:val="16"/>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＜3</w:t>
            </w:r>
          </w:p>
        </w:tc>
        <w:tc>
          <w:tcPr>
            <w:tcW w:w="498" w:type="pct"/>
            <w:tcBorders>
              <w:top w:val="single" w:color="000000" w:sz="4" w:space="0"/>
              <w:left w:val="single" w:color="000000" w:sz="4" w:space="0"/>
              <w:bottom w:val="single" w:color="000000" w:sz="12" w:space="0"/>
              <w:right w:val="single" w:color="000000" w:sz="4" w:space="0"/>
            </w:tcBorders>
            <w:noWrap w:val="0"/>
            <w:vAlign w:val="center"/>
          </w:tcPr>
          <w:p>
            <w:pPr>
              <w:pStyle w:val="16"/>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＜50</w:t>
            </w:r>
          </w:p>
        </w:tc>
        <w:tc>
          <w:tcPr>
            <w:tcW w:w="541" w:type="pct"/>
            <w:tcBorders>
              <w:top w:val="single" w:color="000000" w:sz="4" w:space="0"/>
              <w:left w:val="single" w:color="000000" w:sz="4" w:space="0"/>
              <w:bottom w:val="single" w:color="000000" w:sz="12" w:space="0"/>
              <w:right w:val="single" w:color="000000" w:sz="4" w:space="0"/>
            </w:tcBorders>
            <w:noWrap w:val="0"/>
            <w:vAlign w:val="center"/>
          </w:tcPr>
          <w:p>
            <w:pPr>
              <w:pStyle w:val="16"/>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＜5</w:t>
            </w:r>
          </w:p>
        </w:tc>
        <w:tc>
          <w:tcPr>
            <w:tcW w:w="521" w:type="pct"/>
            <w:tcBorders>
              <w:top w:val="single" w:color="000000" w:sz="4" w:space="0"/>
              <w:left w:val="single" w:color="000000" w:sz="4" w:space="0"/>
              <w:bottom w:val="single" w:color="000000" w:sz="12" w:space="0"/>
              <w:right w:val="single" w:color="000000" w:sz="4" w:space="0"/>
            </w:tcBorders>
            <w:noWrap w:val="0"/>
            <w:vAlign w:val="center"/>
          </w:tcPr>
          <w:p>
            <w:pPr>
              <w:pStyle w:val="16"/>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＜0.5</w:t>
            </w:r>
          </w:p>
        </w:tc>
        <w:tc>
          <w:tcPr>
            <w:tcW w:w="450" w:type="pct"/>
            <w:tcBorders>
              <w:top w:val="single" w:color="000000" w:sz="4" w:space="0"/>
              <w:left w:val="single" w:color="000000" w:sz="4" w:space="0"/>
              <w:bottom w:val="single" w:color="000000" w:sz="12" w:space="0"/>
              <w:right w:val="nil"/>
            </w:tcBorders>
            <w:noWrap w:val="0"/>
            <w:vAlign w:val="center"/>
          </w:tcPr>
          <w:p>
            <w:pPr>
              <w:pStyle w:val="16"/>
              <w:keepNext w:val="0"/>
              <w:keepLines w:val="0"/>
              <w:suppressLineNumbers w:val="0"/>
              <w:spacing w:before="0" w:beforeAutospacing="0" w:after="0" w:afterAutospacing="0"/>
              <w:ind w:left="0" w:right="0"/>
              <w:jc w:val="center"/>
              <w:rPr>
                <w:rFonts w:eastAsia="宋体" w:cs="Times New Roman"/>
                <w:color w:val="000000" w:themeColor="text1"/>
                <w:sz w:val="21"/>
                <w:szCs w:val="21"/>
                <w14:textFill>
                  <w14:solidFill>
                    <w14:schemeClr w14:val="tx1"/>
                  </w14:solidFill>
                </w14:textFill>
              </w:rPr>
            </w:pPr>
            <w:r>
              <w:rPr>
                <w:rFonts w:eastAsia="宋体" w:cs="Times New Roman"/>
                <w:color w:val="000000" w:themeColor="text1"/>
                <w:sz w:val="21"/>
                <w:szCs w:val="21"/>
                <w14:textFill>
                  <w14:solidFill>
                    <w14:schemeClr w14:val="tx1"/>
                  </w14:solidFill>
                </w14:textFill>
              </w:rPr>
              <w:t>＜</w:t>
            </w:r>
            <w:r>
              <w:rPr>
                <w:rFonts w:eastAsia="宋体" w:cs="Times New Roman"/>
                <w:color w:val="000000" w:themeColor="text1"/>
                <w14:textFill>
                  <w14:solidFill>
                    <w14:schemeClr w14:val="tx1"/>
                  </w14:solidFill>
                </w14:textFill>
              </w:rPr>
              <w:t>10</w:t>
            </w:r>
          </w:p>
        </w:tc>
      </w:tr>
    </w:tbl>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由上表可知，本项目装置区外排生产废水经</w:t>
      </w:r>
      <w:r>
        <w:rPr>
          <w:rFonts w:hint="eastAsia"/>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处理之后，最终浓度能够满足《</w:t>
      </w:r>
      <w:r>
        <w:rPr>
          <w:rFonts w:hint="eastAsia"/>
          <w:color w:val="000000" w:themeColor="text1"/>
          <w:lang w:eastAsia="zh-CN"/>
          <w14:textFill>
            <w14:solidFill>
              <w14:schemeClr w14:val="tx1"/>
            </w14:solidFill>
          </w14:textFill>
        </w:rPr>
        <w:t>石油炼制工业污染物排放标准</w:t>
      </w:r>
      <w:r>
        <w:rPr>
          <w:color w:val="000000" w:themeColor="text1"/>
          <w14:textFill>
            <w14:solidFill>
              <w14:schemeClr w14:val="tx1"/>
            </w14:solidFill>
          </w14:textFill>
        </w:rPr>
        <w:t>》（GB3157</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-2015）表2水污染物特别排放限值要求。</w:t>
      </w:r>
    </w:p>
    <w:p>
      <w:pPr>
        <w:pStyle w:val="4"/>
        <w:rPr>
          <w:color w:val="000000" w:themeColor="text1"/>
          <w14:textFill>
            <w14:solidFill>
              <w14:schemeClr w14:val="tx1"/>
            </w14:solidFill>
          </w14:textFill>
        </w:rPr>
      </w:pPr>
      <w:bookmarkStart w:id="501" w:name="_Toc14039"/>
      <w:r>
        <w:rPr>
          <w:color w:val="000000" w:themeColor="text1"/>
          <w14:textFill>
            <w14:solidFill>
              <w14:schemeClr w14:val="tx1"/>
            </w14:solidFill>
          </w14:textFill>
        </w:rPr>
        <w:t>地下水污染防治措施</w:t>
      </w:r>
      <w:bookmarkEnd w:id="501"/>
    </w:p>
    <w:p>
      <w:pPr>
        <w:pStyle w:val="5"/>
        <w:rPr>
          <w:color w:val="000000" w:themeColor="text1"/>
          <w14:textFill>
            <w14:solidFill>
              <w14:schemeClr w14:val="tx1"/>
            </w14:solidFill>
          </w14:textFill>
        </w:rPr>
      </w:pPr>
      <w:r>
        <w:rPr>
          <w:color w:val="000000" w:themeColor="text1"/>
          <w14:textFill>
            <w14:solidFill>
              <w14:schemeClr w14:val="tx1"/>
            </w14:solidFill>
          </w14:textFill>
        </w:rPr>
        <w:t>源头控制措施</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主要包括在工艺、管道、设备、污水储存及处理构筑物采取相应措施，防止和降低污染物跑、冒、滴、漏，将污染物泄漏的环境风险事故降到最低程度。</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项目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漏的环境风险事故降低到最低程度。</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①企业应积极推行清洁生产及各类废物循环利用的方法，选用先进的生产工艺，减少污染物的排放量。</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②严格按照国家相关规范要求，对场区内各污水处理设备、仓库、办公楼等采取相应措施，以防止和降低污染物的跑、冒、滴、漏，将污染物泄漏的环境风险事故降到最低程度。</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③设备和管线尽量采用“可视化”原则，即尽可能地上敷设和放置，做到污染物“早发现、早处理”，以减少由于埋地泄漏而可能造成的地下水污染。对各种地下管道，根据输送物质不同，采用不同类型的管道，管道内外均采用防腐处理，另建设截污阀、排污阀、流量、压力在线监测仪，定期对管道进行检漏，对出现泄露处的土壤进行换土。</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④堆放各种原辅材料、固体废物的堆放场地按照国家相关规范要求，采取防泄漏措施。</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⑤严格固体废物管理，不接触外界降水，使其不产生淋滤液，严防污染物泄漏到土壤与地下水中。</w:t>
      </w:r>
    </w:p>
    <w:p>
      <w:pPr>
        <w:pStyle w:val="5"/>
        <w:rPr>
          <w:color w:val="000000" w:themeColor="text1"/>
          <w14:textFill>
            <w14:solidFill>
              <w14:schemeClr w14:val="tx1"/>
            </w14:solidFill>
          </w14:textFill>
        </w:rPr>
      </w:pPr>
      <w:r>
        <w:rPr>
          <w:color w:val="000000" w:themeColor="text1"/>
          <w14:textFill>
            <w14:solidFill>
              <w14:schemeClr w14:val="tx1"/>
            </w14:solidFill>
          </w14:textFill>
        </w:rPr>
        <w:t>分区防渗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根据现有项目的环评，已对企业内部地下水分区防渗提出要求，经现场勘察，目前对现有厂区附近按照分区防渗的要求进行了防渗措施。对于本项目新建设的构筑物，分区防渗要求如下表所示。</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新增防渗区分区防渗一览表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172"/>
        <w:gridCol w:w="1087"/>
        <w:gridCol w:w="6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nil"/>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序号</w:t>
            </w:r>
          </w:p>
        </w:tc>
        <w:tc>
          <w:tcPr>
            <w:tcW w:w="1172" w:type="dxa"/>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区域</w:t>
            </w:r>
          </w:p>
        </w:tc>
        <w:tc>
          <w:tcPr>
            <w:tcW w:w="1087" w:type="dxa"/>
            <w:tcBorders>
              <w:top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名称</w:t>
            </w:r>
          </w:p>
        </w:tc>
        <w:tc>
          <w:tcPr>
            <w:tcW w:w="6451" w:type="dxa"/>
            <w:tcBorders>
              <w:top w:val="single" w:color="auto" w:sz="12" w:space="0"/>
              <w:right w:val="nil"/>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nil"/>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1</w:t>
            </w:r>
          </w:p>
        </w:tc>
        <w:tc>
          <w:tcPr>
            <w:tcW w:w="1172" w:type="dxa"/>
            <w:tcBorders>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kern w:val="18"/>
                <w:sz w:val="21"/>
                <w:szCs w:val="21"/>
                <w14:textFill>
                  <w14:solidFill>
                    <w14:schemeClr w14:val="tx1"/>
                  </w14:solidFill>
                </w14:textFill>
              </w:rPr>
              <w:t>重点防渗区</w:t>
            </w:r>
          </w:p>
        </w:tc>
        <w:tc>
          <w:tcPr>
            <w:tcW w:w="1087" w:type="dxa"/>
            <w:tcBorders>
              <w:bottom w:val="single" w:color="auto" w:sz="12" w:space="0"/>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生产装置区</w:t>
            </w:r>
          </w:p>
        </w:tc>
        <w:tc>
          <w:tcPr>
            <w:tcW w:w="6451" w:type="dxa"/>
            <w:tcBorders>
              <w:bottom w:val="single" w:color="auto" w:sz="12" w:space="0"/>
              <w:right w:val="nil"/>
            </w:tcBorders>
            <w:noWrap w:val="0"/>
            <w:vAlign w:val="center"/>
          </w:tcPr>
          <w:p>
            <w:pPr>
              <w:pStyle w:val="14"/>
              <w:keepNext w:val="0"/>
              <w:keepLines w:val="0"/>
              <w:suppressLineNumbers w:val="0"/>
              <w:spacing w:before="0" w:beforeAutospacing="0" w:after="0" w:afterAutospacing="0" w:line="240" w:lineRule="auto"/>
              <w:ind w:left="0" w:right="0"/>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等效黏土防渗层不应低于6.0m，渗透系数为低于1.0×10</w:t>
            </w:r>
            <w:r>
              <w:rPr>
                <w:b w:val="0"/>
                <w:bCs/>
                <w:color w:val="000000" w:themeColor="text1"/>
                <w:sz w:val="21"/>
                <w:szCs w:val="21"/>
                <w:vertAlign w:val="superscript"/>
                <w14:textFill>
                  <w14:solidFill>
                    <w14:schemeClr w14:val="tx1"/>
                  </w14:solidFill>
                </w14:textFill>
              </w:rPr>
              <w:t>-7</w:t>
            </w:r>
            <w:r>
              <w:rPr>
                <w:b w:val="0"/>
                <w:bCs/>
                <w:color w:val="000000" w:themeColor="text1"/>
                <w:sz w:val="21"/>
                <w:szCs w:val="21"/>
                <w14:textFill>
                  <w14:solidFill>
                    <w14:schemeClr w14:val="tx1"/>
                  </w14:solidFill>
                </w14:textFill>
              </w:rPr>
              <w:t>cm/s；并满足《石油化工工程防渗技术规范》（GB/T 50934-2013）相关要求</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分区防渗措施</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防渗是控制污染物进一步下渗的重要措施，可以大大降低地下水被污染的风险。根据《石油化工工程防渗技术规范》（GBT50934-2013），将建设场地划分为重点污染防治区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本项目新建的装置区全部为重点防渗区</w:t>
      </w:r>
      <w:r>
        <w:rPr>
          <w:color w:val="000000" w:themeColor="text1"/>
          <w14:textFill>
            <w14:solidFill>
              <w14:schemeClr w14:val="tx1"/>
            </w14:solidFill>
          </w14:textFill>
        </w:rPr>
        <w:t>。</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（1）重点污染防治区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对于厂区的装置区重点防护区，应参照《危险废物安全填埋处置工程建设技术要求》（国家环保2004.4.30颁布施行）、《危险废物填埋场污染控制标准》（GB18598-20</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）执行地面防渗设计。</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事故水池依托巴陵石化分公司现有，事故水池在建设过程中已考虑相应的防渗措施，按照相关要求进行了底层防渗和池壁防渗。</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对于项目的新建装置区防渗措施要求为：地基处理时达到50cm以上厚的夯实粘性土层（要求压实后渗透系数为10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cm/s至10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cm/s）、20-30cm厚的砂石垫层、15cm厚的防渗钢纤维混凝土现浇垫层、地表面可考虑涂刷水泥基结晶形防渗涂料（渗透系数不大于10</w:t>
      </w:r>
      <w:r>
        <w:rPr>
          <w:color w:val="000000" w:themeColor="text1"/>
          <w:vertAlign w:val="superscript"/>
          <w14:textFill>
            <w14:solidFill>
              <w14:schemeClr w14:val="tx1"/>
            </w14:solidFill>
          </w14:textFill>
        </w:rPr>
        <w:t>-12</w:t>
      </w:r>
      <w:r>
        <w:rPr>
          <w:color w:val="000000" w:themeColor="text1"/>
          <w14:textFill>
            <w14:solidFill>
              <w14:schemeClr w14:val="tx1"/>
            </w14:solidFill>
          </w14:textFill>
        </w:rPr>
        <w:t>cm/s）。装置区四周必须设置排污沟， 排污沟做防渗处理。同时在排污沟外圈修建雨水沟，避免雨污混排。</w:t>
      </w:r>
    </w:p>
    <w:p>
      <w:pPr>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162300" cy="178117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3"/>
                    <a:stretch>
                      <a:fillRect/>
                    </a:stretch>
                  </pic:blipFill>
                  <pic:spPr>
                    <a:xfrm>
                      <a:off x="0" y="0"/>
                      <a:ext cx="3162300" cy="1781175"/>
                    </a:xfrm>
                    <a:prstGeom prst="rect">
                      <a:avLst/>
                    </a:prstGeom>
                    <a:noFill/>
                    <a:ln>
                      <a:noFill/>
                    </a:ln>
                  </pic:spPr>
                </pic:pic>
              </a:graphicData>
            </a:graphic>
          </wp:inline>
        </w:drawing>
      </w:r>
    </w:p>
    <w:p>
      <w:pPr>
        <w:keepNext/>
        <w:spacing w:line="360" w:lineRule="auto"/>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重点防护区防渗结构示意图</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（2）一般污染防治区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一般防护区采取的防渗措施如下：地基处理时表层50cm以上的夯实粘性土层（要求压实后渗透系数为10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cm/s至10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cm/s），上部铺设15cm厚的防渗钢纤维混凝土现浇垫层（渗透系数不大于10</w:t>
      </w:r>
      <w:r>
        <w:rPr>
          <w:color w:val="000000" w:themeColor="text1"/>
          <w:vertAlign w:val="superscript"/>
          <w14:textFill>
            <w14:solidFill>
              <w14:schemeClr w14:val="tx1"/>
            </w14:solidFill>
          </w14:textFill>
        </w:rPr>
        <w:t>-8</w:t>
      </w:r>
      <w:r>
        <w:rPr>
          <w:color w:val="000000" w:themeColor="text1"/>
          <w14:textFill>
            <w14:solidFill>
              <w14:schemeClr w14:val="tx1"/>
            </w14:solidFill>
          </w14:textFill>
        </w:rPr>
        <w:t>cm/s）。</w:t>
      </w:r>
    </w:p>
    <w:p>
      <w:pPr>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002915" cy="2084070"/>
            <wp:effectExtent l="0" t="0" r="6985"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4"/>
                    <a:stretch>
                      <a:fillRect/>
                    </a:stretch>
                  </pic:blipFill>
                  <pic:spPr>
                    <a:xfrm>
                      <a:off x="0" y="0"/>
                      <a:ext cx="3002915" cy="2084070"/>
                    </a:xfrm>
                    <a:prstGeom prst="rect">
                      <a:avLst/>
                    </a:prstGeom>
                    <a:noFill/>
                    <a:ln>
                      <a:noFill/>
                    </a:ln>
                  </pic:spPr>
                </pic:pic>
              </a:graphicData>
            </a:graphic>
          </wp:inline>
        </w:drawing>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w:t>
      </w:r>
      <w:r>
        <w:rPr>
          <w:b/>
          <w:bCs/>
          <w:color w:val="000000" w:themeColor="text1"/>
          <w:sz w:val="21"/>
          <w14:textFill>
            <w14:solidFill>
              <w14:schemeClr w14:val="tx1"/>
            </w14:solidFill>
          </w14:textFill>
        </w:rPr>
        <w:t>一</w:t>
      </w:r>
      <w:r>
        <w:rPr>
          <w:b/>
          <w:color w:val="000000" w:themeColor="text1"/>
          <w14:textFill>
            <w14:solidFill>
              <w14:schemeClr w14:val="tx1"/>
            </w14:solidFill>
          </w14:textFill>
        </w:rPr>
        <w:t>般防护区防渗结构示意图</w:t>
      </w:r>
    </w:p>
    <w:p>
      <w:pPr>
        <w:jc w:val="center"/>
        <w:rPr>
          <w:b/>
          <w:color w:val="000000" w:themeColor="text1"/>
          <w14:textFill>
            <w14:solidFill>
              <w14:schemeClr w14:val="tx1"/>
            </w14:solidFill>
          </w14:textFill>
        </w:rPr>
      </w:pP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（3）非污染防治区</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对于非污染区，地面进行水泥硬化可以满足该区域装置区防渗的要求。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地下水监控</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建设单位应根据整个区域的情况，统一设施监控井。实时观察项目生产及事故时对地下水的影响。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应急响应措施</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发生异常情况时，需要马上采取紧急措施。应采取阻漏措施，控制污染物向土壤包气带和地下水中扩散，同时加强监测井的水质监测。制定地下水污染应急响应方案，降低污染危害。制定应急预案，设置应急设施，一旦发现地下水受到影响，立即启动应急设施控制影响。</w:t>
      </w:r>
    </w:p>
    <w:p>
      <w:pPr>
        <w:pStyle w:val="20"/>
        <w:rPr>
          <w:color w:val="000000" w:themeColor="text1"/>
          <w14:textFill>
            <w14:solidFill>
              <w14:schemeClr w14:val="tx1"/>
            </w14:solidFill>
          </w14:textFill>
        </w:rPr>
      </w:pPr>
    </w:p>
    <w:p>
      <w:pPr>
        <w:pStyle w:val="4"/>
        <w:rPr>
          <w:color w:val="000000" w:themeColor="text1"/>
          <w14:textFill>
            <w14:solidFill>
              <w14:schemeClr w14:val="tx1"/>
            </w14:solidFill>
          </w14:textFill>
        </w:rPr>
      </w:pPr>
      <w:bookmarkStart w:id="502" w:name="_Toc20606"/>
      <w:r>
        <w:rPr>
          <w:color w:val="000000" w:themeColor="text1"/>
          <w14:textFill>
            <w14:solidFill>
              <w14:schemeClr w14:val="tx1"/>
            </w14:solidFill>
          </w14:textFill>
        </w:rPr>
        <w:t>噪声控制措施的可行性分析</w:t>
      </w:r>
      <w:bookmarkEnd w:id="502"/>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项目实施后，生产中有一些转动设备，因此应加强噪声的治理工作，主要从设备选型、阻隔传播途径和受声者保护三方面入手。</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在设计和设备采购阶段，应优先选用先进的低噪音设备，从声源上降低设备本身噪音。风机等动力设备选用满足国际标准的低噪声、低振动设备，同时主要应选择本身带减振底座的风机，使噪声控制在85分贝以下。</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振动转动设备安装时设置减振支座；合理规划平面布置，机泵集中布置在一个区内，在平面布置中，离受影响的厂界尽可能远。高噪声设备设置消声器或隔声罩，例如风机等噪声源，在进出口处安装消音器，以阻隔噪声的传播。</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③日常生产需加强对各设备的维修、保养，确保设备处于良好的运转状态，杜绝因设备不正常运转而产生的高噪音现象，使设备处于最佳工作状态。</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④加强对现场人员的自身保护，例如对于现场巡检人员，按照有关要求发放防噪用品，以减轻人员与高噪音设备长期接触。</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总之，项目对其噪声源所采取的控制措施均为目前国内普遍采用的经济、实用的有效手段，实践表明其控制效果明显。经采取上述控制措施后，能够确保厂界昼夜噪声值均可符合《工业企业厂界环境噪声标准》（GB12348-2008）中的3类标准限值。因此，拟建项目对其噪声源所采取的控制措施是有效可行的。</w:t>
      </w:r>
    </w:p>
    <w:p>
      <w:pPr>
        <w:pStyle w:val="4"/>
        <w:rPr>
          <w:color w:val="000000" w:themeColor="text1"/>
          <w14:textFill>
            <w14:solidFill>
              <w14:schemeClr w14:val="tx1"/>
            </w14:solidFill>
          </w14:textFill>
        </w:rPr>
      </w:pPr>
      <w:bookmarkStart w:id="503" w:name="_Toc30114"/>
      <w:r>
        <w:rPr>
          <w:color w:val="000000" w:themeColor="text1"/>
          <w14:textFill>
            <w14:solidFill>
              <w14:schemeClr w14:val="tx1"/>
            </w14:solidFill>
          </w14:textFill>
        </w:rPr>
        <w:t>固废处理措施</w:t>
      </w:r>
      <w:bookmarkEnd w:id="503"/>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拟建项目产生的固体废物来自员工废催化剂、废保护剂和废瓷球，其中废催化剂、废保护剂和废瓷球均为危险废物，企业收集暂存后定期外委有资质单位处置。</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危险废物要用不易破损、变形、老化、能有效地防止渗透、扩散的容器贮存，装有危险废物的容器必须贴有标签，在标签上详细表明危险废物的名称、重量、成分、特性及发生泄漏的处理方法等。</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按《危险废物贮存污染控制标准》</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GB18597-2001</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及2013年其修改单要求，用以存放装载固体危险废物容器的地方，必须有耐腐蚀的硬化地面，做好防腐防渗防漏处置。危险固废储存于阴凉、通风、隔离的库房。库温不超过35℃，相对湿度不超过85%，保持储存容器密封。应与禁配物分开存放，切忌混储。储区备有泄漏应急处理设备和合适的收容材料。起运时包装要完整，装载应稳妥。运输过程中需要确保容器不泄漏、不倒塌、不坠落、不损坏。严禁与易燃及其它禁配物混装混运。运输时运输车辆应配备泄漏应急处理设备。运输途中应防暴晒、雨淋、防高温。公里运输时要按规定的线路行驶，勿在居民区和人口稠密区停留。</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根据《危险废物贮存污染控制标准》（GB18597-2001）及2013年其修改单主要建设指标，已经设置危废暂存库，面积约300m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，并贴有危废标示。同时，根据《危险废物贮存污染控制标准》（G18597-2001）及修改单要求，危险废物堆放场地相关要求如下：</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（1）基础必须防渗，防渗层为至少1米厚粘土层（渗透系数≤10</w:t>
      </w:r>
      <w:r>
        <w:rPr>
          <w:rFonts w:hint="default" w:ascii="Times New Roman" w:hAnsi="Times New Roman" w:cs="Times New Roman"/>
          <w:color w:val="000000" w:themeColor="text1"/>
          <w:sz w:val="24"/>
          <w:vertAlign w:val="superscript"/>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厘米/秒），或2毫米厚高密度聚乙烯，或至少2毫米厚的其它人工材料，渗透系数≤10</w:t>
      </w:r>
      <w:r>
        <w:rPr>
          <w:rFonts w:hint="default" w:ascii="Times New Roman" w:hAnsi="Times New Roman" w:cs="Times New Roman"/>
          <w:color w:val="000000" w:themeColor="text1"/>
          <w:sz w:val="24"/>
          <w:vertAlign w:val="super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厘米/秒。</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（2）堆放危险废物的高度应根据地面承载能力确定</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（3）衬里放在一个基础或底座上</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（4）衬里要能够覆盖危险废物或其溶出物可能涉及到的范围</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（5）衬里材料与堆放危险废物相容</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（6）在衬里上设计、建造浸出液收集清除系统</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（7）应建造径流疏导系统，以防25年一遇的暴雨不会流到危险废物堆里</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（8）危险废物堆要防风、防雨、防晒。产生量大的危险废物可以散装方式堆放贮存在按上述要求设计的废物堆里。</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（9）不相容的危险废物不能堆放在一起。</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同时加强管理，落实责任制，建立建设项目固体废物分类存放和管理台帐、转移计划和联单、申报登记和污染事故应急预案等制度。</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同时项目危险废物在运输过程中必须如下要求严格控制：</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运输线路尽量避开居民集中区、饮用水源保护区等环境敏感点，按当地政府、交通、公安、环保相关部门规定的线路行使。运输前需做好周密的运输计划和行使路线，其中应包括废物泄露情况下的有效应急措施；</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运输车辆必须采用专用槽车或者需有塑料内衬和帆布盖顶，完善原料及固体废物的封装、加强装卸运输车辆的防淋、防漏、防腐、防扬撒措施，不得超载，避免受振将有可能漏泄出含危险组分而对沿途带来的二次污染环境；</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（3）运输工具未经消除污染不能装载其他物品；</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（4）运输车辆应设置明显的标志并经常维护保养，保证车况良好和行车安全；</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（5）运输必须由专业运输车辆和专业人员承运。从事运输人员，应接受专门安全培训后方可上岗。</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（6）须做好危险废物情况的纪录，记录上须注明危险废物的名称、来源、数量、特性和包装容器的类别、入库日期、堆放库位，做好危废“五联单”交接管理。</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综上所述，项目固体废物处理处置符合《危险废物贮存污染控制标准》（GB18597-2001）及修改单规定，对周围环境造成的影响很小。</w:t>
      </w:r>
    </w:p>
    <w:p>
      <w:pPr>
        <w:pStyle w:val="4"/>
        <w:rPr>
          <w:color w:val="000000" w:themeColor="text1"/>
          <w14:textFill>
            <w14:solidFill>
              <w14:schemeClr w14:val="tx1"/>
            </w14:solidFill>
          </w14:textFill>
        </w:rPr>
      </w:pPr>
      <w:bookmarkStart w:id="504" w:name="_Toc32158"/>
      <w:r>
        <w:rPr>
          <w:color w:val="000000" w:themeColor="text1"/>
          <w14:textFill>
            <w14:solidFill>
              <w14:schemeClr w14:val="tx1"/>
            </w14:solidFill>
          </w14:textFill>
        </w:rPr>
        <w:t>土壤污染防治措施</w:t>
      </w:r>
      <w:bookmarkEnd w:id="504"/>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（1）源头控制</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从污染物源头控制排放，采用经济可行且效率高的大气污染防治措施，确保设施正常运行，故障后立刻停工整修。同时大力推广闭路循环、清洁工艺，以减少污染物；控制污染物排放的数量和浓度，使之符合排放标准和总量控制要求。</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（2）过程防控措施</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①应加强绿化工作，尽量选择适宜当地环境且对大气污染物具有较强吸附能力的植物，从而控制污染物通过大气沉降影响土壤环境。</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②严格按照防渗分区及防渗要求，对各构筑物采取相应的防渗措施；装置和管道等存在土壤污染风险的设施，应当按照国家有关标准和规范的要求，设计、建设和安装有关防腐蚀、防泄漏设施和泄漏监测装置，从而控制污染物通过垂直入渗影响土壤环境。</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③厂区内设事故水池，事故状态下产生的事故废水暂贮存于事故水池。</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④建立土壤污染隐患排查治理制度，定期对重点区域、重点设施开展隐患排查。发现污染隐患的，应当制定整改方案，及时采取技术、管理措施消除隐患。隐患排查、治理情况应当如实记录并建立档案。</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⑤按照相关技术规范要求，自行或者委托第三方定期开展土壤监测，重点监测存在污染隐患的区域和设施周边的土壤、地下水，并按照规定公开相关信息。</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⑥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pPr>
        <w:pStyle w:val="126"/>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（3）跟踪监测</w:t>
      </w:r>
    </w:p>
    <w:p>
      <w:pPr>
        <w:pStyle w:val="126"/>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立土壤环境监测管理体系，包括制定土壤环境影响跟踪监测计划、建立土壤环境影响跟踪监测制度、配备先进的监测仪器和设备，以便及时发现问题，采取措施。土壤环境跟踪监测遵循重点污染防治区加密监测、以重点影响区和土壤环境敏感目标监测为主、兼顾场区边界的原则。建议充分利用项目前期场地勘察等工作过程建立的监测点进行跟踪监测。土壤监测项目参照《</w:t>
      </w:r>
      <w:r>
        <w:rPr>
          <w:rFonts w:hint="eastAsia" w:ascii="Times New Roman" w:hAnsi="Times New Roman" w:cs="Times New Roman"/>
          <w:color w:val="000000" w:themeColor="text1"/>
          <w:sz w:val="24"/>
          <w:lang w:val="en-US" w:eastAsia="zh-CN"/>
          <w14:textFill>
            <w14:solidFill>
              <w14:schemeClr w14:val="tx1"/>
            </w14:solidFill>
          </w14:textFill>
        </w:rPr>
        <w:t>土壤环境质量建设用地土壤污染风险管控标准（试行）</w:t>
      </w:r>
      <w:r>
        <w:rPr>
          <w:rFonts w:hint="default" w:ascii="Times New Roman" w:hAnsi="Times New Roman" w:cs="Times New Roman"/>
          <w:color w:val="000000" w:themeColor="text1"/>
          <w:sz w:val="24"/>
          <w14:textFill>
            <w14:solidFill>
              <w14:schemeClr w14:val="tx1"/>
            </w14:solidFill>
          </w14:textFill>
        </w:rPr>
        <w:t>》（GB36600-2018）相关要求和潜在污染源特征污染因子确定，由</w:t>
      </w:r>
      <w:r>
        <w:rPr>
          <w:rFonts w:ascii="Times New Roman" w:hAnsi="Times New Roman" w:cs="Times New Roman"/>
          <w:color w:val="000000" w:themeColor="text1"/>
          <w:sz w:val="24"/>
          <w14:textFill>
            <w14:solidFill>
              <w14:schemeClr w14:val="tx1"/>
            </w14:solidFill>
          </w14:textFill>
        </w:rPr>
        <w:t>专人负责监测或者委托专业的机构监测分析。建设单位监测计划应向社会公开。</w:t>
      </w:r>
    </w:p>
    <w:p>
      <w:pPr>
        <w:jc w:val="center"/>
        <w:rPr>
          <w:b/>
          <w:color w:val="000000" w:themeColor="text1"/>
          <w:szCs w:val="24"/>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8</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7</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1</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t xml:space="preserve"> </w:t>
      </w:r>
      <w:r>
        <w:rPr>
          <w:b/>
          <w:bCs/>
          <w:color w:val="000000" w:themeColor="text1"/>
          <w:szCs w:val="24"/>
          <w14:textFill>
            <w14:solidFill>
              <w14:schemeClr w14:val="tx1"/>
            </w14:solidFill>
          </w14:textFill>
        </w:rPr>
        <w:t>土壤跟</w:t>
      </w:r>
      <w:r>
        <w:rPr>
          <w:b/>
          <w:bCs/>
          <w:color w:val="000000" w:themeColor="text1"/>
          <w:spacing w:val="-5"/>
          <w:szCs w:val="24"/>
          <w14:textFill>
            <w14:solidFill>
              <w14:schemeClr w14:val="tx1"/>
            </w14:solidFill>
          </w14:textFill>
        </w:rPr>
        <w:t>踪</w:t>
      </w:r>
      <w:r>
        <w:rPr>
          <w:b/>
          <w:bCs/>
          <w:color w:val="000000" w:themeColor="text1"/>
          <w:szCs w:val="24"/>
          <w14:textFill>
            <w14:solidFill>
              <w14:schemeClr w14:val="tx1"/>
            </w14:solidFill>
          </w14:textFill>
        </w:rPr>
        <w:t>监测计划</w:t>
      </w:r>
    </w:p>
    <w:tbl>
      <w:tblPr>
        <w:tblStyle w:val="4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48"/>
        <w:gridCol w:w="1334"/>
        <w:gridCol w:w="1334"/>
        <w:gridCol w:w="49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02" w:type="pct"/>
            <w:noWrap w:val="0"/>
            <w:vAlign w:val="center"/>
          </w:tcPr>
          <w:p>
            <w:pPr>
              <w:pStyle w:val="112"/>
              <w:keepNext w:val="0"/>
              <w:keepLines w:val="0"/>
              <w:suppressLineNumbers w:val="0"/>
              <w:spacing w:before="17" w:beforeAutospacing="0" w:after="0" w:afterAutospacing="0"/>
              <w:ind w:left="139" w:right="111"/>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监测点位</w:t>
            </w:r>
          </w:p>
        </w:tc>
        <w:tc>
          <w:tcPr>
            <w:tcW w:w="739" w:type="pct"/>
            <w:noWrap w:val="0"/>
            <w:vAlign w:val="center"/>
          </w:tcPr>
          <w:p>
            <w:pPr>
              <w:pStyle w:val="112"/>
              <w:keepNext w:val="0"/>
              <w:keepLines w:val="0"/>
              <w:suppressLineNumbers w:val="0"/>
              <w:spacing w:before="17" w:beforeAutospacing="0" w:after="0" w:afterAutospacing="0"/>
              <w:ind w:left="196" w:right="164"/>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监测层位</w:t>
            </w:r>
          </w:p>
        </w:tc>
        <w:tc>
          <w:tcPr>
            <w:tcW w:w="739" w:type="pct"/>
            <w:noWrap w:val="0"/>
            <w:vAlign w:val="center"/>
          </w:tcPr>
          <w:p>
            <w:pPr>
              <w:pStyle w:val="112"/>
              <w:keepNext w:val="0"/>
              <w:keepLines w:val="0"/>
              <w:suppressLineNumbers w:val="0"/>
              <w:spacing w:before="17" w:beforeAutospacing="0" w:after="0" w:afterAutospacing="0"/>
              <w:ind w:left="217" w:right="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监测项目</w:t>
            </w:r>
          </w:p>
        </w:tc>
        <w:tc>
          <w:tcPr>
            <w:tcW w:w="2720" w:type="pct"/>
            <w:noWrap w:val="0"/>
            <w:vAlign w:val="center"/>
          </w:tcPr>
          <w:p>
            <w:pPr>
              <w:pStyle w:val="112"/>
              <w:keepNext w:val="0"/>
              <w:keepLines w:val="0"/>
              <w:suppressLineNumbers w:val="0"/>
              <w:spacing w:before="17" w:beforeAutospacing="0" w:after="0" w:afterAutospacing="0"/>
              <w:ind w:left="1890" w:right="1844"/>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02" w:type="pct"/>
            <w:noWrap w:val="0"/>
            <w:vAlign w:val="center"/>
          </w:tcPr>
          <w:p>
            <w:pPr>
              <w:pStyle w:val="112"/>
              <w:keepNext w:val="0"/>
              <w:keepLines w:val="0"/>
              <w:suppressLineNumbers w:val="0"/>
              <w:spacing w:before="20" w:beforeAutospacing="0" w:after="0" w:afterAutospacing="0" w:line="265" w:lineRule="exact"/>
              <w:ind w:left="139"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装置区附近</w:t>
            </w:r>
          </w:p>
        </w:tc>
        <w:tc>
          <w:tcPr>
            <w:tcW w:w="739" w:type="pct"/>
            <w:noWrap w:val="0"/>
            <w:vAlign w:val="center"/>
          </w:tcPr>
          <w:p>
            <w:pPr>
              <w:pStyle w:val="112"/>
              <w:keepNext w:val="0"/>
              <w:keepLines w:val="0"/>
              <w:suppressLineNumbers w:val="0"/>
              <w:spacing w:before="20" w:beforeAutospacing="0" w:after="0" w:afterAutospacing="0" w:line="265" w:lineRule="exact"/>
              <w:ind w:left="196" w:right="16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柱状样</w:t>
            </w:r>
          </w:p>
        </w:tc>
        <w:tc>
          <w:tcPr>
            <w:tcW w:w="739" w:type="pct"/>
            <w:noWrap w:val="0"/>
            <w:vAlign w:val="center"/>
          </w:tcPr>
          <w:p>
            <w:pPr>
              <w:pStyle w:val="112"/>
              <w:keepNext w:val="0"/>
              <w:keepLines w:val="0"/>
              <w:suppressLineNumbers w:val="0"/>
              <w:spacing w:before="0" w:beforeAutospacing="0" w:after="0" w:afterAutospacing="0"/>
              <w:ind w:left="321" w:right="0" w:firstLine="105" w:firstLineChars="5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石油烃</w:t>
            </w:r>
          </w:p>
        </w:tc>
        <w:tc>
          <w:tcPr>
            <w:tcW w:w="2720" w:type="pct"/>
            <w:noWrap w:val="0"/>
            <w:vAlign w:val="center"/>
          </w:tcPr>
          <w:p>
            <w:pPr>
              <w:pStyle w:val="112"/>
              <w:keepNext w:val="0"/>
              <w:keepLines w:val="0"/>
              <w:suppressLineNumbers w:val="0"/>
              <w:spacing w:before="20" w:beforeAutospacing="0" w:after="0" w:afterAutospacing="0" w:line="265" w:lineRule="exact"/>
              <w:ind w:left="139" w:right="1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1次/5年，由建设单位自行委托专业监测单位</w:t>
            </w:r>
          </w:p>
        </w:tc>
      </w:tr>
    </w:tbl>
    <w:p>
      <w:pPr>
        <w:jc w:val="center"/>
        <w:rPr>
          <w:color w:val="000000" w:themeColor="text1"/>
          <w:szCs w:val="24"/>
          <w14:textFill>
            <w14:solidFill>
              <w14:schemeClr w14:val="tx1"/>
            </w14:solidFill>
          </w14:textFill>
        </w:rPr>
      </w:pPr>
    </w:p>
    <w:p>
      <w:pPr>
        <w:spacing w:line="360" w:lineRule="auto"/>
        <w:rPr>
          <w:color w:val="000000" w:themeColor="text1"/>
          <w14:textFill>
            <w14:solidFill>
              <w14:schemeClr w14:val="tx1"/>
            </w14:solidFill>
          </w14:textFill>
        </w:rPr>
      </w:pPr>
    </w:p>
    <w:p>
      <w:pPr>
        <w:pStyle w:val="2"/>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505" w:name="_Toc22112"/>
      <w:r>
        <w:rPr>
          <w:color w:val="000000" w:themeColor="text1"/>
          <w14:textFill>
            <w14:solidFill>
              <w14:schemeClr w14:val="tx1"/>
            </w14:solidFill>
          </w14:textFill>
        </w:rPr>
        <w:t>环境风险评价</w:t>
      </w:r>
      <w:bookmarkEnd w:id="505"/>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风险评价是以突发性事故导致的危险物质环境应急性损害防控为目标，对建设项目的环境风险进行分析、预测和评估，提出环境风险预防、控制、减缓措施，明确环境风险监控及应急建议要求，为建设项目环境风险防控提供科学依据。</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根据《建设项目环境风险评价技术导则》(HJ/T 169-2018)，环境风险评价基本内容包括风险调查、环境风险潜势初判、风险识别、风险事故情形分析、风险预测与评价、环境风险管理等。评价具体内容：基于风险调查，分析建设项目物质及工艺系统危险性和环境敏感性，进行风险潜势的判断，确定风险评价等级；风险识别及风险事故情形分析，明确危险物质在生产系统中的主要分布，筛选具有代表性的风险事故情形，合理设定事故源项；各环境要素按确定的评价工作等级分别开展预测评价，分析说明环境风险危害范围与程度，提出环境风险防范基本要求；提出环境风险管理对策，明确环境风险防范措施及突发环境事件应急预案编制要求；综合环境风险评价过程，给出评价结论与建议。 </w:t>
      </w:r>
    </w:p>
    <w:p>
      <w:pPr>
        <w:pStyle w:val="4"/>
        <w:rPr>
          <w:color w:val="000000" w:themeColor="text1"/>
          <w14:textFill>
            <w14:solidFill>
              <w14:schemeClr w14:val="tx1"/>
            </w14:solidFill>
          </w14:textFill>
        </w:rPr>
      </w:pPr>
      <w:bookmarkStart w:id="506" w:name="_Toc13611"/>
      <w:r>
        <w:rPr>
          <w:color w:val="000000" w:themeColor="text1"/>
          <w14:textFill>
            <w14:solidFill>
              <w14:schemeClr w14:val="tx1"/>
            </w14:solidFill>
          </w14:textFill>
        </w:rPr>
        <w:t>风险调查</w:t>
      </w:r>
      <w:bookmarkEnd w:id="506"/>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1、项目风险源调查</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（1）风险物质数量及分布情况</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风险评价技术导则》（HJ/T169-2018）对“危险单元”定义：由一个或多个风险源构成的具有相对独立功能的单元，事故状况下应可实现与其他功能单元的分割，由于本项目所涉及的生产单元和前一个常压装置的无法实现功能分割，故本章将针对常压装置和本项目进行环境风险评价。</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根据工程分析，本项目涉及的本项目风险物质的储存数量和分布情况</w:t>
      </w:r>
      <w:r>
        <w:rPr>
          <w:rFonts w:hint="eastAsia" w:ascii="Times New Roman" w:hAnsi="Times New Roman" w:cs="Times New Roman"/>
          <w:color w:val="000000" w:themeColor="text1"/>
          <w:lang w:val="en-US" w:eastAsia="zh-CN"/>
          <w14:textFill>
            <w14:solidFill>
              <w14:schemeClr w14:val="tx1"/>
            </w14:solidFill>
          </w14:textFill>
        </w:rPr>
        <w:t>见</w:t>
      </w:r>
      <w:r>
        <w:rPr>
          <w:rFonts w:hint="default" w:ascii="Times New Roman" w:hAnsi="Times New Roman" w:cs="Times New Roman"/>
          <w:color w:val="000000" w:themeColor="text1"/>
          <w14:textFill>
            <w14:solidFill>
              <w14:schemeClr w14:val="tx1"/>
            </w14:solidFill>
          </w14:textFill>
        </w:rPr>
        <w:t>下表所示。</w:t>
      </w:r>
    </w:p>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风险物质数量及分布情况一览表</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054"/>
        <w:gridCol w:w="1597"/>
        <w:gridCol w:w="1597"/>
        <w:gridCol w:w="1597"/>
        <w:gridCol w:w="1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风险源</w:t>
            </w:r>
          </w:p>
        </w:tc>
        <w:tc>
          <w:tcPr>
            <w:tcW w:w="111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风险物质</w:t>
            </w:r>
          </w:p>
        </w:tc>
        <w:tc>
          <w:tcPr>
            <w:tcW w:w="86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最大存在量 (t)</w:t>
            </w:r>
          </w:p>
        </w:tc>
        <w:tc>
          <w:tcPr>
            <w:tcW w:w="864" w:type="pct"/>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在线量（t）</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储存位置</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是否属于环境风险物质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原料/</w:t>
            </w:r>
          </w:p>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燃料</w:t>
            </w:r>
          </w:p>
        </w:tc>
        <w:tc>
          <w:tcPr>
            <w:tcW w:w="111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石脑油</w:t>
            </w:r>
          </w:p>
        </w:tc>
        <w:tc>
          <w:tcPr>
            <w:tcW w:w="86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74</w:t>
            </w:r>
          </w:p>
        </w:tc>
        <w:tc>
          <w:tcPr>
            <w:tcW w:w="864" w:type="pct"/>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常压塔</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11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直馏柴油</w:t>
            </w:r>
          </w:p>
        </w:tc>
        <w:tc>
          <w:tcPr>
            <w:tcW w:w="86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50</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常压塔</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11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GPS-200</w:t>
            </w:r>
            <w:r>
              <w:rPr>
                <w:rFonts w:eastAsia="宋体" w:cs="Times New Roman"/>
                <w:color w:val="000000" w:themeColor="text1"/>
                <w:sz w:val="21"/>
                <w14:textFill>
                  <w14:solidFill>
                    <w14:schemeClr w14:val="tx1"/>
                  </w14:solidFill>
                </w14:textFill>
              </w:rPr>
              <w:t>溶剂油</w:t>
            </w:r>
          </w:p>
        </w:tc>
        <w:tc>
          <w:tcPr>
            <w:tcW w:w="86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常压塔</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vMerge w:val="continue"/>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11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（烷基苯料）航煤组分油</w:t>
            </w:r>
          </w:p>
        </w:tc>
        <w:tc>
          <w:tcPr>
            <w:tcW w:w="86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30</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常压塔</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111" w:type="pct"/>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氢气</w:t>
            </w:r>
          </w:p>
        </w:tc>
        <w:tc>
          <w:tcPr>
            <w:tcW w:w="864" w:type="pct"/>
            <w:noWrap w:val="0"/>
            <w:vAlign w:val="center"/>
          </w:tcPr>
          <w:p>
            <w:pPr>
              <w:pStyle w:val="68"/>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864" w:type="pct"/>
            <w:noWrap w:val="0"/>
            <w:vAlign w:val="center"/>
          </w:tcPr>
          <w:p>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0.00014</w:t>
            </w:r>
          </w:p>
        </w:tc>
        <w:tc>
          <w:tcPr>
            <w:tcW w:w="864" w:type="pct"/>
            <w:noWrap w:val="0"/>
            <w:vAlign w:val="center"/>
          </w:tcPr>
          <w:p>
            <w:pPr>
              <w:pStyle w:val="68"/>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氢气输送管道</w:t>
            </w:r>
          </w:p>
        </w:tc>
        <w:tc>
          <w:tcPr>
            <w:tcW w:w="86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产品</w:t>
            </w:r>
          </w:p>
        </w:tc>
        <w:tc>
          <w:tcPr>
            <w:tcW w:w="1111" w:type="pct"/>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200#溶剂油</w:t>
            </w:r>
          </w:p>
        </w:tc>
        <w:tc>
          <w:tcPr>
            <w:tcW w:w="86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24</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现有储罐区</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vMerge w:val="continue"/>
            <w:noWrap w:val="0"/>
            <w:vAlign w:val="center"/>
          </w:tcPr>
          <w:p>
            <w:pPr>
              <w:keepNext w:val="0"/>
              <w:keepLines w:val="0"/>
              <w:suppressLineNumbers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111" w:type="pct"/>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3#粗白油</w:t>
            </w:r>
          </w:p>
        </w:tc>
        <w:tc>
          <w:tcPr>
            <w:tcW w:w="86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56</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现有储罐区</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43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副产品</w:t>
            </w:r>
          </w:p>
        </w:tc>
        <w:tc>
          <w:tcPr>
            <w:tcW w:w="1111" w:type="pct"/>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干气</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w:t>
            </w:r>
          </w:p>
        </w:tc>
        <w:tc>
          <w:tcPr>
            <w:tcW w:w="864" w:type="pct"/>
            <w:noWrap w:val="0"/>
            <w:vAlign w:val="center"/>
          </w:tcPr>
          <w:p>
            <w:pPr>
              <w:keepNext w:val="0"/>
              <w:keepLines w:val="0"/>
              <w:suppressLineNumbers w:val="0"/>
              <w:spacing w:before="0" w:beforeAutospacing="0" w:after="0" w:afterAutospacing="0"/>
              <w:ind w:left="0" w:right="0"/>
              <w:jc w:val="center"/>
              <w:rPr>
                <w:rFonts w:hint="default"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0.314</w:t>
            </w:r>
          </w:p>
        </w:tc>
        <w:tc>
          <w:tcPr>
            <w:tcW w:w="864"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干气输送管道</w:t>
            </w:r>
          </w:p>
        </w:tc>
        <w:tc>
          <w:tcPr>
            <w:tcW w:w="864" w:type="pct"/>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是</w:t>
            </w:r>
          </w:p>
        </w:tc>
      </w:tr>
    </w:tbl>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（2）物质危险性分析</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项目原辅材料、产品、副产品、中间产品、污染物等涉及风险物质的理化性质及危险性见下表所示</w:t>
      </w:r>
      <w:r>
        <w:rPr>
          <w:rFonts w:hint="default" w:ascii="Times New Roman" w:hAnsi="Times New Roman" w:cs="Times New Roman"/>
          <w:color w:val="000000" w:themeColor="text1"/>
          <w14:textFill>
            <w14:solidFill>
              <w14:schemeClr w14:val="tx1"/>
            </w14:solidFill>
          </w14:textFill>
        </w:rPr>
        <w:t>。</w:t>
      </w:r>
    </w:p>
    <w:p>
      <w:pPr>
        <w:keepNext/>
        <w:ind w:firstLine="482" w:firstLineChars="20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STYLEREF 2 \s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9</w:t>
      </w:r>
      <w:r>
        <w:rPr>
          <w:rFonts w:hint="default" w:ascii="Times New Roman" w:hAnsi="Times New Roman" w:cs="Times New Roman"/>
          <w:b/>
          <w:color w:val="000000" w:themeColor="text1"/>
          <w:lang w:val="en-US" w:eastAsia="zh-CN"/>
          <w14:textFill>
            <w14:solidFill>
              <w14:schemeClr w14:val="tx1"/>
            </w14:solidFill>
          </w14:textFill>
        </w:rPr>
        <w:t>.</w:t>
      </w:r>
      <w:r>
        <w:rPr>
          <w:rFonts w:hint="default" w:ascii="Times New Roman" w:hAnsi="Times New Roman" w:cs="Times New Roman"/>
          <w:b/>
          <w:color w:val="000000" w:themeColor="text1"/>
          <w14:textFill>
            <w14:solidFill>
              <w14:schemeClr w14:val="tx1"/>
            </w14:solidFill>
          </w14:textFill>
        </w:rPr>
        <w:t>1</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noBreakHyphen/>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SEQ 表 \* ARABIC \s 2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t xml:space="preserve">  </w:t>
      </w:r>
      <w:r>
        <w:rPr>
          <w:rFonts w:hint="default" w:ascii="Times New Roman" w:hAnsi="Times New Roman" w:eastAsia="宋体" w:cs="Times New Roman"/>
          <w:b/>
          <w:color w:val="000000" w:themeColor="text1"/>
          <w:lang w:val="en-US" w:eastAsia="zh-CN"/>
          <w14:textFill>
            <w14:solidFill>
              <w14:schemeClr w14:val="tx1"/>
            </w14:solidFill>
          </w14:textFill>
        </w:rPr>
        <w:t>航煤组分油</w:t>
      </w:r>
      <w:r>
        <w:rPr>
          <w:rFonts w:hint="default" w:ascii="Times New Roman" w:hAnsi="Times New Roman" w:cs="Times New Roman"/>
          <w:b/>
          <w:color w:val="000000" w:themeColor="text1"/>
          <w14:textFill>
            <w14:solidFill>
              <w14:schemeClr w14:val="tx1"/>
            </w14:solidFill>
          </w14:textFill>
        </w:rPr>
        <w:t>理化性质表和危险性</w:t>
      </w:r>
    </w:p>
    <w:tbl>
      <w:tblPr>
        <w:tblStyle w:val="41"/>
        <w:tblW w:w="9085" w:type="dxa"/>
        <w:tblInd w:w="124"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34"/>
        <w:gridCol w:w="2729"/>
        <w:gridCol w:w="953"/>
        <w:gridCol w:w="1606"/>
        <w:gridCol w:w="689"/>
        <w:gridCol w:w="26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restart"/>
            <w:tcBorders>
              <w:tl2br w:val="nil"/>
              <w:tr2bl w:val="nil"/>
            </w:tcBorders>
            <w:noWrap w:val="0"/>
            <w:vAlign w:val="top"/>
          </w:tcPr>
          <w:p>
            <w:pPr>
              <w:pStyle w:val="112"/>
              <w:keepNext w:val="0"/>
              <w:keepLines w:val="0"/>
              <w:suppressLineNumbers w:val="0"/>
              <w:spacing w:before="2" w:beforeAutospacing="0" w:after="0" w:afterAutospacing="0" w:line="240" w:lineRule="auto"/>
              <w:ind w:left="0" w:right="0"/>
              <w:rPr>
                <w:rFonts w:hint="default" w:ascii="Times New Roman" w:hAnsi="Times New Roman" w:cs="Times New Roman"/>
                <w:b/>
                <w:color w:val="000000" w:themeColor="text1"/>
                <w:sz w:val="21"/>
                <w:szCs w:val="21"/>
                <w14:textFill>
                  <w14:solidFill>
                    <w14:schemeClr w14:val="tx1"/>
                  </w14:solidFill>
                </w14:textFill>
              </w:rPr>
            </w:pPr>
          </w:p>
          <w:p>
            <w:pPr>
              <w:pStyle w:val="112"/>
              <w:keepNext w:val="0"/>
              <w:keepLines w:val="0"/>
              <w:suppressLineNumbers w:val="0"/>
              <w:spacing w:before="0" w:beforeAutospacing="0" w:after="0" w:afterAutospacing="0" w:line="230" w:lineRule="auto"/>
              <w:ind w:left="110" w:right="1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标识</w:t>
            </w:r>
          </w:p>
        </w:tc>
        <w:tc>
          <w:tcPr>
            <w:tcW w:w="3682"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中文名：</w:t>
            </w:r>
            <w:r>
              <w:rPr>
                <w:rFonts w:hint="default" w:ascii="Times New Roman" w:hAnsi="Times New Roman" w:cs="Times New Roman"/>
                <w:color w:val="000000" w:themeColor="text1"/>
                <w:sz w:val="21"/>
                <w:szCs w:val="21"/>
                <w:lang w:val="en-US" w:eastAsia="zh-CN"/>
                <w14:textFill>
                  <w14:solidFill>
                    <w14:schemeClr w14:val="tx1"/>
                  </w14:solidFill>
                </w14:textFill>
              </w:rPr>
              <w:t>航煤组分油</w:t>
            </w:r>
          </w:p>
        </w:tc>
        <w:tc>
          <w:tcPr>
            <w:tcW w:w="4969" w:type="dxa"/>
            <w:gridSpan w:val="3"/>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英文名：Jet fuel No.3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682" w:type="dxa"/>
            <w:gridSpan w:val="2"/>
            <w:tcBorders>
              <w:right w:val="single" w:color="000000" w:sz="4" w:space="0"/>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w:t>
            </w:r>
          </w:p>
        </w:tc>
        <w:tc>
          <w:tcPr>
            <w:tcW w:w="2295" w:type="dxa"/>
            <w:gridSpan w:val="2"/>
            <w:tcBorders>
              <w:left w:val="single" w:color="000000" w:sz="4" w:space="0"/>
              <w:right w:val="single" w:color="000000" w:sz="4" w:space="0"/>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分子量：</w:t>
            </w:r>
          </w:p>
        </w:tc>
        <w:tc>
          <w:tcPr>
            <w:tcW w:w="2674" w:type="dxa"/>
            <w:tcBorders>
              <w:left w:val="single" w:color="000000" w:sz="4" w:space="0"/>
              <w:right w:val="nil"/>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1"/>
                <w14:textFill>
                  <w14:solidFill>
                    <w14:schemeClr w14:val="tx1"/>
                  </w14:solidFill>
                </w14:textFill>
              </w:rPr>
              <w:t xml:space="preserve">CAS </w:t>
            </w:r>
            <w:r>
              <w:rPr>
                <w:rFonts w:hint="default" w:ascii="Times New Roman" w:hAnsi="Times New Roman" w:cs="Times New Roman"/>
                <w:color w:val="000000" w:themeColor="text1"/>
                <w:sz w:val="21"/>
                <w:szCs w:val="21"/>
                <w14:textFill>
                  <w14:solidFill>
                    <w14:schemeClr w14:val="tx1"/>
                  </w14:solidFill>
                </w14:textFill>
              </w:rPr>
              <w:t>号：</w:t>
            </w:r>
            <w:r>
              <w:rPr>
                <w:rFonts w:hint="default" w:ascii="Times New Roman" w:hAnsi="Times New Roman" w:cs="Times New Roman"/>
                <w:color w:val="000000" w:themeColor="text1"/>
                <w:sz w:val="21"/>
                <w:szCs w:val="21"/>
                <w:lang w:val="en-US" w:eastAsia="zh-CN"/>
                <w14:textFill>
                  <w14:solidFill>
                    <w14:schemeClr w14:val="tx1"/>
                  </w14:solidFill>
                </w14:textFill>
              </w:rPr>
              <w:t>8008-20-6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682" w:type="dxa"/>
            <w:gridSpan w:val="2"/>
            <w:tcBorders>
              <w:right w:val="single" w:color="000000" w:sz="4" w:space="0"/>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危险性类别：第3类  易燃液体</w:t>
            </w:r>
          </w:p>
        </w:tc>
        <w:tc>
          <w:tcPr>
            <w:tcW w:w="4969" w:type="dxa"/>
            <w:gridSpan w:val="3"/>
            <w:tcBorders>
              <w:left w:val="single" w:color="000000" w:sz="4" w:space="0"/>
              <w:right w:val="nil"/>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危规号：</w:t>
            </w:r>
            <w:r>
              <w:rPr>
                <w:rFonts w:hint="default" w:ascii="Times New Roman" w:hAnsi="Times New Roman" w:cs="Times New Roman"/>
                <w:color w:val="000000" w:themeColor="text1"/>
                <w:sz w:val="21"/>
                <w:szCs w:val="21"/>
                <w:lang w:val="en-US" w:eastAsia="zh-CN"/>
                <w14:textFill>
                  <w14:solidFill>
                    <w14:schemeClr w14:val="tx1"/>
                  </w14:solidFill>
                </w14:textFill>
              </w:rPr>
              <w:t>33501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434" w:type="dxa"/>
            <w:vMerge w:val="restart"/>
            <w:tcBorders>
              <w:tl2br w:val="nil"/>
              <w:tr2bl w:val="nil"/>
            </w:tcBorders>
            <w:noWrap w:val="0"/>
            <w:vAlign w:val="top"/>
          </w:tcPr>
          <w:p>
            <w:pPr>
              <w:pStyle w:val="112"/>
              <w:keepNext w:val="0"/>
              <w:keepLines w:val="0"/>
              <w:suppressLineNumbers w:val="0"/>
              <w:spacing w:before="0" w:beforeAutospacing="0" w:after="0" w:afterAutospacing="0" w:line="240" w:lineRule="auto"/>
              <w:ind w:left="0" w:right="0"/>
              <w:rPr>
                <w:rFonts w:hint="default" w:ascii="Times New Roman" w:hAnsi="Times New Roman" w:cs="Times New Roman"/>
                <w:b/>
                <w:color w:val="000000" w:themeColor="text1"/>
                <w:sz w:val="21"/>
                <w:szCs w:val="21"/>
                <w14:textFill>
                  <w14:solidFill>
                    <w14:schemeClr w14:val="tx1"/>
                  </w14:solidFill>
                </w14:textFill>
              </w:rPr>
            </w:pPr>
          </w:p>
          <w:p>
            <w:pPr>
              <w:pStyle w:val="112"/>
              <w:keepNext w:val="0"/>
              <w:keepLines w:val="0"/>
              <w:suppressLineNumbers w:val="0"/>
              <w:spacing w:before="9" w:beforeAutospacing="0" w:after="0" w:afterAutospacing="0" w:line="240" w:lineRule="auto"/>
              <w:ind w:left="0" w:right="0"/>
              <w:rPr>
                <w:rFonts w:hint="default" w:ascii="Times New Roman" w:hAnsi="Times New Roman" w:cs="Times New Roman"/>
                <w:b/>
                <w:color w:val="000000" w:themeColor="text1"/>
                <w:sz w:val="21"/>
                <w:szCs w:val="21"/>
                <w14:textFill>
                  <w14:solidFill>
                    <w14:schemeClr w14:val="tx1"/>
                  </w14:solidFill>
                </w14:textFill>
              </w:rPr>
            </w:pPr>
          </w:p>
          <w:p>
            <w:pPr>
              <w:pStyle w:val="112"/>
              <w:keepNext w:val="0"/>
              <w:keepLines w:val="0"/>
              <w:suppressLineNumbers w:val="0"/>
              <w:spacing w:before="0" w:beforeAutospacing="0" w:after="0" w:afterAutospacing="0" w:line="232" w:lineRule="auto"/>
              <w:ind w:left="110" w:right="10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理化性质</w:t>
            </w:r>
          </w:p>
        </w:tc>
        <w:tc>
          <w:tcPr>
            <w:tcW w:w="8651" w:type="dxa"/>
            <w:gridSpan w:val="5"/>
            <w:tcBorders>
              <w:tl2br w:val="nil"/>
              <w:tr2bl w:val="nil"/>
            </w:tcBorders>
            <w:noWrap w:val="0"/>
            <w:vAlign w:val="top"/>
          </w:tcPr>
          <w:p>
            <w:pPr>
              <w:pStyle w:val="112"/>
              <w:keepNext w:val="0"/>
              <w:keepLines w:val="0"/>
              <w:suppressLineNumbers w:val="0"/>
              <w:spacing w:before="8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性状：无色或淡黄色液体。略带臭味。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8651" w:type="dxa"/>
            <w:gridSpan w:val="5"/>
            <w:tcBorders>
              <w:tl2br w:val="nil"/>
              <w:tr2bl w:val="nil"/>
            </w:tcBorders>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溶解性：可与石油系溶剂混溶。对水的溶解度非常小，含有芳香烃的煤油对水的溶解度比脂</w:t>
            </w: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肪烃煤油要大。煤油能溶解无水乙醇。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729" w:type="dxa"/>
            <w:tcBorders>
              <w:tl2br w:val="nil"/>
              <w:tr2bl w:val="nil"/>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w w:val="100"/>
                <w:sz w:val="21"/>
                <w:szCs w:val="21"/>
                <w14:textFill>
                  <w14:solidFill>
                    <w14:schemeClr w14:val="tx1"/>
                  </w14:solidFill>
                </w14:textFill>
              </w:rPr>
              <w:t>熔点</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cs="Times New Roman"/>
                <w:color w:val="000000" w:themeColor="text1"/>
                <w:spacing w:val="-108"/>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p>
        </w:tc>
        <w:tc>
          <w:tcPr>
            <w:tcW w:w="2559" w:type="dxa"/>
            <w:gridSpan w:val="2"/>
            <w:tcBorders>
              <w:tl2br w:val="nil"/>
              <w:tr2bl w:val="nil"/>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w w:val="100"/>
                <w:sz w:val="21"/>
                <w:szCs w:val="21"/>
                <w14:textFill>
                  <w14:solidFill>
                    <w14:schemeClr w14:val="tx1"/>
                  </w14:solidFill>
                </w14:textFill>
              </w:rPr>
              <w:t>沸点</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cs="Times New Roman"/>
                <w:color w:val="000000" w:themeColor="text1"/>
                <w:spacing w:val="-108"/>
                <w:w w:val="100"/>
                <w:sz w:val="21"/>
                <w:szCs w:val="21"/>
                <w14:textFill>
                  <w14:solidFill>
                    <w14:schemeClr w14:val="tx1"/>
                  </w14:solidFill>
                </w14:textFill>
              </w:rPr>
              <w:t>）</w:t>
            </w:r>
            <w:r>
              <w:rPr>
                <w:rFonts w:hint="default" w:ascii="Times New Roman" w:hAnsi="Times New Roman" w:cs="Times New Roman"/>
                <w:color w:val="000000" w:themeColor="text1"/>
                <w:spacing w:val="-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17</w:t>
            </w:r>
            <w:r>
              <w:rPr>
                <w:rFonts w:hint="default" w:ascii="Times New Roman" w:hAnsi="Times New Roman" w:eastAsia="Times New Roman" w:cs="Times New Roman"/>
                <w:color w:val="000000" w:themeColor="text1"/>
                <w:spacing w:val="-2"/>
                <w:w w:val="100"/>
                <w:sz w:val="21"/>
                <w:szCs w:val="21"/>
                <w14:textFill>
                  <w14:solidFill>
                    <w14:schemeClr w14:val="tx1"/>
                  </w14:solidFill>
                </w14:textFill>
              </w:rPr>
              <w:t>5</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3</w:t>
            </w:r>
            <w:r>
              <w:rPr>
                <w:rFonts w:hint="default" w:ascii="Times New Roman" w:hAnsi="Times New Roman" w:eastAsia="Times New Roman" w:cs="Times New Roman"/>
                <w:color w:val="000000" w:themeColor="text1"/>
                <w:spacing w:val="-3"/>
                <w:w w:val="100"/>
                <w:sz w:val="21"/>
                <w:szCs w:val="21"/>
                <w14:textFill>
                  <w14:solidFill>
                    <w14:schemeClr w14:val="tx1"/>
                  </w14:solidFill>
                </w14:textFill>
              </w:rPr>
              <w:t>2</w:t>
            </w:r>
            <w:r>
              <w:rPr>
                <w:rFonts w:hint="default" w:ascii="Times New Roman" w:hAnsi="Times New Roman" w:eastAsia="Times New Roman" w:cs="Times New Roman"/>
                <w:color w:val="000000" w:themeColor="text1"/>
                <w:w w:val="100"/>
                <w:sz w:val="21"/>
                <w:szCs w:val="21"/>
                <w14:textFill>
                  <w14:solidFill>
                    <w14:schemeClr w14:val="tx1"/>
                  </w14:solidFill>
                </w14:textFill>
              </w:rPr>
              <w:t>5</w:t>
            </w:r>
          </w:p>
        </w:tc>
        <w:tc>
          <w:tcPr>
            <w:tcW w:w="3363" w:type="dxa"/>
            <w:gridSpan w:val="2"/>
            <w:tcBorders>
              <w:tl2br w:val="nil"/>
              <w:tr2bl w:val="nil"/>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相对密度</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水</w:t>
            </w:r>
            <w:r>
              <w:rPr>
                <w:rFonts w:hint="default" w:ascii="Times New Roman" w:hAnsi="Times New Roman" w:cs="Times New Roman"/>
                <w:color w:val="000000" w:themeColor="text1"/>
                <w:spacing w:val="-2"/>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1</w:t>
            </w:r>
            <w:r>
              <w:rPr>
                <w:rFonts w:hint="default" w:ascii="Times New Roman" w:hAnsi="Times New Roman" w:cs="Times New Roman"/>
                <w:color w:val="000000" w:themeColor="text1"/>
                <w:spacing w:val="-106"/>
                <w:w w:val="100"/>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729" w:type="dxa"/>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临界温度</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cs="Times New Roman"/>
                <w:color w:val="000000" w:themeColor="text1"/>
                <w:spacing w:val="-108"/>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p>
        </w:tc>
        <w:tc>
          <w:tcPr>
            <w:tcW w:w="2559"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临界压力</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eastAsia="Times New Roman" w:cs="Times New Roman"/>
                <w:color w:val="000000" w:themeColor="text1"/>
                <w:spacing w:val="-3"/>
                <w:w w:val="100"/>
                <w:sz w:val="21"/>
                <w:szCs w:val="21"/>
                <w14:textFill>
                  <w14:solidFill>
                    <w14:schemeClr w14:val="tx1"/>
                  </w14:solidFill>
                </w14:textFill>
              </w:rPr>
              <w:t>M</w:t>
            </w:r>
            <w:r>
              <w:rPr>
                <w:rFonts w:hint="default" w:ascii="Times New Roman" w:hAnsi="Times New Roman" w:eastAsia="Times New Roman" w:cs="Times New Roman"/>
                <w:color w:val="000000" w:themeColor="text1"/>
                <w:spacing w:val="2"/>
                <w:w w:val="100"/>
                <w:sz w:val="21"/>
                <w:szCs w:val="21"/>
                <w14:textFill>
                  <w14:solidFill>
                    <w14:schemeClr w14:val="tx1"/>
                  </w14:solidFill>
                </w14:textFill>
              </w:rPr>
              <w:t>P</w:t>
            </w:r>
            <w:r>
              <w:rPr>
                <w:rFonts w:hint="default" w:ascii="Times New Roman" w:hAnsi="Times New Roman" w:eastAsia="Times New Roman" w:cs="Times New Roman"/>
                <w:color w:val="000000" w:themeColor="text1"/>
                <w:w w:val="100"/>
                <w:sz w:val="21"/>
                <w:szCs w:val="21"/>
                <w14:textFill>
                  <w14:solidFill>
                    <w14:schemeClr w14:val="tx1"/>
                  </w14:solidFill>
                </w14:textFill>
              </w:rPr>
              <w:t>a</w:t>
            </w:r>
            <w:r>
              <w:rPr>
                <w:rFonts w:hint="default" w:ascii="Times New Roman" w:hAnsi="Times New Roman" w:cs="Times New Roman"/>
                <w:color w:val="000000" w:themeColor="text1"/>
                <w:spacing w:val="-108"/>
                <w:w w:val="100"/>
                <w:sz w:val="21"/>
                <w:szCs w:val="21"/>
                <w14:textFill>
                  <w14:solidFill>
                    <w14:schemeClr w14:val="tx1"/>
                  </w14:solidFill>
                </w14:textFill>
              </w:rPr>
              <w:t>）：</w:t>
            </w:r>
          </w:p>
        </w:tc>
        <w:tc>
          <w:tcPr>
            <w:tcW w:w="3363"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相对密度</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cs="Times New Roman"/>
                <w:color w:val="000000" w:themeColor="text1"/>
                <w:spacing w:val="-2"/>
                <w:w w:val="100"/>
                <w:sz w:val="21"/>
                <w:szCs w:val="21"/>
                <w14:textFill>
                  <w14:solidFill>
                    <w14:schemeClr w14:val="tx1"/>
                  </w14:solidFill>
                </w14:textFill>
              </w:rPr>
              <w:t>空气</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1</w:t>
            </w:r>
            <w:r>
              <w:rPr>
                <w:rFonts w:hint="default" w:ascii="Times New Roman" w:hAnsi="Times New Roman" w:cs="Times New Roman"/>
                <w:color w:val="000000" w:themeColor="text1"/>
                <w:spacing w:val="-108"/>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0</w:t>
            </w:r>
            <w:r>
              <w:rPr>
                <w:rFonts w:hint="default" w:ascii="Times New Roman" w:hAnsi="Times New Roman" w:eastAsia="Times New Roman" w:cs="Times New Roman"/>
                <w:color w:val="000000" w:themeColor="text1"/>
                <w:spacing w:val="-3"/>
                <w:w w:val="100"/>
                <w:sz w:val="21"/>
                <w:szCs w:val="21"/>
                <w14:textFill>
                  <w14:solidFill>
                    <w14:schemeClr w14:val="tx1"/>
                  </w14:solidFill>
                </w14:textFill>
              </w:rPr>
              <w:t>.8</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2729" w:type="dxa"/>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燃烧热（</w:t>
            </w:r>
            <w:r>
              <w:rPr>
                <w:rFonts w:hint="default" w:ascii="Times New Roman" w:hAnsi="Times New Roman" w:eastAsia="Times New Roman" w:cs="Times New Roman"/>
                <w:color w:val="000000" w:themeColor="text1"/>
                <w:spacing w:val="-4"/>
                <w:w w:val="100"/>
                <w:sz w:val="21"/>
                <w:szCs w:val="21"/>
                <w14:textFill>
                  <w14:solidFill>
                    <w14:schemeClr w14:val="tx1"/>
                  </w14:solidFill>
                </w14:textFill>
              </w:rPr>
              <w:t>K</w:t>
            </w:r>
            <w:r>
              <w:rPr>
                <w:rFonts w:hint="default" w:ascii="Times New Roman" w:hAnsi="Times New Roman" w:eastAsia="Times New Roman" w:cs="Times New Roman"/>
                <w:color w:val="000000" w:themeColor="text1"/>
                <w:spacing w:val="1"/>
                <w:w w:val="100"/>
                <w:sz w:val="21"/>
                <w:szCs w:val="21"/>
                <w14:textFill>
                  <w14:solidFill>
                    <w14:schemeClr w14:val="tx1"/>
                  </w14:solidFill>
                </w14:textFill>
              </w:rPr>
              <w:t>J</w:t>
            </w:r>
            <w:r>
              <w:rPr>
                <w:rFonts w:hint="default" w:ascii="Times New Roman" w:hAnsi="Times New Roman" w:eastAsia="Times New Roman" w:cs="Times New Roman"/>
                <w:color w:val="000000" w:themeColor="text1"/>
                <w:spacing w:val="-2"/>
                <w:w w:val="100"/>
                <w:sz w:val="21"/>
                <w:szCs w:val="21"/>
                <w14:textFill>
                  <w14:solidFill>
                    <w14:schemeClr w14:val="tx1"/>
                  </w14:solidFill>
                </w14:textFill>
              </w:rPr>
              <w:t>/</w:t>
            </w:r>
            <w:r>
              <w:rPr>
                <w:rFonts w:hint="default" w:ascii="Times New Roman" w:hAnsi="Times New Roman" w:eastAsia="Times New Roman" w:cs="Times New Roman"/>
                <w:color w:val="000000" w:themeColor="text1"/>
                <w:spacing w:val="-4"/>
                <w:w w:val="100"/>
                <w:sz w:val="21"/>
                <w:szCs w:val="21"/>
                <w14:textFill>
                  <w14:solidFill>
                    <w14:schemeClr w14:val="tx1"/>
                  </w14:solidFill>
                </w14:textFill>
              </w:rPr>
              <w:t>m</w:t>
            </w:r>
            <w:r>
              <w:rPr>
                <w:rFonts w:hint="default" w:ascii="Times New Roman" w:hAnsi="Times New Roman" w:eastAsia="Times New Roman" w:cs="Times New Roman"/>
                <w:color w:val="000000" w:themeColor="text1"/>
                <w:w w:val="100"/>
                <w:sz w:val="21"/>
                <w:szCs w:val="21"/>
                <w14:textFill>
                  <w14:solidFill>
                    <w14:schemeClr w14:val="tx1"/>
                  </w14:solidFill>
                </w14:textFill>
              </w:rPr>
              <w:t>o</w:t>
            </w:r>
            <w:r>
              <w:rPr>
                <w:rFonts w:hint="default" w:ascii="Times New Roman" w:hAnsi="Times New Roman" w:eastAsia="Times New Roman" w:cs="Times New Roman"/>
                <w:color w:val="000000" w:themeColor="text1"/>
                <w:spacing w:val="-1"/>
                <w:w w:val="100"/>
                <w:sz w:val="21"/>
                <w:szCs w:val="21"/>
                <w14:textFill>
                  <w14:solidFill>
                    <w14:schemeClr w14:val="tx1"/>
                  </w14:solidFill>
                </w14:textFill>
              </w:rPr>
              <w:t>l</w:t>
            </w:r>
            <w:r>
              <w:rPr>
                <w:rFonts w:hint="default" w:ascii="Times New Roman" w:hAnsi="Times New Roman" w:cs="Times New Roman"/>
                <w:color w:val="000000" w:themeColor="text1"/>
                <w:spacing w:val="-106"/>
                <w:w w:val="100"/>
                <w:sz w:val="21"/>
                <w:szCs w:val="21"/>
                <w14:textFill>
                  <w14:solidFill>
                    <w14:schemeClr w14:val="tx1"/>
                  </w14:solidFill>
                </w14:textFill>
              </w:rPr>
              <w:t>）：</w:t>
            </w:r>
          </w:p>
        </w:tc>
        <w:tc>
          <w:tcPr>
            <w:tcW w:w="2559"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w w:val="100"/>
                <w:sz w:val="21"/>
                <w:szCs w:val="21"/>
                <w14:textFill>
                  <w14:solidFill>
                    <w14:schemeClr w14:val="tx1"/>
                  </w14:solidFill>
                </w14:textFill>
              </w:rPr>
              <w:t>最小点火能</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spacing w:val="-4"/>
                <w:w w:val="100"/>
                <w:sz w:val="21"/>
                <w:szCs w:val="21"/>
                <w14:textFill>
                  <w14:solidFill>
                    <w14:schemeClr w14:val="tx1"/>
                  </w14:solidFill>
                </w14:textFill>
              </w:rPr>
              <w:t>m</w:t>
            </w:r>
            <w:r>
              <w:rPr>
                <w:rFonts w:hint="default" w:ascii="Times New Roman" w:hAnsi="Times New Roman" w:eastAsia="Times New Roman" w:cs="Times New Roman"/>
                <w:color w:val="000000" w:themeColor="text1"/>
                <w:spacing w:val="1"/>
                <w:w w:val="100"/>
                <w:sz w:val="21"/>
                <w:szCs w:val="21"/>
                <w14:textFill>
                  <w14:solidFill>
                    <w14:schemeClr w14:val="tx1"/>
                  </w14:solidFill>
                </w14:textFill>
              </w:rPr>
              <w:t>J</w:t>
            </w:r>
            <w:r>
              <w:rPr>
                <w:rFonts w:hint="default" w:ascii="Times New Roman" w:hAnsi="Times New Roman" w:cs="Times New Roman"/>
                <w:color w:val="000000" w:themeColor="text1"/>
                <w:spacing w:val="-108"/>
                <w:w w:val="100"/>
                <w:sz w:val="21"/>
                <w:szCs w:val="21"/>
                <w14:textFill>
                  <w14:solidFill>
                    <w14:schemeClr w14:val="tx1"/>
                  </w14:solidFill>
                </w14:textFill>
              </w:rPr>
              <w:t>）：</w:t>
            </w:r>
          </w:p>
        </w:tc>
        <w:tc>
          <w:tcPr>
            <w:tcW w:w="3363"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w w:val="100"/>
                <w:sz w:val="21"/>
                <w:szCs w:val="21"/>
                <w14:textFill>
                  <w14:solidFill>
                    <w14:schemeClr w14:val="tx1"/>
                  </w14:solidFill>
                </w14:textFill>
              </w:rPr>
              <w:t>饱和蒸汽压</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spacing w:val="-4"/>
                <w:w w:val="100"/>
                <w:sz w:val="21"/>
                <w:szCs w:val="21"/>
                <w14:textFill>
                  <w14:solidFill>
                    <w14:schemeClr w14:val="tx1"/>
                  </w14:solidFill>
                </w14:textFill>
              </w:rPr>
              <w:t>K</w:t>
            </w:r>
            <w:r>
              <w:rPr>
                <w:rFonts w:hint="default" w:ascii="Times New Roman" w:hAnsi="Times New Roman" w:eastAsia="Times New Roman" w:cs="Times New Roman"/>
                <w:color w:val="000000" w:themeColor="text1"/>
                <w:spacing w:val="2"/>
                <w:w w:val="100"/>
                <w:sz w:val="21"/>
                <w:szCs w:val="21"/>
                <w14:textFill>
                  <w14:solidFill>
                    <w14:schemeClr w14:val="tx1"/>
                  </w14:solidFill>
                </w14:textFill>
              </w:rPr>
              <w:t>P</w:t>
            </w:r>
            <w:r>
              <w:rPr>
                <w:rFonts w:hint="default" w:ascii="Times New Roman" w:hAnsi="Times New Roman" w:eastAsia="Times New Roman" w:cs="Times New Roman"/>
                <w:color w:val="000000" w:themeColor="text1"/>
                <w:spacing w:val="-3"/>
                <w:w w:val="100"/>
                <w:sz w:val="21"/>
                <w:szCs w:val="21"/>
                <w14:textFill>
                  <w14:solidFill>
                    <w14:schemeClr w14:val="tx1"/>
                  </w14:solidFill>
                </w14:textFill>
              </w:rPr>
              <w:t>a</w:t>
            </w:r>
            <w:r>
              <w:rPr>
                <w:rFonts w:hint="default" w:ascii="Times New Roman" w:hAnsi="Times New Roman" w:cs="Times New Roman"/>
                <w:color w:val="000000" w:themeColor="text1"/>
                <w:spacing w:val="-106"/>
                <w:w w:val="100"/>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434" w:type="dxa"/>
            <w:vMerge w:val="restart"/>
            <w:tcBorders>
              <w:tl2br w:val="nil"/>
              <w:tr2bl w:val="nil"/>
            </w:tcBorders>
            <w:noWrap w:val="0"/>
            <w:vAlign w:val="top"/>
          </w:tcPr>
          <w:p>
            <w:pPr>
              <w:pStyle w:val="112"/>
              <w:keepNext w:val="0"/>
              <w:keepLines w:val="0"/>
              <w:suppressLineNumbers w:val="0"/>
              <w:spacing w:before="0" w:beforeAutospacing="0" w:after="0" w:afterAutospacing="0" w:line="240" w:lineRule="auto"/>
              <w:ind w:left="0" w:right="0"/>
              <w:rPr>
                <w:rFonts w:hint="default" w:ascii="Times New Roman" w:hAnsi="Times New Roman" w:cs="Times New Roman"/>
                <w:b/>
                <w:color w:val="000000" w:themeColor="text1"/>
                <w:sz w:val="21"/>
                <w:szCs w:val="21"/>
                <w14:textFill>
                  <w14:solidFill>
                    <w14:schemeClr w14:val="tx1"/>
                  </w14:solidFill>
                </w14:textFill>
              </w:rPr>
            </w:pPr>
          </w:p>
          <w:p>
            <w:pPr>
              <w:pStyle w:val="112"/>
              <w:keepNext w:val="0"/>
              <w:keepLines w:val="0"/>
              <w:suppressLineNumbers w:val="0"/>
              <w:spacing w:before="130" w:beforeAutospacing="0" w:after="0" w:afterAutospacing="0" w:line="232" w:lineRule="auto"/>
              <w:ind w:left="110" w:right="10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燃烧爆炸危险性</w:t>
            </w:r>
          </w:p>
        </w:tc>
        <w:tc>
          <w:tcPr>
            <w:tcW w:w="3682"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燃烧性：易燃</w:t>
            </w:r>
          </w:p>
        </w:tc>
        <w:tc>
          <w:tcPr>
            <w:tcW w:w="4969" w:type="dxa"/>
            <w:gridSpan w:val="3"/>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燃烧分解产物：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682" w:type="dxa"/>
            <w:gridSpan w:val="2"/>
            <w:tcBorders>
              <w:tl2br w:val="nil"/>
              <w:tr2bl w:val="nil"/>
            </w:tcBorders>
            <w:noWrap w:val="0"/>
            <w:vAlign w:val="top"/>
          </w:tcPr>
          <w:p>
            <w:pPr>
              <w:pStyle w:val="112"/>
              <w:keepNext w:val="0"/>
              <w:keepLines w:val="0"/>
              <w:suppressLineNumbers w:val="0"/>
              <w:spacing w:before="80" w:beforeAutospacing="0" w:after="0" w:afterAutospacing="0"/>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w w:val="100"/>
                <w:sz w:val="21"/>
                <w:szCs w:val="21"/>
                <w14:textFill>
                  <w14:solidFill>
                    <w14:schemeClr w14:val="tx1"/>
                  </w14:solidFill>
                </w14:textFill>
              </w:rPr>
              <w:t>闪点</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cs="Times New Roman"/>
                <w:color w:val="000000" w:themeColor="text1"/>
                <w:spacing w:val="-108"/>
                <w:w w:val="100"/>
                <w:sz w:val="21"/>
                <w:szCs w:val="21"/>
                <w14:textFill>
                  <w14:solidFill>
                    <w14:schemeClr w14:val="tx1"/>
                  </w14:solidFill>
                </w14:textFill>
              </w:rPr>
              <w:t>）</w:t>
            </w:r>
            <w:r>
              <w:rPr>
                <w:rFonts w:hint="default" w:ascii="Times New Roman" w:hAnsi="Times New Roman" w:cs="Times New Roman"/>
                <w:color w:val="000000" w:themeColor="text1"/>
                <w:spacing w:val="-1"/>
                <w:w w:val="100"/>
                <w:sz w:val="21"/>
                <w:szCs w:val="21"/>
                <w14:textFill>
                  <w14:solidFill>
                    <w14:schemeClr w14:val="tx1"/>
                  </w14:solidFill>
                </w14:textFill>
              </w:rPr>
              <w:t>：＞</w:t>
            </w:r>
            <w:r>
              <w:rPr>
                <w:rFonts w:hint="default" w:ascii="Times New Roman" w:hAnsi="Times New Roman" w:cs="Times New Roman"/>
                <w:color w:val="000000" w:themeColor="text1"/>
                <w:spacing w:val="-3"/>
                <w:w w:val="100"/>
                <w:sz w:val="21"/>
                <w:szCs w:val="21"/>
                <w:lang w:val="en-US" w:eastAsia="zh-CN"/>
                <w14:textFill>
                  <w14:solidFill>
                    <w14:schemeClr w14:val="tx1"/>
                  </w14:solidFill>
                </w14:textFill>
              </w:rPr>
              <w:t>38</w:t>
            </w:r>
          </w:p>
        </w:tc>
        <w:tc>
          <w:tcPr>
            <w:tcW w:w="4969" w:type="dxa"/>
            <w:gridSpan w:val="3"/>
            <w:tcBorders>
              <w:tl2br w:val="nil"/>
              <w:tr2bl w:val="nil"/>
            </w:tcBorders>
            <w:noWrap w:val="0"/>
            <w:vAlign w:val="top"/>
          </w:tcPr>
          <w:p>
            <w:pPr>
              <w:pStyle w:val="112"/>
              <w:keepNext w:val="0"/>
              <w:keepLines w:val="0"/>
              <w:suppressLineNumbers w:val="0"/>
              <w:spacing w:before="8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聚合危害：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682"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爆炸下限</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eastAsia" w:ascii="Times New Roman" w:hAnsi="Times New Roman" w:cs="Times New Roman"/>
                <w:color w:val="000000" w:themeColor="text1"/>
                <w:w w:val="100"/>
                <w:sz w:val="21"/>
                <w:szCs w:val="21"/>
                <w:lang w:val="en-US" w:eastAsia="zh-CN"/>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0.5</w:t>
            </w:r>
          </w:p>
        </w:tc>
        <w:tc>
          <w:tcPr>
            <w:tcW w:w="4969" w:type="dxa"/>
            <w:gridSpan w:val="3"/>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稳定性：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3682" w:type="dxa"/>
            <w:gridSpan w:val="2"/>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爆炸上限</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eastAsia" w:ascii="Times New Roman" w:hAnsi="Times New Roman" w:cs="Times New Roman"/>
                <w:color w:val="000000" w:themeColor="text1"/>
                <w:spacing w:val="-3"/>
                <w:w w:val="10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108"/>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0.7</w:t>
            </w:r>
          </w:p>
        </w:tc>
        <w:tc>
          <w:tcPr>
            <w:tcW w:w="4969" w:type="dxa"/>
            <w:gridSpan w:val="3"/>
            <w:tcBorders>
              <w:tl2br w:val="nil"/>
              <w:tr2bl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w w:val="100"/>
                <w:sz w:val="21"/>
                <w:szCs w:val="21"/>
                <w14:textFill>
                  <w14:solidFill>
                    <w14:schemeClr w14:val="tx1"/>
                  </w14:solidFill>
                </w14:textFill>
              </w:rPr>
              <w:t>最大爆炸压力</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eastAsia="Times New Roman" w:cs="Times New Roman"/>
                <w:color w:val="000000" w:themeColor="text1"/>
                <w:spacing w:val="-3"/>
                <w:w w:val="100"/>
                <w:sz w:val="21"/>
                <w:szCs w:val="21"/>
                <w14:textFill>
                  <w14:solidFill>
                    <w14:schemeClr w14:val="tx1"/>
                  </w14:solidFill>
                </w14:textFill>
              </w:rPr>
              <w:t>M</w:t>
            </w:r>
            <w:r>
              <w:rPr>
                <w:rFonts w:hint="default" w:ascii="Times New Roman" w:hAnsi="Times New Roman" w:eastAsia="Times New Roman" w:cs="Times New Roman"/>
                <w:color w:val="000000" w:themeColor="text1"/>
                <w:spacing w:val="2"/>
                <w:w w:val="100"/>
                <w:sz w:val="21"/>
                <w:szCs w:val="21"/>
                <w14:textFill>
                  <w14:solidFill>
                    <w14:schemeClr w14:val="tx1"/>
                  </w14:solidFill>
                </w14:textFill>
              </w:rPr>
              <w:t>P</w:t>
            </w:r>
            <w:r>
              <w:rPr>
                <w:rFonts w:hint="default" w:ascii="Times New Roman" w:hAnsi="Times New Roman" w:eastAsia="Times New Roman" w:cs="Times New Roman"/>
                <w:color w:val="000000" w:themeColor="text1"/>
                <w:w w:val="100"/>
                <w:sz w:val="21"/>
                <w:szCs w:val="21"/>
                <w14:textFill>
                  <w14:solidFill>
                    <w14:schemeClr w14:val="tx1"/>
                  </w14:solidFill>
                </w14:textFill>
              </w:rPr>
              <w:t>a</w:t>
            </w:r>
            <w:r>
              <w:rPr>
                <w:rFonts w:hint="default" w:ascii="Times New Roman" w:hAnsi="Times New Roman" w:cs="Times New Roman"/>
                <w:color w:val="000000" w:themeColor="text1"/>
                <w:spacing w:val="-108"/>
                <w:w w:val="100"/>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eastAsia="宋体" w:cs="Times New Roman"/>
                <w:color w:val="000000" w:themeColor="text1"/>
                <w:sz w:val="21"/>
                <w:szCs w:val="21"/>
                <w14:textFill>
                  <w14:solidFill>
                    <w14:schemeClr w14:val="tx1"/>
                  </w14:solidFill>
                </w14:textFill>
              </w:rPr>
            </w:pPr>
          </w:p>
        </w:tc>
        <w:tc>
          <w:tcPr>
            <w:tcW w:w="3682" w:type="dxa"/>
            <w:gridSpan w:val="2"/>
            <w:tcBorders>
              <w:tl2br w:val="nil"/>
              <w:tr2bl w:val="nil"/>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eastAsia="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w w:val="100"/>
                <w:sz w:val="21"/>
                <w:szCs w:val="21"/>
                <w14:textFill>
                  <w14:solidFill>
                    <w14:schemeClr w14:val="tx1"/>
                  </w14:solidFill>
                </w14:textFill>
              </w:rPr>
              <w:t>引燃温度</w:t>
            </w:r>
            <w:r>
              <w:rPr>
                <w:rFonts w:hint="default" w:ascii="Times New Roman" w:hAnsi="Times New Roman" w:cs="Times New Roman"/>
                <w:color w:val="000000" w:themeColor="text1"/>
                <w:spacing w:val="-3"/>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cs="Times New Roman"/>
                <w:color w:val="000000" w:themeColor="text1"/>
                <w:spacing w:val="-108"/>
                <w:w w:val="100"/>
                <w:sz w:val="21"/>
                <w:szCs w:val="21"/>
                <w14:textFill>
                  <w14:solidFill>
                    <w14:schemeClr w14:val="tx1"/>
                  </w14:solidFill>
                </w14:textFill>
              </w:rPr>
              <w:t>）</w:t>
            </w:r>
            <w:r>
              <w:rPr>
                <w:rFonts w:hint="default" w:ascii="Times New Roman" w:hAnsi="Times New Roman" w:cs="Times New Roman"/>
                <w:color w:val="000000" w:themeColor="text1"/>
                <w:w w:val="100"/>
                <w:sz w:val="21"/>
                <w:szCs w:val="21"/>
                <w14:textFill>
                  <w14:solidFill>
                    <w14:schemeClr w14:val="tx1"/>
                  </w14:solidFill>
                </w14:textFill>
              </w:rPr>
              <w:t>：</w:t>
            </w:r>
            <w:r>
              <w:rPr>
                <w:rFonts w:hint="default" w:ascii="Times New Roman" w:hAnsi="Times New Roman" w:eastAsia="Times New Roman" w:cs="Times New Roman"/>
                <w:color w:val="000000" w:themeColor="text1"/>
                <w:w w:val="100"/>
                <w:sz w:val="21"/>
                <w:szCs w:val="21"/>
                <w14:textFill>
                  <w14:solidFill>
                    <w14:schemeClr w14:val="tx1"/>
                  </w14:solidFill>
                </w14:textFill>
              </w:rPr>
              <w:t>210</w:t>
            </w:r>
          </w:p>
        </w:tc>
        <w:tc>
          <w:tcPr>
            <w:tcW w:w="4969" w:type="dxa"/>
            <w:gridSpan w:val="3"/>
            <w:tcBorders>
              <w:tl2br w:val="nil"/>
              <w:tr2bl w:val="nil"/>
            </w:tcBorders>
            <w:noWrap w:val="0"/>
            <w:vAlign w:val="top"/>
          </w:tcPr>
          <w:p>
            <w:pPr>
              <w:pStyle w:val="112"/>
              <w:keepNext w:val="0"/>
              <w:keepLines w:val="0"/>
              <w:suppressLineNumbers w:val="0"/>
              <w:spacing w:before="77"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禁忌物：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eastAsia="宋体" w:cs="Times New Roman"/>
                <w:color w:val="000000" w:themeColor="text1"/>
                <w:sz w:val="21"/>
                <w:szCs w:val="21"/>
                <w14:textFill>
                  <w14:solidFill>
                    <w14:schemeClr w14:val="tx1"/>
                  </w14:solidFill>
                </w14:textFill>
              </w:rPr>
            </w:pPr>
          </w:p>
        </w:tc>
        <w:tc>
          <w:tcPr>
            <w:tcW w:w="8651" w:type="dxa"/>
            <w:gridSpan w:val="5"/>
            <w:tcBorders>
              <w:tl2br w:val="nil"/>
              <w:tr2bl w:val="nil"/>
            </w:tcBorders>
            <w:noWrap w:val="0"/>
            <w:vAlign w:val="top"/>
          </w:tcPr>
          <w:p>
            <w:pPr>
              <w:pStyle w:val="112"/>
              <w:keepNext w:val="0"/>
              <w:keepLines w:val="0"/>
              <w:suppressLineNumbers w:val="0"/>
              <w:spacing w:before="0" w:beforeAutospacing="0" w:after="0" w:afterAutospacing="0"/>
              <w:ind w:left="0"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危险特性：蒸气能与空气形成爆炸性混合物。遇高热、明火、氧化剂有燃烧的危险。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34" w:type="dxa"/>
            <w:vMerge w:val="continue"/>
            <w:tcBorders>
              <w:tl2br w:val="nil"/>
              <w:tr2bl w:val="nil"/>
            </w:tcBorders>
            <w:noWrap w:val="0"/>
            <w:vAlign w:val="top"/>
          </w:tcPr>
          <w:p>
            <w:pPr>
              <w:keepNext w:val="0"/>
              <w:keepLines w:val="0"/>
              <w:suppressLineNumbers w:val="0"/>
              <w:spacing w:before="0" w:beforeAutospacing="0" w:after="0" w:afterAutospacing="0"/>
              <w:ind w:left="0" w:right="0"/>
              <w:rPr>
                <w:rFonts w:eastAsia="宋体" w:cs="Times New Roman"/>
                <w:color w:val="000000" w:themeColor="text1"/>
                <w:sz w:val="21"/>
                <w:szCs w:val="21"/>
                <w14:textFill>
                  <w14:solidFill>
                    <w14:schemeClr w14:val="tx1"/>
                  </w14:solidFill>
                </w14:textFill>
              </w:rPr>
            </w:pPr>
          </w:p>
        </w:tc>
        <w:tc>
          <w:tcPr>
            <w:tcW w:w="8651" w:type="dxa"/>
            <w:gridSpan w:val="5"/>
            <w:tcBorders>
              <w:tl2br w:val="nil"/>
              <w:tr2bl w:val="nil"/>
            </w:tcBorders>
            <w:noWrap w:val="0"/>
            <w:vAlign w:val="top"/>
          </w:tcPr>
          <w:p>
            <w:pPr>
              <w:pStyle w:val="112"/>
              <w:keepNext w:val="0"/>
              <w:keepLines w:val="0"/>
              <w:suppressLineNumbers w:val="0"/>
              <w:spacing w:before="0" w:beforeAutospacing="0" w:after="0" w:afterAutospacing="0"/>
              <w:ind w:left="0"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灭火方法：灭火剂：用泡沫、雾状水、干粉、二氧化碳、砂土灭火。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434" w:type="dxa"/>
            <w:tcBorders>
              <w:tl2br w:val="nil"/>
              <w:tr2bl w:val="nil"/>
            </w:tcBorders>
            <w:noWrap w:val="0"/>
            <w:vAlign w:val="top"/>
          </w:tcPr>
          <w:p>
            <w:pPr>
              <w:pStyle w:val="112"/>
              <w:keepNext w:val="0"/>
              <w:keepLines w:val="0"/>
              <w:suppressLineNumbers w:val="0"/>
              <w:spacing w:before="0" w:beforeAutospacing="0" w:after="0" w:afterAutospacing="0" w:line="230" w:lineRule="auto"/>
              <w:ind w:left="110" w:right="1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毒性</w:t>
            </w:r>
          </w:p>
        </w:tc>
        <w:tc>
          <w:tcPr>
            <w:tcW w:w="8651" w:type="dxa"/>
            <w:gridSpan w:val="5"/>
            <w:tcBorders>
              <w:tl2br w:val="nil"/>
              <w:tr2bl w:val="nil"/>
            </w:tcBorders>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textAlignment w:val="auto"/>
              <w:rPr>
                <w:color w:val="000000" w:themeColor="text1"/>
                <w:sz w:val="21"/>
                <w:szCs w:val="21"/>
                <w14:textFill>
                  <w14:solidFill>
                    <w14:schemeClr w14:val="tx1"/>
                  </w14:solidFill>
                </w14:textFill>
              </w:rPr>
            </w:pPr>
            <w:r>
              <w:rPr>
                <w:rFonts w:ascii="Times New Roman" w:hAnsi="Times New Roman" w:eastAsia="Times New Roman"/>
                <w:color w:val="000000" w:themeColor="text1"/>
                <w:spacing w:val="-5"/>
                <w:w w:val="100"/>
                <w:position w:val="2"/>
                <w:sz w:val="21"/>
                <w:szCs w:val="21"/>
                <w14:textFill>
                  <w14:solidFill>
                    <w14:schemeClr w14:val="tx1"/>
                  </w14:solidFill>
                </w14:textFill>
              </w:rPr>
              <w:t>L</w:t>
            </w:r>
            <w:r>
              <w:rPr>
                <w:rFonts w:ascii="Times New Roman" w:hAnsi="Times New Roman" w:eastAsia="Times New Roman"/>
                <w:color w:val="000000" w:themeColor="text1"/>
                <w:spacing w:val="1"/>
                <w:w w:val="100"/>
                <w:position w:val="2"/>
                <w:sz w:val="21"/>
                <w:szCs w:val="21"/>
                <w14:textFill>
                  <w14:solidFill>
                    <w14:schemeClr w14:val="tx1"/>
                  </w14:solidFill>
                </w14:textFill>
              </w:rPr>
              <w:t>D</w:t>
            </w:r>
            <w:r>
              <w:rPr>
                <w:rFonts w:ascii="Times New Roman" w:hAnsi="Times New Roman" w:eastAsia="Times New Roman"/>
                <w:color w:val="000000" w:themeColor="text1"/>
                <w:w w:val="99"/>
                <w:sz w:val="21"/>
                <w:szCs w:val="21"/>
                <w14:textFill>
                  <w14:solidFill>
                    <w14:schemeClr w14:val="tx1"/>
                  </w14:solidFill>
                </w14:textFill>
              </w:rPr>
              <w:t>50</w:t>
            </w:r>
            <w:r>
              <w:rPr>
                <w:color w:val="000000" w:themeColor="text1"/>
                <w:w w:val="100"/>
                <w:position w:val="2"/>
                <w:sz w:val="21"/>
                <w:szCs w:val="21"/>
                <w14:textFill>
                  <w14:solidFill>
                    <w14:schemeClr w14:val="tx1"/>
                  </w14:solidFill>
                </w14:textFill>
              </w:rPr>
              <w:t>：</w:t>
            </w:r>
            <w:r>
              <w:rPr>
                <w:rFonts w:ascii="Times New Roman" w:hAnsi="Times New Roman" w:eastAsia="Times New Roman"/>
                <w:color w:val="000000" w:themeColor="text1"/>
                <w:w w:val="100"/>
                <w:position w:val="2"/>
                <w:sz w:val="21"/>
                <w:szCs w:val="21"/>
                <w14:textFill>
                  <w14:solidFill>
                    <w14:schemeClr w14:val="tx1"/>
                  </w14:solidFill>
                </w14:textFill>
              </w:rPr>
              <w:t>28g</w:t>
            </w:r>
            <w:r>
              <w:rPr>
                <w:rFonts w:ascii="Times New Roman" w:hAnsi="Times New Roman" w:eastAsia="Times New Roman"/>
                <w:color w:val="000000" w:themeColor="text1"/>
                <w:spacing w:val="-2"/>
                <w:w w:val="100"/>
                <w:position w:val="2"/>
                <w:sz w:val="21"/>
                <w:szCs w:val="21"/>
                <w14:textFill>
                  <w14:solidFill>
                    <w14:schemeClr w14:val="tx1"/>
                  </w14:solidFill>
                </w14:textFill>
              </w:rPr>
              <w:t>/</w:t>
            </w:r>
            <w:r>
              <w:rPr>
                <w:rFonts w:ascii="Times New Roman" w:hAnsi="Times New Roman" w:eastAsia="Times New Roman"/>
                <w:color w:val="000000" w:themeColor="text1"/>
                <w:w w:val="100"/>
                <w:position w:val="2"/>
                <w:sz w:val="21"/>
                <w:szCs w:val="21"/>
                <w14:textFill>
                  <w14:solidFill>
                    <w14:schemeClr w14:val="tx1"/>
                  </w14:solidFill>
                </w14:textFill>
              </w:rPr>
              <w:t>k</w:t>
            </w:r>
            <w:r>
              <w:rPr>
                <w:rFonts w:ascii="Times New Roman" w:hAnsi="Times New Roman" w:eastAsia="Times New Roman"/>
                <w:color w:val="000000" w:themeColor="text1"/>
                <w:spacing w:val="-1"/>
                <w:w w:val="100"/>
                <w:position w:val="2"/>
                <w:sz w:val="21"/>
                <w:szCs w:val="21"/>
                <w14:textFill>
                  <w14:solidFill>
                    <w14:schemeClr w14:val="tx1"/>
                  </w14:solidFill>
                </w14:textFill>
              </w:rPr>
              <w:t>g</w:t>
            </w:r>
            <w:r>
              <w:rPr>
                <w:color w:val="000000" w:themeColor="text1"/>
                <w:w w:val="100"/>
                <w:position w:val="2"/>
                <w:sz w:val="21"/>
                <w:szCs w:val="21"/>
                <w14:textFill>
                  <w14:solidFill>
                    <w14:schemeClr w14:val="tx1"/>
                  </w14:solidFill>
                </w14:textFill>
              </w:rPr>
              <w:t>（兔经口</w:t>
            </w:r>
            <w:r>
              <w:rPr>
                <w:color w:val="000000" w:themeColor="text1"/>
                <w:spacing w:val="-104"/>
                <w:w w:val="100"/>
                <w:position w:val="2"/>
                <w:sz w:val="21"/>
                <w:szCs w:val="21"/>
                <w14:textFill>
                  <w14:solidFill>
                    <w14:schemeClr w14:val="tx1"/>
                  </w14:solidFill>
                </w14:textFill>
              </w:rPr>
              <w:t>）</w:t>
            </w:r>
            <w:r>
              <w:rPr>
                <w:color w:val="000000" w:themeColor="text1"/>
                <w:spacing w:val="-3"/>
                <w:w w:val="100"/>
                <w:position w:val="2"/>
                <w:sz w:val="21"/>
                <w:szCs w:val="21"/>
                <w14:textFill>
                  <w14:solidFill>
                    <w14:schemeClr w14:val="tx1"/>
                  </w14:solidFill>
                </w14:textFill>
              </w:rPr>
              <w:t>；人最大耐受浓度为</w:t>
            </w:r>
            <w:r>
              <w:rPr>
                <w:color w:val="000000" w:themeColor="text1"/>
                <w:spacing w:val="-3"/>
                <w:position w:val="2"/>
                <w:sz w:val="21"/>
                <w:szCs w:val="21"/>
                <w14:textFill>
                  <w14:solidFill>
                    <w14:schemeClr w14:val="tx1"/>
                  </w14:solidFill>
                </w14:textFill>
              </w:rPr>
              <w:t xml:space="preserve"> </w:t>
            </w:r>
            <w:r>
              <w:rPr>
                <w:rFonts w:ascii="Times New Roman" w:hAnsi="Times New Roman" w:eastAsia="Times New Roman"/>
                <w:color w:val="000000" w:themeColor="text1"/>
                <w:w w:val="100"/>
                <w:position w:val="2"/>
                <w:sz w:val="21"/>
                <w:szCs w:val="21"/>
                <w14:textFill>
                  <w14:solidFill>
                    <w14:schemeClr w14:val="tx1"/>
                  </w14:solidFill>
                </w14:textFill>
              </w:rPr>
              <w:t>15g</w:t>
            </w:r>
            <w:r>
              <w:rPr>
                <w:rFonts w:ascii="Times New Roman" w:hAnsi="Times New Roman" w:eastAsia="Times New Roman"/>
                <w:color w:val="000000" w:themeColor="text1"/>
                <w:spacing w:val="-2"/>
                <w:w w:val="100"/>
                <w:position w:val="2"/>
                <w:sz w:val="21"/>
                <w:szCs w:val="21"/>
                <w14:textFill>
                  <w14:solidFill>
                    <w14:schemeClr w14:val="tx1"/>
                  </w14:solidFill>
                </w14:textFill>
              </w:rPr>
              <w:t>/</w:t>
            </w:r>
            <w:r>
              <w:rPr>
                <w:rFonts w:ascii="Times New Roman" w:hAnsi="Times New Roman" w:eastAsia="Times New Roman"/>
                <w:color w:val="000000" w:themeColor="text1"/>
                <w:spacing w:val="-4"/>
                <w:w w:val="100"/>
                <w:position w:val="2"/>
                <w:sz w:val="21"/>
                <w:szCs w:val="21"/>
                <w14:textFill>
                  <w14:solidFill>
                    <w14:schemeClr w14:val="tx1"/>
                  </w14:solidFill>
                </w14:textFill>
              </w:rPr>
              <w:t>m</w:t>
            </w:r>
            <w:r>
              <w:rPr>
                <w:rFonts w:ascii="Times New Roman" w:hAnsi="Times New Roman" w:eastAsia="Times New Roman"/>
                <w:color w:val="000000" w:themeColor="text1"/>
                <w:w w:val="100"/>
                <w:position w:val="2"/>
                <w:sz w:val="21"/>
                <w:szCs w:val="21"/>
                <w:vertAlign w:val="superscript"/>
                <w14:textFill>
                  <w14:solidFill>
                    <w14:schemeClr w14:val="tx1"/>
                  </w14:solidFill>
                </w14:textFill>
              </w:rPr>
              <w:t>3</w:t>
            </w:r>
            <w:r>
              <w:rPr>
                <w:color w:val="000000" w:themeColor="text1"/>
                <w:w w:val="100"/>
                <w:position w:val="2"/>
                <w:sz w:val="21"/>
                <w:szCs w:val="21"/>
                <w14:textFill>
                  <w14:solidFill>
                    <w14:schemeClr w14:val="tx1"/>
                  </w14:solidFill>
                </w14:textFill>
              </w:rPr>
              <w:t>×</w:t>
            </w:r>
            <w:r>
              <w:rPr>
                <w:rFonts w:ascii="Times New Roman" w:hAnsi="Times New Roman" w:eastAsia="Times New Roman"/>
                <w:color w:val="000000" w:themeColor="text1"/>
                <w:spacing w:val="-1"/>
                <w:w w:val="100"/>
                <w:position w:val="2"/>
                <w:sz w:val="21"/>
                <w:szCs w:val="21"/>
                <w14:textFill>
                  <w14:solidFill>
                    <w14:schemeClr w14:val="tx1"/>
                  </w14:solidFill>
                </w14:textFill>
              </w:rPr>
              <w:t>(</w:t>
            </w:r>
            <w:r>
              <w:rPr>
                <w:rFonts w:ascii="Times New Roman" w:hAnsi="Times New Roman" w:eastAsia="Times New Roman"/>
                <w:color w:val="000000" w:themeColor="text1"/>
                <w:w w:val="100"/>
                <w:position w:val="2"/>
                <w:sz w:val="21"/>
                <w:szCs w:val="21"/>
                <w14:textFill>
                  <w14:solidFill>
                    <w14:schemeClr w14:val="tx1"/>
                  </w14:solidFill>
                </w14:textFill>
              </w:rPr>
              <w:t>1</w:t>
            </w:r>
            <w:r>
              <w:rPr>
                <w:rFonts w:ascii="Times New Roman" w:hAnsi="Times New Roman" w:eastAsia="Times New Roman"/>
                <w:color w:val="000000" w:themeColor="text1"/>
                <w:spacing w:val="-1"/>
                <w:w w:val="100"/>
                <w:position w:val="2"/>
                <w:sz w:val="21"/>
                <w:szCs w:val="21"/>
                <w14:textFill>
                  <w14:solidFill>
                    <w14:schemeClr w14:val="tx1"/>
                  </w14:solidFill>
                </w14:textFill>
              </w:rPr>
              <w:t>0</w:t>
            </w:r>
            <w:r>
              <w:rPr>
                <w:color w:val="000000" w:themeColor="text1"/>
                <w:w w:val="100"/>
                <w:position w:val="2"/>
                <w:sz w:val="21"/>
                <w:szCs w:val="21"/>
                <w14:textFill>
                  <w14:solidFill>
                    <w14:schemeClr w14:val="tx1"/>
                  </w14:solidFill>
                </w14:textFill>
              </w:rPr>
              <w:t>～</w:t>
            </w:r>
            <w:r>
              <w:rPr>
                <w:rFonts w:ascii="Times New Roman" w:hAnsi="Times New Roman" w:eastAsia="Times New Roman"/>
                <w:color w:val="000000" w:themeColor="text1"/>
                <w:w w:val="100"/>
                <w:position w:val="2"/>
                <w:sz w:val="21"/>
                <w:szCs w:val="21"/>
                <w14:textFill>
                  <w14:solidFill>
                    <w14:schemeClr w14:val="tx1"/>
                  </w14:solidFill>
                </w14:textFill>
              </w:rPr>
              <w:t>15</w:t>
            </w:r>
            <w:r>
              <w:rPr>
                <w:rFonts w:ascii="Times New Roman" w:hAnsi="Times New Roman" w:eastAsia="Times New Roman"/>
                <w:color w:val="000000" w:themeColor="text1"/>
                <w:spacing w:val="-1"/>
                <w:w w:val="100"/>
                <w:position w:val="2"/>
                <w:sz w:val="21"/>
                <w:szCs w:val="21"/>
                <w14:textFill>
                  <w14:solidFill>
                    <w14:schemeClr w14:val="tx1"/>
                  </w14:solidFill>
                </w14:textFill>
              </w:rPr>
              <w:t>)</w:t>
            </w:r>
            <w:r>
              <w:rPr>
                <w:rFonts w:ascii="Times New Roman" w:hAnsi="Times New Roman" w:eastAsia="Times New Roman"/>
                <w:color w:val="000000" w:themeColor="text1"/>
                <w:spacing w:val="-4"/>
                <w:w w:val="100"/>
                <w:position w:val="2"/>
                <w:sz w:val="21"/>
                <w:szCs w:val="21"/>
                <w14:textFill>
                  <w14:solidFill>
                    <w14:schemeClr w14:val="tx1"/>
                  </w14:solidFill>
                </w14:textFill>
              </w:rPr>
              <w:t>m</w:t>
            </w:r>
            <w:r>
              <w:rPr>
                <w:rFonts w:ascii="Times New Roman" w:hAnsi="Times New Roman" w:eastAsia="Times New Roman"/>
                <w:color w:val="000000" w:themeColor="text1"/>
                <w:spacing w:val="-2"/>
                <w:w w:val="100"/>
                <w:position w:val="2"/>
                <w:sz w:val="21"/>
                <w:szCs w:val="21"/>
                <w14:textFill>
                  <w14:solidFill>
                    <w14:schemeClr w14:val="tx1"/>
                  </w14:solidFill>
                </w14:textFill>
              </w:rPr>
              <w:t>i</w:t>
            </w:r>
            <w:r>
              <w:rPr>
                <w:rFonts w:ascii="Times New Roman" w:hAnsi="Times New Roman" w:eastAsia="Times New Roman"/>
                <w:color w:val="000000" w:themeColor="text1"/>
                <w:spacing w:val="-1"/>
                <w:w w:val="100"/>
                <w:position w:val="2"/>
                <w:sz w:val="21"/>
                <w:szCs w:val="21"/>
                <w14:textFill>
                  <w14:solidFill>
                    <w14:schemeClr w14:val="tx1"/>
                  </w14:solidFill>
                </w14:textFill>
              </w:rPr>
              <w:t>n</w:t>
            </w:r>
            <w:r>
              <w:rPr>
                <w:color w:val="000000" w:themeColor="text1"/>
                <w:w w:val="100"/>
                <w:position w:val="2"/>
                <w:sz w:val="21"/>
                <w:szCs w:val="21"/>
                <w14:textFill>
                  <w14:solidFill>
                    <w14:schemeClr w14:val="tx1"/>
                  </w14:solidFill>
                </w14:textFill>
              </w:rPr>
              <w:t>。成人经口最小致死量估</w:t>
            </w:r>
            <w:r>
              <w:rPr>
                <w:color w:val="000000" w:themeColor="text1"/>
                <w:spacing w:val="-18"/>
                <w:sz w:val="21"/>
                <w:szCs w:val="21"/>
                <w14:textFill>
                  <w14:solidFill>
                    <w14:schemeClr w14:val="tx1"/>
                  </w14:solidFill>
                </w14:textFill>
              </w:rPr>
              <w:t xml:space="preserve">计为 </w:t>
            </w:r>
            <w:r>
              <w:rPr>
                <w:rFonts w:ascii="Times New Roman" w:hAnsi="Times New Roman" w:eastAsia="Times New Roman"/>
                <w:color w:val="000000" w:themeColor="text1"/>
                <w:sz w:val="21"/>
                <w:szCs w:val="21"/>
                <w14:textFill>
                  <w14:solidFill>
                    <w14:schemeClr w14:val="tx1"/>
                  </w14:solidFill>
                </w14:textFill>
              </w:rPr>
              <w:t>100mL</w:t>
            </w:r>
            <w:r>
              <w:rPr>
                <w:color w:val="000000" w:themeColor="text1"/>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00" w:hRule="atLeast"/>
        </w:trPr>
        <w:tc>
          <w:tcPr>
            <w:tcW w:w="434" w:type="dxa"/>
            <w:tcBorders>
              <w:tl2br w:val="nil"/>
              <w:tr2bl w:val="nil"/>
            </w:tcBorders>
            <w:noWrap w:val="0"/>
            <w:vAlign w:val="top"/>
          </w:tcPr>
          <w:p>
            <w:pPr>
              <w:pStyle w:val="112"/>
              <w:keepNext w:val="0"/>
              <w:keepLines w:val="0"/>
              <w:suppressLineNumbers w:val="0"/>
              <w:spacing w:before="12" w:beforeAutospacing="0" w:after="0" w:afterAutospacing="0" w:line="260" w:lineRule="exact"/>
              <w:ind w:left="110" w:right="100"/>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对人体危</w:t>
            </w:r>
          </w:p>
          <w:p>
            <w:pPr>
              <w:pStyle w:val="112"/>
              <w:keepNext w:val="0"/>
              <w:keepLines w:val="0"/>
              <w:suppressLineNumbers w:val="0"/>
              <w:spacing w:before="12" w:beforeAutospacing="0" w:after="0" w:afterAutospacing="0" w:line="260" w:lineRule="exact"/>
              <w:ind w:left="110" w:right="100"/>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害</w:t>
            </w:r>
          </w:p>
        </w:tc>
        <w:tc>
          <w:tcPr>
            <w:tcW w:w="8651" w:type="dxa"/>
            <w:gridSpan w:val="5"/>
            <w:tcBorders>
              <w:tl2br w:val="nil"/>
              <w:tr2bl w:val="nil"/>
            </w:tcBorders>
            <w:noWrap w:val="0"/>
            <w:vAlign w:val="top"/>
          </w:tcPr>
          <w:p>
            <w:pPr>
              <w:pStyle w:val="112"/>
              <w:keepNext w:val="0"/>
              <w:keepLines w:val="0"/>
              <w:suppressLineNumbers w:val="0"/>
              <w:spacing w:before="0" w:beforeAutospacing="0" w:after="0" w:afterAutospacing="0" w:line="240" w:lineRule="auto"/>
              <w:ind w:left="0" w:right="0"/>
              <w:jc w:val="both"/>
              <w:rPr>
                <w:rFonts w:hint="default" w:ascii="Times New Roman" w:eastAsia="宋体"/>
                <w:color w:val="000000" w:themeColor="text1"/>
                <w:sz w:val="21"/>
                <w:szCs w:val="21"/>
                <w:lang w:val="en-US" w:eastAsia="zh-CN"/>
                <w14:textFill>
                  <w14:solidFill>
                    <w14:schemeClr w14:val="tx1"/>
                  </w14:solidFill>
                </w14:textFill>
              </w:rPr>
            </w:pPr>
            <w:r>
              <w:rPr>
                <w:rFonts w:hint="eastAsia" w:ascii="Times New Roman"/>
                <w:color w:val="000000" w:themeColor="text1"/>
                <w:sz w:val="21"/>
                <w:szCs w:val="21"/>
                <w:lang w:val="en-US" w:eastAsia="zh-CN"/>
                <w14:textFill>
                  <w14:solidFill>
                    <w14:schemeClr w14:val="tx1"/>
                  </w14:solidFill>
                </w14:textFill>
              </w:rPr>
              <w:t>急性中毒：吸入高浓度蒸气，常先有兴奋，后转入抑制，表现为乏力、头疼、酩酊感、神志恍惚、肌肉震颤、共剂运动失调；严重者出现定向力障碍、意识模糊等；蒸气可引起眼及呼吸道刺激症状，严重者出现化学性肺炎。吸入液体可引起吸入性肺炎，严重时可发送肺水肿。摄入引起口腔、咽喉和胃肠道刺激症状，可出现与吸入中毒相同的中枢神经系统症状。慢性影响：以神经衰弱综合征为主要表现。还有眼及呼吸道刺激症状，接触性皮炎、皮肤干燥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34" w:type="dxa"/>
            <w:tcBorders>
              <w:tl2br w:val="nil"/>
              <w:tr2bl w:val="nil"/>
            </w:tcBorders>
            <w:noWrap w:val="0"/>
            <w:vAlign w:val="top"/>
          </w:tcPr>
          <w:p>
            <w:pPr>
              <w:pStyle w:val="112"/>
              <w:keepNext w:val="0"/>
              <w:keepLines w:val="0"/>
              <w:suppressLineNumbers w:val="0"/>
              <w:spacing w:before="12" w:beforeAutospacing="0" w:after="0" w:afterAutospacing="0" w:line="260" w:lineRule="exact"/>
              <w:ind w:left="110" w:right="1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急救</w:t>
            </w:r>
          </w:p>
        </w:tc>
        <w:tc>
          <w:tcPr>
            <w:tcW w:w="8651" w:type="dxa"/>
            <w:gridSpan w:val="5"/>
            <w:tcBorders>
              <w:tl2br w:val="nil"/>
              <w:tr2bl w:val="nil"/>
            </w:tcBorders>
            <w:noWrap w:val="0"/>
            <w:vAlign w:val="top"/>
          </w:tcPr>
          <w:p>
            <w:pPr>
              <w:pStyle w:val="112"/>
              <w:keepNext w:val="0"/>
              <w:keepLines w:val="0"/>
              <w:suppressLineNumbers w:val="0"/>
              <w:spacing w:before="0" w:beforeAutospacing="0" w:after="0" w:afterAutospacing="0" w:line="240" w:lineRule="auto"/>
              <w:ind w:left="0"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中毒时立即移至新鲜空气处，松开衣服。停止呼吸时，进行人工呼吸。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434" w:type="dxa"/>
            <w:tcBorders>
              <w:tl2br w:val="nil"/>
              <w:tr2bl w:val="nil"/>
            </w:tcBorders>
            <w:noWrap w:val="0"/>
            <w:vAlign w:val="top"/>
          </w:tcPr>
          <w:p>
            <w:pPr>
              <w:pStyle w:val="112"/>
              <w:keepNext w:val="0"/>
              <w:keepLines w:val="0"/>
              <w:suppressLineNumbers w:val="0"/>
              <w:spacing w:before="12" w:beforeAutospacing="0" w:after="0" w:afterAutospacing="0" w:line="260" w:lineRule="exact"/>
              <w:ind w:left="110" w:right="100"/>
              <w:rPr>
                <w:rFonts w:ascii="宋体" w:hAnsi="宋体" w:eastAsia="宋体" w:cs="宋体"/>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泄漏处</w:t>
            </w:r>
          </w:p>
          <w:p>
            <w:pPr>
              <w:pStyle w:val="112"/>
              <w:keepNext w:val="0"/>
              <w:keepLines w:val="0"/>
              <w:suppressLineNumbers w:val="0"/>
              <w:spacing w:before="12" w:beforeAutospacing="0" w:after="0" w:afterAutospacing="0" w:line="260" w:lineRule="exact"/>
              <w:ind w:left="110" w:right="100"/>
              <w:rPr>
                <w:color w:val="000000" w:themeColor="text1"/>
                <w:sz w:val="21"/>
                <w:szCs w:val="21"/>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理</w:t>
            </w:r>
          </w:p>
        </w:tc>
        <w:tc>
          <w:tcPr>
            <w:tcW w:w="8651" w:type="dxa"/>
            <w:gridSpan w:val="5"/>
            <w:tcBorders>
              <w:tl2br w:val="nil"/>
              <w:tr2bl w:val="nil"/>
            </w:tcBorders>
            <w:noWrap w:val="0"/>
            <w:vAlign w:val="top"/>
          </w:tcPr>
          <w:p>
            <w:pPr>
              <w:pStyle w:val="112"/>
              <w:keepNext w:val="0"/>
              <w:keepLines w:val="0"/>
              <w:suppressLineNumbers w:val="0"/>
              <w:spacing w:before="77" w:beforeAutospacing="0" w:after="0" w:afterAutospacing="0" w:line="321" w:lineRule="auto"/>
              <w:ind w:left="0" w:right="89"/>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首先切断一切火源，戴好防毒面具与手套。用砂土吸收，倒至空旷地方任其蒸发。对污染地面进行通风，蒸发残余液体，并排除蒸气。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434" w:type="dxa"/>
            <w:tcBorders>
              <w:tl2br w:val="nil"/>
              <w:tr2bl w:val="nil"/>
            </w:tcBorders>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textAlignment w:val="auto"/>
              <w:rPr>
                <w:b/>
                <w:color w:val="000000" w:themeColor="text1"/>
                <w:sz w:val="21"/>
                <w:szCs w:val="21"/>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107" w:right="104"/>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贮运</w:t>
            </w:r>
          </w:p>
        </w:tc>
        <w:tc>
          <w:tcPr>
            <w:tcW w:w="8651" w:type="dxa"/>
            <w:gridSpan w:val="5"/>
            <w:tcBorders>
              <w:tl2br w:val="nil"/>
              <w:tr2bl w:val="nil"/>
            </w:tcBorders>
            <w:noWrap w:val="0"/>
            <w:vAlign w:val="top"/>
          </w:tcPr>
          <w:p>
            <w:pPr>
              <w:pStyle w:val="112"/>
              <w:keepNext w:val="0"/>
              <w:keepLines w:val="0"/>
              <w:pageBreakBefore w:val="0"/>
              <w:widowControl w:val="0"/>
              <w:suppressLineNumbers w:val="0"/>
              <w:tabs>
                <w:tab w:val="left" w:pos="3154"/>
                <w:tab w:val="left" w:pos="5821"/>
              </w:tabs>
              <w:kinsoku/>
              <w:wordWrap/>
              <w:overflowPunct/>
              <w:topLinePunct w:val="0"/>
              <w:autoSpaceDE w:val="0"/>
              <w:autoSpaceDN w:val="0"/>
              <w:bidi w:val="0"/>
              <w:adjustRightInd/>
              <w:snapToGrid/>
              <w:spacing w:before="0" w:beforeAutospacing="0" w:after="0" w:afterAutospacing="0" w:line="240" w:lineRule="auto"/>
              <w:ind w:left="0" w:right="1557"/>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包装</w:t>
            </w:r>
            <w:r>
              <w:rPr>
                <w:color w:val="000000" w:themeColor="text1"/>
                <w:spacing w:val="-3"/>
                <w:sz w:val="21"/>
                <w:szCs w:val="21"/>
                <w14:textFill>
                  <w14:solidFill>
                    <w14:schemeClr w14:val="tx1"/>
                  </w14:solidFill>
                </w14:textFill>
              </w:rPr>
              <w:t>标</w:t>
            </w:r>
            <w:r>
              <w:rPr>
                <w:color w:val="000000" w:themeColor="text1"/>
                <w:sz w:val="21"/>
                <w:szCs w:val="21"/>
                <w14:textFill>
                  <w14:solidFill>
                    <w14:schemeClr w14:val="tx1"/>
                  </w14:solidFill>
                </w14:textFill>
              </w:rPr>
              <w:t>志</w:t>
            </w:r>
            <w:r>
              <w:rPr>
                <w:color w:val="000000" w:themeColor="text1"/>
                <w:spacing w:val="-3"/>
                <w:sz w:val="21"/>
                <w:szCs w:val="21"/>
                <w14:textFill>
                  <w14:solidFill>
                    <w14:schemeClr w14:val="tx1"/>
                  </w14:solidFill>
                </w14:textFill>
              </w:rPr>
              <w:t>：</w:t>
            </w:r>
            <w:r>
              <w:rPr>
                <w:color w:val="000000" w:themeColor="text1"/>
                <w:sz w:val="21"/>
                <w:szCs w:val="21"/>
                <w14:textFill>
                  <w14:solidFill>
                    <w14:schemeClr w14:val="tx1"/>
                  </w14:solidFill>
                </w14:textFill>
              </w:rPr>
              <w:t>易</w:t>
            </w:r>
            <w:r>
              <w:rPr>
                <w:color w:val="000000" w:themeColor="text1"/>
                <w:spacing w:val="-3"/>
                <w:sz w:val="21"/>
                <w:szCs w:val="21"/>
                <w14:textFill>
                  <w14:solidFill>
                    <w14:schemeClr w14:val="tx1"/>
                  </w14:solidFill>
                </w14:textFill>
              </w:rPr>
              <w:t>燃</w:t>
            </w:r>
            <w:r>
              <w:rPr>
                <w:color w:val="000000" w:themeColor="text1"/>
                <w:sz w:val="21"/>
                <w:szCs w:val="21"/>
                <w14:textFill>
                  <w14:solidFill>
                    <w14:schemeClr w14:val="tx1"/>
                  </w14:solidFill>
                </w14:textFill>
              </w:rPr>
              <w:t>液体</w:t>
            </w:r>
            <w:r>
              <w:rPr>
                <w:color w:val="000000" w:themeColor="text1"/>
                <w:sz w:val="21"/>
                <w:szCs w:val="21"/>
                <w14:textFill>
                  <w14:solidFill>
                    <w14:schemeClr w14:val="tx1"/>
                  </w14:solidFill>
                </w14:textFill>
              </w:rPr>
              <w:tab/>
            </w:r>
            <w:r>
              <w:rPr>
                <w:rFonts w:ascii="Times New Roman" w:hAnsi="Times New Roman" w:eastAsia="Times New Roman"/>
                <w:color w:val="000000" w:themeColor="text1"/>
                <w:sz w:val="21"/>
                <w:szCs w:val="21"/>
                <w14:textFill>
                  <w14:solidFill>
                    <w14:schemeClr w14:val="tx1"/>
                  </w14:solidFill>
                </w14:textFill>
              </w:rPr>
              <w:t>UN</w:t>
            </w:r>
            <w:r>
              <w:rPr>
                <w:rFonts w:ascii="Times New Roman" w:hAnsi="Times New Roman" w:eastAsia="Times New Roman"/>
                <w:color w:val="000000" w:themeColor="text1"/>
                <w:spacing w:val="-1"/>
                <w:sz w:val="21"/>
                <w:szCs w:val="21"/>
                <w14:textFill>
                  <w14:solidFill>
                    <w14:schemeClr w14:val="tx1"/>
                  </w14:solidFill>
                </w14:textFill>
              </w:rPr>
              <w:t xml:space="preserve"> </w:t>
            </w:r>
            <w:r>
              <w:rPr>
                <w:color w:val="000000" w:themeColor="text1"/>
                <w:sz w:val="21"/>
                <w:szCs w:val="21"/>
                <w14:textFill>
                  <w14:solidFill>
                    <w14:schemeClr w14:val="tx1"/>
                  </w14:solidFill>
                </w14:textFill>
              </w:rPr>
              <w:t>编</w:t>
            </w:r>
            <w:r>
              <w:rPr>
                <w:color w:val="000000" w:themeColor="text1"/>
                <w:spacing w:val="-3"/>
                <w:sz w:val="21"/>
                <w:szCs w:val="21"/>
                <w14:textFill>
                  <w14:solidFill>
                    <w14:schemeClr w14:val="tx1"/>
                  </w14:solidFill>
                </w14:textFill>
              </w:rPr>
              <w:t>号</w:t>
            </w:r>
            <w:r>
              <w:rPr>
                <w:color w:val="000000" w:themeColor="text1"/>
                <w:sz w:val="21"/>
                <w:szCs w:val="21"/>
                <w14:textFill>
                  <w14:solidFill>
                    <w14:schemeClr w14:val="tx1"/>
                  </w14:solidFill>
                </w14:textFill>
              </w:rPr>
              <w:t>：</w:t>
            </w:r>
            <w:r>
              <w:rPr>
                <w:rFonts w:ascii="Times New Roman" w:hAnsi="Times New Roman" w:eastAsia="Times New Roman"/>
                <w:color w:val="000000" w:themeColor="text1"/>
                <w:sz w:val="21"/>
                <w:szCs w:val="21"/>
                <w14:textFill>
                  <w14:solidFill>
                    <w14:schemeClr w14:val="tx1"/>
                  </w14:solidFill>
                </w14:textFill>
              </w:rPr>
              <w:t>1223</w:t>
            </w:r>
            <w:r>
              <w:rPr>
                <w:rFonts w:ascii="Times New Roman" w:hAnsi="Times New Roman" w:eastAsia="Times New Roman"/>
                <w:color w:val="000000" w:themeColor="text1"/>
                <w:sz w:val="21"/>
                <w:szCs w:val="21"/>
                <w14:textFill>
                  <w14:solidFill>
                    <w14:schemeClr w14:val="tx1"/>
                  </w14:solidFill>
                </w14:textFill>
              </w:rPr>
              <w:tab/>
            </w:r>
            <w:r>
              <w:rPr>
                <w:color w:val="000000" w:themeColor="text1"/>
                <w:spacing w:val="-3"/>
                <w:sz w:val="21"/>
                <w:szCs w:val="21"/>
                <w14:textFill>
                  <w14:solidFill>
                    <w14:schemeClr w14:val="tx1"/>
                  </w14:solidFill>
                </w14:textFill>
              </w:rPr>
              <w:t>包</w:t>
            </w:r>
            <w:r>
              <w:rPr>
                <w:color w:val="000000" w:themeColor="text1"/>
                <w:sz w:val="21"/>
                <w:szCs w:val="21"/>
                <w14:textFill>
                  <w14:solidFill>
                    <w14:schemeClr w14:val="tx1"/>
                  </w14:solidFill>
                </w14:textFill>
              </w:rPr>
              <w:t>装</w:t>
            </w:r>
            <w:r>
              <w:rPr>
                <w:color w:val="000000" w:themeColor="text1"/>
                <w:spacing w:val="-3"/>
                <w:sz w:val="21"/>
                <w:szCs w:val="21"/>
                <w14:textFill>
                  <w14:solidFill>
                    <w14:schemeClr w14:val="tx1"/>
                  </w14:solidFill>
                </w14:textFill>
              </w:rPr>
              <w:t>分</w:t>
            </w:r>
            <w:r>
              <w:rPr>
                <w:color w:val="000000" w:themeColor="text1"/>
                <w:sz w:val="21"/>
                <w:szCs w:val="21"/>
                <w14:textFill>
                  <w14:solidFill>
                    <w14:schemeClr w14:val="tx1"/>
                  </w14:solidFill>
                </w14:textFill>
              </w:rPr>
              <w:t>类</w:t>
            </w:r>
            <w:r>
              <w:rPr>
                <w:color w:val="000000" w:themeColor="text1"/>
                <w:spacing w:val="-10"/>
                <w:sz w:val="21"/>
                <w:szCs w:val="21"/>
                <w14:textFill>
                  <w14:solidFill>
                    <w14:schemeClr w14:val="tx1"/>
                  </w14:solidFill>
                </w14:textFill>
              </w:rPr>
              <w:t xml:space="preserve">：Ⅲ </w:t>
            </w:r>
            <w:r>
              <w:rPr>
                <w:color w:val="000000" w:themeColor="text1"/>
                <w:sz w:val="21"/>
                <w:szCs w:val="21"/>
                <w14:textFill>
                  <w14:solidFill>
                    <w14:schemeClr w14:val="tx1"/>
                  </w14:solidFill>
                </w14:textFill>
              </w:rPr>
              <w:t>包装</w:t>
            </w:r>
            <w:r>
              <w:rPr>
                <w:color w:val="000000" w:themeColor="text1"/>
                <w:spacing w:val="-3"/>
                <w:sz w:val="21"/>
                <w:szCs w:val="21"/>
                <w14:textFill>
                  <w14:solidFill>
                    <w14:schemeClr w14:val="tx1"/>
                  </w14:solidFill>
                </w14:textFill>
              </w:rPr>
              <w:t>方</w:t>
            </w:r>
            <w:r>
              <w:rPr>
                <w:color w:val="000000" w:themeColor="text1"/>
                <w:sz w:val="21"/>
                <w:szCs w:val="21"/>
                <w14:textFill>
                  <w14:solidFill>
                    <w14:schemeClr w14:val="tx1"/>
                  </w14:solidFill>
                </w14:textFill>
              </w:rPr>
              <w:t>法</w:t>
            </w:r>
            <w:r>
              <w:rPr>
                <w:color w:val="000000" w:themeColor="text1"/>
                <w:spacing w:val="-3"/>
                <w:sz w:val="21"/>
                <w:szCs w:val="21"/>
                <w14:textFill>
                  <w14:solidFill>
                    <w14:schemeClr w14:val="tx1"/>
                  </w14:solidFill>
                </w14:textFill>
              </w:rPr>
              <w:t>：</w:t>
            </w:r>
            <w:r>
              <w:rPr>
                <w:color w:val="000000" w:themeColor="text1"/>
                <w:sz w:val="21"/>
                <w:szCs w:val="21"/>
                <w14:textFill>
                  <w14:solidFill>
                    <w14:schemeClr w14:val="tx1"/>
                  </w14:solidFill>
                </w14:textFill>
              </w:rPr>
              <w:t>铁</w:t>
            </w:r>
            <w:r>
              <w:rPr>
                <w:color w:val="000000" w:themeColor="text1"/>
                <w:spacing w:val="-3"/>
                <w:sz w:val="21"/>
                <w:szCs w:val="21"/>
                <w14:textFill>
                  <w14:solidFill>
                    <w14:schemeClr w14:val="tx1"/>
                  </w14:solidFill>
                </w14:textFill>
              </w:rPr>
              <w:t>听</w:t>
            </w:r>
            <w:r>
              <w:rPr>
                <w:color w:val="000000" w:themeColor="text1"/>
                <w:sz w:val="21"/>
                <w:szCs w:val="21"/>
                <w14:textFill>
                  <w14:solidFill>
                    <w14:schemeClr w14:val="tx1"/>
                  </w14:solidFill>
                </w14:textFill>
              </w:rPr>
              <w:t>、</w:t>
            </w:r>
            <w:r>
              <w:rPr>
                <w:color w:val="000000" w:themeColor="text1"/>
                <w:spacing w:val="-3"/>
                <w:sz w:val="21"/>
                <w:szCs w:val="21"/>
                <w14:textFill>
                  <w14:solidFill>
                    <w14:schemeClr w14:val="tx1"/>
                  </w14:solidFill>
                </w14:textFill>
              </w:rPr>
              <w:t>铁</w:t>
            </w:r>
            <w:r>
              <w:rPr>
                <w:color w:val="000000" w:themeColor="text1"/>
                <w:sz w:val="21"/>
                <w:szCs w:val="21"/>
                <w14:textFill>
                  <w14:solidFill>
                    <w14:schemeClr w14:val="tx1"/>
                  </w14:solidFill>
                </w14:textFill>
              </w:rPr>
              <w:t>桶</w:t>
            </w:r>
            <w:r>
              <w:rPr>
                <w:color w:val="000000" w:themeColor="text1"/>
                <w:spacing w:val="-3"/>
                <w:sz w:val="21"/>
                <w:szCs w:val="21"/>
                <w14:textFill>
                  <w14:solidFill>
                    <w14:schemeClr w14:val="tx1"/>
                  </w14:solidFill>
                </w14:textFill>
              </w:rPr>
              <w:t>或</w:t>
            </w:r>
            <w:r>
              <w:rPr>
                <w:color w:val="000000" w:themeColor="text1"/>
                <w:sz w:val="21"/>
                <w:szCs w:val="21"/>
                <w14:textFill>
                  <w14:solidFill>
                    <w14:schemeClr w14:val="tx1"/>
                  </w14:solidFill>
                </w14:textFill>
              </w:rPr>
              <w:t>散装。</w:t>
            </w: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89"/>
              <w:jc w:val="both"/>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储运条件：储存于阴凉、通风的仓间内。远离火种、热源。应与氧化剂分开储运。如是储罐存放，应划出禁火区，夏季要有降温措施。机械设备应有防火防爆措施。灌装要注意流速， 防止产生和聚积静电，要有导除静电的接地装置。</w:t>
            </w:r>
          </w:p>
        </w:tc>
      </w:tr>
    </w:tbl>
    <w:p>
      <w:pPr>
        <w:keepNext/>
        <w:ind w:firstLine="482" w:firstLineChars="200"/>
        <w:jc w:val="center"/>
        <w:rPr>
          <w:color w:val="000000" w:themeColor="text1"/>
          <w14:textFill>
            <w14:solidFill>
              <w14:schemeClr w14:val="tx1"/>
            </w14:solidFill>
          </w14:textFill>
        </w:rPr>
      </w:pPr>
      <w:r>
        <w:rPr>
          <w:b/>
          <w:color w:val="000000" w:themeColor="text1"/>
          <w14:textFill>
            <w14:solidFill>
              <w14:schemeClr w14:val="tx1"/>
            </w14:solidFill>
          </w14:textFill>
        </w:rPr>
        <w:br w:type="page"/>
      </w: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3</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石脑油理化性质和危险特性</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3"/>
        <w:gridCol w:w="1506"/>
        <w:gridCol w:w="783"/>
        <w:gridCol w:w="1522"/>
        <w:gridCol w:w="843"/>
        <w:gridCol w:w="1276"/>
        <w:gridCol w:w="1163"/>
        <w:gridCol w:w="838"/>
        <w:gridCol w:w="6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restart"/>
            <w:tcBorders>
              <w:top w:val="single" w:color="000000" w:sz="12"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标</w:t>
            </w:r>
          </w:p>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识</w:t>
            </w:r>
          </w:p>
        </w:tc>
        <w:tc>
          <w:tcPr>
            <w:tcW w:w="3284" w:type="pct"/>
            <w:gridSpan w:val="5"/>
            <w:tcBorders>
              <w:top w:val="single" w:color="000000" w:sz="12"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中文名：溶剂油</w:t>
            </w:r>
          </w:p>
        </w:tc>
        <w:tc>
          <w:tcPr>
            <w:tcW w:w="1448" w:type="pct"/>
            <w:gridSpan w:val="3"/>
            <w:tcBorders>
              <w:top w:val="single" w:color="000000" w:sz="12"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危险货物编号：32004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3284" w:type="pct"/>
            <w:gridSpan w:val="5"/>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英文名：Grude oil ；Naphtha；Naphtha Solvent</w:t>
            </w:r>
          </w:p>
        </w:tc>
        <w:tc>
          <w:tcPr>
            <w:tcW w:w="1448" w:type="pct"/>
            <w:gridSpan w:val="3"/>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UN编号：1256，2553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26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分子式：/</w:t>
            </w:r>
          </w:p>
        </w:tc>
        <w:tc>
          <w:tcPr>
            <w:tcW w:w="2016" w:type="pct"/>
            <w:gridSpan w:val="3"/>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分子量：/</w:t>
            </w:r>
          </w:p>
        </w:tc>
        <w:tc>
          <w:tcPr>
            <w:tcW w:w="1448" w:type="pct"/>
            <w:gridSpan w:val="3"/>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CAS号：8030-30-6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restart"/>
            <w:tcBorders>
              <w:top w:val="nil"/>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理化性质</w:t>
            </w:r>
          </w:p>
        </w:tc>
        <w:tc>
          <w:tcPr>
            <w:tcW w:w="126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外观与性状</w:t>
            </w:r>
          </w:p>
        </w:tc>
        <w:tc>
          <w:tcPr>
            <w:tcW w:w="3464" w:type="pct"/>
            <w:gridSpan w:val="6"/>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无色或浅黄色液体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熔点（℃）</w:t>
            </w:r>
          </w:p>
        </w:tc>
        <w:tc>
          <w:tcPr>
            <w:tcW w:w="4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c>
          <w:tcPr>
            <w:tcW w:w="1310"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相对密度(水=1)</w:t>
            </w:r>
          </w:p>
        </w:tc>
        <w:tc>
          <w:tcPr>
            <w:tcW w:w="706"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0.78～0.97</w:t>
            </w:r>
          </w:p>
        </w:tc>
        <w:tc>
          <w:tcPr>
            <w:tcW w:w="110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相对密度(空气=1)</w:t>
            </w:r>
          </w:p>
        </w:tc>
        <w:tc>
          <w:tcPr>
            <w:tcW w:w="340" w:type="pct"/>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沸点（℃）</w:t>
            </w:r>
          </w:p>
        </w:tc>
        <w:tc>
          <w:tcPr>
            <w:tcW w:w="4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20～160</w:t>
            </w:r>
          </w:p>
        </w:tc>
        <w:tc>
          <w:tcPr>
            <w:tcW w:w="2016" w:type="pct"/>
            <w:gridSpan w:val="3"/>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饱和蒸气压（kPa）</w:t>
            </w:r>
          </w:p>
        </w:tc>
        <w:tc>
          <w:tcPr>
            <w:tcW w:w="1448" w:type="pct"/>
            <w:gridSpan w:val="3"/>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密度：0.692g/cm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26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溶解性</w:t>
            </w:r>
          </w:p>
        </w:tc>
        <w:tc>
          <w:tcPr>
            <w:tcW w:w="3464" w:type="pct"/>
            <w:gridSpan w:val="6"/>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不溶于水，溶于多数有机溶剂。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restart"/>
            <w:tcBorders>
              <w:top w:val="nil"/>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毒性及健康危害</w:t>
            </w:r>
          </w:p>
        </w:tc>
        <w:tc>
          <w:tcPr>
            <w:tcW w:w="126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侵入途径</w:t>
            </w:r>
          </w:p>
        </w:tc>
        <w:tc>
          <w:tcPr>
            <w:tcW w:w="3464" w:type="pct"/>
            <w:gridSpan w:val="6"/>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吸入、食入、经皮吸收。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26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毒性</w:t>
            </w:r>
          </w:p>
        </w:tc>
        <w:tc>
          <w:tcPr>
            <w:tcW w:w="3464" w:type="pct"/>
            <w:gridSpan w:val="6"/>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LC</w:t>
            </w:r>
            <w:r>
              <w:rPr>
                <w:rFonts w:ascii="Times New Roman" w:hAnsi="Times New Roman" w:eastAsia="宋体" w:cs="Times New Roman"/>
                <w:color w:val="000000" w:themeColor="text1"/>
                <w:sz w:val="21"/>
                <w:szCs w:val="21"/>
                <w:vertAlign w:val="subscript"/>
                <w14:textFill>
                  <w14:solidFill>
                    <w14:schemeClr w14:val="tx1"/>
                  </w14:solidFill>
                </w14:textFill>
              </w:rPr>
              <w:t>50</w:t>
            </w:r>
            <w:r>
              <w:rPr>
                <w:rFonts w:ascii="Times New Roman" w:hAnsi="Times New Roman" w:eastAsia="宋体" w:cs="Times New Roman"/>
                <w:color w:val="000000" w:themeColor="text1"/>
                <w:sz w:val="21"/>
                <w:szCs w:val="21"/>
                <w14:textFill>
                  <w14:solidFill>
                    <w14:schemeClr w14:val="tx1"/>
                  </w14:solidFill>
                </w14:textFill>
              </w:rPr>
              <w:t>：16000mg/m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，4小时(大鼠吸入)。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26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健康危害</w:t>
            </w:r>
          </w:p>
        </w:tc>
        <w:tc>
          <w:tcPr>
            <w:tcW w:w="3464" w:type="pct"/>
            <w:gridSpan w:val="6"/>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蒸气可引起眼及上呼吸道刺激症状，如浓度过高，几分钟即可引起呼吸困难、紫绀等缺氧症状。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1268"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急救方法</w:t>
            </w:r>
          </w:p>
        </w:tc>
        <w:tc>
          <w:tcPr>
            <w:tcW w:w="3464" w:type="pct"/>
            <w:gridSpan w:val="6"/>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皮肤接触：脱去被污染的衣着，用肥皂水和清水彻底冲洗皮肤。</w:t>
            </w:r>
          </w:p>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眼睛接触：提起眼睑，用流动清水或生理盐水冲洗。就医。</w:t>
            </w:r>
          </w:p>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吸入：迅速脱离现场至空气新鲜处。保持呼吸道通畅。如呼吸困难，给输氧。如呼吸停止，立即进行人工呼吸。就医。</w:t>
            </w:r>
          </w:p>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食入：误服者用水漱口，给饮牛奶或蛋清。就医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restart"/>
            <w:tcBorders>
              <w:top w:val="nil"/>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燃烧爆炸危险性</w:t>
            </w: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燃烧性</w:t>
            </w:r>
          </w:p>
        </w:tc>
        <w:tc>
          <w:tcPr>
            <w:tcW w:w="4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易燃</w:t>
            </w:r>
          </w:p>
        </w:tc>
        <w:tc>
          <w:tcPr>
            <w:tcW w:w="1310"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燃烧分解物</w:t>
            </w:r>
          </w:p>
        </w:tc>
        <w:tc>
          <w:tcPr>
            <w:tcW w:w="2154" w:type="pct"/>
            <w:gridSpan w:val="4"/>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一氧化碳、二氧化碳。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闪点(℃)</w:t>
            </w:r>
          </w:p>
        </w:tc>
        <w:tc>
          <w:tcPr>
            <w:tcW w:w="4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310"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爆炸上限%（v%）</w:t>
            </w:r>
          </w:p>
        </w:tc>
        <w:tc>
          <w:tcPr>
            <w:tcW w:w="2154" w:type="pct"/>
            <w:gridSpan w:val="4"/>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自燃温度(℃)</w:t>
            </w:r>
          </w:p>
        </w:tc>
        <w:tc>
          <w:tcPr>
            <w:tcW w:w="4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350</w:t>
            </w:r>
          </w:p>
        </w:tc>
        <w:tc>
          <w:tcPr>
            <w:tcW w:w="1310"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爆炸下限%（v%）</w:t>
            </w:r>
          </w:p>
        </w:tc>
        <w:tc>
          <w:tcPr>
            <w:tcW w:w="706"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1.1</w:t>
            </w:r>
          </w:p>
        </w:tc>
        <w:tc>
          <w:tcPr>
            <w:tcW w:w="64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禁忌物</w:t>
            </w:r>
          </w:p>
        </w:tc>
        <w:tc>
          <w:tcPr>
            <w:tcW w:w="804" w:type="pct"/>
            <w:gridSpan w:val="2"/>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强氧化剂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建规火险分级</w:t>
            </w:r>
          </w:p>
        </w:tc>
        <w:tc>
          <w:tcPr>
            <w:tcW w:w="4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甲</w:t>
            </w:r>
          </w:p>
        </w:tc>
        <w:tc>
          <w:tcPr>
            <w:tcW w:w="843"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稳定性</w:t>
            </w:r>
          </w:p>
        </w:tc>
        <w:tc>
          <w:tcPr>
            <w:tcW w:w="1174" w:type="pct"/>
            <w:gridSpan w:val="2"/>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稳定</w:t>
            </w:r>
          </w:p>
        </w:tc>
        <w:tc>
          <w:tcPr>
            <w:tcW w:w="64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聚合危害</w:t>
            </w:r>
          </w:p>
        </w:tc>
        <w:tc>
          <w:tcPr>
            <w:tcW w:w="804" w:type="pct"/>
            <w:gridSpan w:val="2"/>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不聚合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危险特性</w:t>
            </w:r>
          </w:p>
        </w:tc>
        <w:tc>
          <w:tcPr>
            <w:tcW w:w="3898" w:type="pct"/>
            <w:gridSpan w:val="7"/>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其蒸气与空气可形成爆炸性混合物。遇明火、高热能引起燃烧爆炸。与氧化剂能发生强烈反应。其蒸气比空气重，能在较低处扩散到相当远的地方，遇明火会引着回燃。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储运条件与泄漏处理</w:t>
            </w:r>
          </w:p>
        </w:tc>
        <w:tc>
          <w:tcPr>
            <w:tcW w:w="3898" w:type="pct"/>
            <w:gridSpan w:val="7"/>
            <w:tcBorders>
              <w:top w:val="single" w:color="000000" w:sz="4" w:space="0"/>
              <w:left w:val="nil"/>
              <w:bottom w:val="single" w:color="000000" w:sz="4"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储运条件：</w:t>
            </w:r>
            <w:r>
              <w:rPr>
                <w:rFonts w:ascii="Times New Roman" w:hAnsi="Times New Roman" w:eastAsia="宋体" w:cs="Times New Roman"/>
                <w:color w:val="000000" w:themeColor="text1"/>
                <w:sz w:val="21"/>
                <w:szCs w:val="21"/>
                <w14:textFill>
                  <w14:solidFill>
                    <w14:schemeClr w14:val="tx1"/>
                  </w14:solidFill>
                </w14:textFill>
              </w:rPr>
              <w:t>储存于阴凉、通风的仓间内，远离火种、热源。防止阳光直射；保持容器密封。应与氧化剂分开存放。搬运时应轻装轻卸，防止包装和容器损坏。运输时所用的槽（罐）车应有接地链，槽内可设孔隔板以减少震荡产生静电。严禁与氧化剂、食用化学品等混装混运。装运该物品的车辆排气管必须配备阻火装置，禁止使用易产生火花的机械设备和工具装卸。</w:t>
            </w:r>
          </w:p>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公路运输时要按规定路线行驶，勿在居民区和人口稠密区停留。铁路运输时要禁止溜放。严禁用木船、水泥船散装运输。</w:t>
            </w:r>
          </w:p>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泄漏处理：</w:t>
            </w:r>
            <w:r>
              <w:rPr>
                <w:rFonts w:ascii="Times New Roman" w:hAnsi="Times New Roman" w:eastAsia="宋体" w:cs="Times New Roman"/>
                <w:color w:val="000000" w:themeColor="text1"/>
                <w:sz w:val="21"/>
                <w:szCs w:val="21"/>
                <w14:textFill>
                  <w14:solidFill>
                    <w14:schemeClr w14:val="tx1"/>
                  </w14:solidFill>
                </w14:textFill>
              </w:rPr>
              <w:t>迅速撤离泄漏污染区人员至安全区，并进行隔离，严格限制出入。切断火源。建议应急处理人员戴自给正压式呼吸器，穿消防防护服。尽可能切断泄漏源。防止进入下水道、排洪沟等限制性空间。</w:t>
            </w:r>
          </w:p>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小量泄漏：用砂土、蛭石或其它惰性材料吸收。大量泄漏：构筑围堤或挖坑收容；用泡沫覆盖，降低蒸气灾害。用防爆泵转移至槽车或专用收集器内，回收或运至废物处理场所处置。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 w:type="pct"/>
            <w:vMerge w:val="continue"/>
            <w:tcBorders>
              <w:top w:val="nil"/>
              <w:left w:val="nil"/>
              <w:bottom w:val="single" w:color="000000" w:sz="12" w:space="0"/>
              <w:right w:val="single" w:color="000000" w:sz="4" w:space="0"/>
            </w:tcBorders>
            <w:noWrap w:val="0"/>
            <w:vAlign w:val="center"/>
          </w:tcPr>
          <w:p>
            <w:pPr>
              <w:keepNext w:val="0"/>
              <w:keepLines w:val="0"/>
              <w:suppressLineNumbers w:val="0"/>
              <w:kinsoku w:val="0"/>
              <w:overflowPunct w:val="0"/>
              <w:autoSpaceDE w:val="0"/>
              <w:autoSpaceDN w:val="0"/>
              <w:spacing w:before="0" w:beforeAutospacing="0" w:after="0" w:afterAutospacing="0"/>
              <w:ind w:left="0" w:right="0"/>
              <w:jc w:val="left"/>
              <w:rPr>
                <w:rFonts w:eastAsia="宋体" w:cs="Times New Roman"/>
                <w:color w:val="000000" w:themeColor="text1"/>
                <w:sz w:val="21"/>
                <w14:textFill>
                  <w14:solidFill>
                    <w14:schemeClr w14:val="tx1"/>
                  </w14:solidFill>
                </w14:textFill>
              </w:rPr>
            </w:pPr>
          </w:p>
        </w:tc>
        <w:tc>
          <w:tcPr>
            <w:tcW w:w="834" w:type="pct"/>
            <w:tcBorders>
              <w:top w:val="single" w:color="000000" w:sz="4" w:space="0"/>
              <w:left w:val="nil"/>
              <w:bottom w:val="single" w:color="000000" w:sz="12" w:space="0"/>
              <w:right w:val="single" w:color="000000" w:sz="4" w:space="0"/>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灭火方法</w:t>
            </w:r>
          </w:p>
        </w:tc>
        <w:tc>
          <w:tcPr>
            <w:tcW w:w="3898" w:type="pct"/>
            <w:gridSpan w:val="7"/>
            <w:tcBorders>
              <w:top w:val="single" w:color="000000" w:sz="4" w:space="0"/>
              <w:left w:val="nil"/>
              <w:bottom w:val="single" w:color="000000" w:sz="12" w:space="0"/>
              <w:right w:val="nil"/>
            </w:tcBorders>
            <w:noWrap w:val="0"/>
            <w:vAlign w:val="center"/>
          </w:tcPr>
          <w:p>
            <w:pPr>
              <w:pStyle w:val="68"/>
              <w:keepNext w:val="0"/>
              <w:keepLines w:val="0"/>
              <w:suppressLineNumbers w:val="0"/>
              <w:kinsoku w:val="0"/>
              <w:overflowPunct w:val="0"/>
              <w:autoSpaceDE w:val="0"/>
              <w:autoSpaceDN w:val="0"/>
              <w:spacing w:before="0" w:beforeAutospacing="0" w:after="0" w:afterAutospacing="0"/>
              <w:ind w:left="0" w:right="0"/>
              <w:jc w:val="left"/>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喷水冷却容器，可能的话将容器从火场移至空旷处。处在火场中的容器若已变色或从安全泄压装置中产生声音，必须马上撤离。灭火剂：泡沫、干粉、二氧化碳、砂土。用水灭火无效。</w:t>
            </w:r>
          </w:p>
        </w:tc>
      </w:tr>
    </w:tbl>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br w:type="page"/>
      </w: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氢气理化性质和危险特性</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5"/>
        <w:gridCol w:w="2392"/>
        <w:gridCol w:w="718"/>
        <w:gridCol w:w="529"/>
        <w:gridCol w:w="1204"/>
        <w:gridCol w:w="1063"/>
        <w:gridCol w:w="2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8" w:hRule="atLeast"/>
        </w:trPr>
        <w:tc>
          <w:tcPr>
            <w:tcW w:w="263" w:type="pct"/>
            <w:vMerge w:val="restart"/>
            <w:tcBorders>
              <w:top w:val="single" w:color="000000" w:sz="12" w:space="0"/>
              <w:left w:val="nil"/>
              <w:bottom w:val="single" w:color="000000" w:sz="4" w:space="0"/>
              <w:right w:val="single" w:color="000000" w:sz="4" w:space="0"/>
            </w:tcBorders>
            <w:noWrap w:val="0"/>
            <w:vAlign w:val="center"/>
          </w:tcPr>
          <w:p>
            <w:pPr>
              <w:pStyle w:val="112"/>
              <w:keepNext w:val="0"/>
              <w:keepLines w:val="0"/>
              <w:suppressLineNumbers w:val="0"/>
              <w:spacing w:before="14" w:beforeAutospacing="0" w:after="0" w:afterAutospacing="0"/>
              <w:ind w:left="131" w:right="1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标识</w:t>
            </w:r>
          </w:p>
        </w:tc>
        <w:tc>
          <w:tcPr>
            <w:tcW w:w="2016" w:type="pct"/>
            <w:gridSpan w:val="3"/>
            <w:tcBorders>
              <w:top w:val="single" w:color="000000" w:sz="12"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中文名：氢；氢气</w:t>
            </w:r>
          </w:p>
        </w:tc>
        <w:tc>
          <w:tcPr>
            <w:tcW w:w="2721" w:type="pct"/>
            <w:gridSpan w:val="3"/>
            <w:tcBorders>
              <w:top w:val="single" w:color="000000" w:sz="12"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4"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英文名：hydrogen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23" w:type="pct"/>
            <w:gridSpan w:val="2"/>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48" w:beforeAutospacing="0" w:after="0" w:afterAutospacing="0"/>
              <w:ind w:left="0" w:right="0"/>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分子式：H</w:t>
            </w:r>
            <w:r>
              <w:rPr>
                <w:rFonts w:ascii="Times New Roman" w:hAnsi="Times New Roman" w:cs="Times New Roman"/>
                <w:color w:val="000000" w:themeColor="text1"/>
                <w:sz w:val="14"/>
                <w:szCs w:val="14"/>
                <w14:textFill>
                  <w14:solidFill>
                    <w14:schemeClr w14:val="tx1"/>
                  </w14:solidFill>
                </w14:textFill>
              </w:rPr>
              <w:t>2</w:t>
            </w:r>
          </w:p>
        </w:tc>
        <w:tc>
          <w:tcPr>
            <w:tcW w:w="1549" w:type="pct"/>
            <w:gridSpan w:val="3"/>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49"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分子量：2.01</w:t>
            </w:r>
          </w:p>
        </w:tc>
        <w:tc>
          <w:tcPr>
            <w:tcW w:w="1465" w:type="pct"/>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49" w:beforeAutospacing="0" w:after="0" w:afterAutospacing="0"/>
              <w:ind w:left="103"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CAS 号：133－74－0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危规号：21001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63" w:type="pct"/>
            <w:vMerge w:val="restar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理</w:t>
            </w:r>
          </w:p>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化</w:t>
            </w:r>
          </w:p>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性</w:t>
            </w:r>
          </w:p>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质</w:t>
            </w: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性状：无色无臭气体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溶解性：不溶于水，不溶于乙醇、乙醚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325" w:type="pct"/>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熔点</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59.2</w:t>
            </w:r>
          </w:p>
        </w:tc>
        <w:tc>
          <w:tcPr>
            <w:tcW w:w="1358" w:type="pct"/>
            <w:gridSpan w:val="3"/>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106"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沸点</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52.8</w:t>
            </w:r>
          </w:p>
        </w:tc>
        <w:tc>
          <w:tcPr>
            <w:tcW w:w="2054" w:type="pct"/>
            <w:gridSpan w:val="2"/>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3"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相对密度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水</w:t>
            </w:r>
            <w:r>
              <w:rPr>
                <w:rFonts w:ascii="Times New Roman" w:hAnsi="Times New Roman" w:cs="Times New Roman"/>
                <w:color w:val="000000" w:themeColor="text1"/>
                <w:spacing w:val="-2"/>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pacing w:val="-106"/>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0.0</w:t>
            </w:r>
            <w:r>
              <w:rPr>
                <w:rFonts w:ascii="Times New Roman" w:hAnsi="Times New Roman" w:cs="Times New Roman"/>
                <w:color w:val="000000" w:themeColor="text1"/>
                <w:spacing w:val="-3"/>
                <w:sz w:val="21"/>
                <w:szCs w:val="21"/>
                <w14:textFill>
                  <w14:solidFill>
                    <w14:schemeClr w14:val="tx1"/>
                  </w14:solidFill>
                </w14:textFill>
              </w:rPr>
              <w:t>7</w:t>
            </w:r>
            <w:r>
              <w:rPr>
                <w:rFonts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pacing w:val="-3"/>
                <w:sz w:val="21"/>
                <w:szCs w:val="21"/>
                <w14:textFill>
                  <w14:solidFill>
                    <w14:schemeClr w14:val="tx1"/>
                  </w14:solidFill>
                </w14:textFill>
              </w:rPr>
              <w:t>5</w:t>
            </w:r>
            <w:r>
              <w:rPr>
                <w:rFonts w:ascii="Times New Roman" w:hAnsi="Times New Roman" w:cs="Times New Roman"/>
                <w:color w:val="000000" w:themeColor="text1"/>
                <w:spacing w:val="-1"/>
                <w:sz w:val="21"/>
                <w:szCs w:val="21"/>
                <w14:textFill>
                  <w14:solidFill>
                    <w14:schemeClr w14:val="tx1"/>
                  </w14:solidFill>
                </w14:textFill>
              </w:rPr>
              <w:t>2</w:t>
            </w:r>
            <w:r>
              <w:rPr>
                <w:rFonts w:ascii="Times New Roman" w:hAnsi="Times New Roman" w:cs="Times New Roman"/>
                <w:color w:val="000000" w:themeColor="text1"/>
                <w:spacing w:val="-3"/>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325" w:type="pct"/>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临界温度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40</w:t>
            </w:r>
          </w:p>
        </w:tc>
        <w:tc>
          <w:tcPr>
            <w:tcW w:w="1358" w:type="pct"/>
            <w:gridSpan w:val="3"/>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106"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临界压力</w:t>
            </w:r>
            <w:r>
              <w:rPr>
                <w:rFonts w:ascii="Times New Roman" w:hAnsi="Times New Roman" w:cs="Times New Roman"/>
                <w:color w:val="000000" w:themeColor="text1"/>
                <w:spacing w:val="-3"/>
                <w:sz w:val="21"/>
                <w:szCs w:val="21"/>
                <w14:textFill>
                  <w14:solidFill>
                    <w14:schemeClr w14:val="tx1"/>
                  </w14:solidFill>
                </w14:textFill>
              </w:rPr>
              <w:t>（M</w:t>
            </w:r>
            <w:r>
              <w:rPr>
                <w:rFonts w:ascii="Times New Roman" w:hAnsi="Times New Roman" w:cs="Times New Roman"/>
                <w:color w:val="000000" w:themeColor="text1"/>
                <w:spacing w:val="2"/>
                <w:sz w:val="21"/>
                <w:szCs w:val="21"/>
                <w14:textFill>
                  <w14:solidFill>
                    <w14:schemeClr w14:val="tx1"/>
                  </w14:solidFill>
                </w14:textFill>
              </w:rPr>
              <w:t>P</w:t>
            </w:r>
            <w:r>
              <w:rPr>
                <w:rFonts w:ascii="Times New Roman" w:hAnsi="Times New Roman" w:cs="Times New Roman"/>
                <w:color w:val="000000" w:themeColor="text1"/>
                <w:sz w:val="21"/>
                <w:szCs w:val="21"/>
                <w14:textFill>
                  <w14:solidFill>
                    <w14:schemeClr w14:val="tx1"/>
                  </w14:solidFill>
                </w14:textFill>
              </w:rPr>
              <w:t>a</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30</w:t>
            </w:r>
          </w:p>
        </w:tc>
        <w:tc>
          <w:tcPr>
            <w:tcW w:w="2054" w:type="pct"/>
            <w:gridSpan w:val="2"/>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3"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相对密度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空气</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pacing w:val="-3"/>
                <w:sz w:val="21"/>
                <w:szCs w:val="21"/>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325" w:type="pct"/>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8"/>
                <w:sz w:val="21"/>
                <w:szCs w:val="21"/>
                <w14:textFill>
                  <w14:solidFill>
                    <w14:schemeClr w14:val="tx1"/>
                  </w14:solidFill>
                </w14:textFill>
              </w:rPr>
              <w:t>燃烧热</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4"/>
                <w:sz w:val="21"/>
                <w:szCs w:val="21"/>
                <w14:textFill>
                  <w14:solidFill>
                    <w14:schemeClr w14:val="tx1"/>
                  </w14:solidFill>
                </w14:textFill>
              </w:rPr>
              <w:t>K</w:t>
            </w:r>
            <w:r>
              <w:rPr>
                <w:rFonts w:ascii="Times New Roman" w:hAnsi="Times New Roman" w:cs="Times New Roman"/>
                <w:color w:val="000000" w:themeColor="text1"/>
                <w:spacing w:val="1"/>
                <w:sz w:val="21"/>
                <w:szCs w:val="21"/>
                <w14:textFill>
                  <w14:solidFill>
                    <w14:schemeClr w14:val="tx1"/>
                  </w14:solidFill>
                </w14:textFill>
              </w:rPr>
              <w:t>J</w:t>
            </w:r>
            <w:r>
              <w:rPr>
                <w:rFonts w:ascii="Times New Roman" w:hAnsi="Times New Roman" w:cs="Times New Roman"/>
                <w:color w:val="000000" w:themeColor="text1"/>
                <w:spacing w:val="-2"/>
                <w:sz w:val="21"/>
                <w:szCs w:val="21"/>
                <w14:textFill>
                  <w14:solidFill>
                    <w14:schemeClr w14:val="tx1"/>
                  </w14:solidFill>
                </w14:textFill>
              </w:rPr>
              <w:t>/</w:t>
            </w:r>
            <w:r>
              <w:rPr>
                <w:rFonts w:ascii="Times New Roman" w:hAnsi="Times New Roman" w:cs="Times New Roman"/>
                <w:color w:val="000000" w:themeColor="text1"/>
                <w:spacing w:val="-4"/>
                <w:sz w:val="21"/>
                <w:szCs w:val="21"/>
                <w14:textFill>
                  <w14:solidFill>
                    <w14:schemeClr w14:val="tx1"/>
                  </w14:solidFill>
                </w14:textFill>
              </w:rPr>
              <w:t>m</w:t>
            </w:r>
            <w:r>
              <w:rPr>
                <w:rFonts w:ascii="Times New Roman" w:hAnsi="Times New Roman" w:cs="Times New Roman"/>
                <w:color w:val="000000" w:themeColor="text1"/>
                <w:sz w:val="21"/>
                <w:szCs w:val="21"/>
                <w14:textFill>
                  <w14:solidFill>
                    <w14:schemeClr w14:val="tx1"/>
                  </w14:solidFill>
                </w14:textFill>
              </w:rPr>
              <w:t>o</w:t>
            </w:r>
            <w:r>
              <w:rPr>
                <w:rFonts w:ascii="Times New Roman" w:hAnsi="Times New Roman" w:cs="Times New Roman"/>
                <w:color w:val="000000" w:themeColor="text1"/>
                <w:spacing w:val="-1"/>
                <w:sz w:val="21"/>
                <w:szCs w:val="21"/>
                <w14:textFill>
                  <w14:solidFill>
                    <w14:schemeClr w14:val="tx1"/>
                  </w14:solidFill>
                </w14:textFill>
              </w:rPr>
              <w:t>l</w:t>
            </w:r>
            <w:r>
              <w:rPr>
                <w:rFonts w:ascii="Times New Roman" w:hAnsi="Times New Roman" w:cs="Times New Roman"/>
                <w:color w:val="000000" w:themeColor="text1"/>
                <w:spacing w:val="-106"/>
                <w:sz w:val="21"/>
                <w:szCs w:val="21"/>
                <w14:textFill>
                  <w14:solidFill>
                    <w14:schemeClr w14:val="tx1"/>
                  </w14:solidFill>
                </w14:textFill>
              </w:rPr>
              <w:t>）</w:t>
            </w:r>
            <w:r>
              <w:rPr>
                <w:rFonts w:ascii="Times New Roman" w:hAnsi="Times New Roman" w:cs="Times New Roman"/>
                <w:color w:val="000000" w:themeColor="text1"/>
                <w:spacing w:val="-19"/>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24</w:t>
            </w:r>
            <w:r>
              <w:rPr>
                <w:rFonts w:ascii="Times New Roman" w:hAnsi="Times New Roman" w:cs="Times New Roman"/>
                <w:color w:val="000000" w:themeColor="text1"/>
                <w:spacing w:val="-3"/>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.0</w:t>
            </w:r>
          </w:p>
        </w:tc>
        <w:tc>
          <w:tcPr>
            <w:tcW w:w="1358" w:type="pct"/>
            <w:gridSpan w:val="3"/>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106"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5"/>
                <w:sz w:val="21"/>
                <w:szCs w:val="21"/>
                <w14:textFill>
                  <w14:solidFill>
                    <w14:schemeClr w14:val="tx1"/>
                  </w14:solidFill>
                </w14:textFill>
              </w:rPr>
              <w:t>最小点火能</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4"/>
                <w:sz w:val="21"/>
                <w:szCs w:val="21"/>
                <w14:textFill>
                  <w14:solidFill>
                    <w14:schemeClr w14:val="tx1"/>
                  </w14:solidFill>
                </w14:textFill>
              </w:rPr>
              <w:t>m</w:t>
            </w:r>
            <w:r>
              <w:rPr>
                <w:rFonts w:ascii="Times New Roman" w:hAnsi="Times New Roman" w:cs="Times New Roman"/>
                <w:color w:val="000000" w:themeColor="text1"/>
                <w:spacing w:val="1"/>
                <w:sz w:val="21"/>
                <w:szCs w:val="21"/>
                <w14:textFill>
                  <w14:solidFill>
                    <w14:schemeClr w14:val="tx1"/>
                  </w14:solidFill>
                </w14:textFill>
              </w:rPr>
              <w:t>J</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17"/>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0.019</w:t>
            </w:r>
          </w:p>
        </w:tc>
        <w:tc>
          <w:tcPr>
            <w:tcW w:w="2054" w:type="pct"/>
            <w:gridSpan w:val="2"/>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3" w:right="-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7"/>
                <w:sz w:val="21"/>
                <w:szCs w:val="21"/>
                <w14:textFill>
                  <w14:solidFill>
                    <w14:schemeClr w14:val="tx1"/>
                  </w14:solidFill>
                </w14:textFill>
              </w:rPr>
              <w:t>饱和蒸汽压</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4"/>
                <w:sz w:val="21"/>
                <w:szCs w:val="21"/>
                <w14:textFill>
                  <w14:solidFill>
                    <w14:schemeClr w14:val="tx1"/>
                  </w14:solidFill>
                </w14:textFill>
              </w:rPr>
              <w:t>K</w:t>
            </w:r>
            <w:r>
              <w:rPr>
                <w:rFonts w:ascii="Times New Roman" w:hAnsi="Times New Roman" w:cs="Times New Roman"/>
                <w:color w:val="000000" w:themeColor="text1"/>
                <w:sz w:val="21"/>
                <w:szCs w:val="21"/>
                <w14:textFill>
                  <w14:solidFill>
                    <w14:schemeClr w14:val="tx1"/>
                  </w14:solidFill>
                </w14:textFill>
              </w:rPr>
              <w:t>Pa</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27"/>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13</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ascii="Times New Roman" w:hAnsi="Times New Roman" w:cs="Times New Roman"/>
                <w:color w:val="000000" w:themeColor="text1"/>
                <w:spacing w:val="-29"/>
                <w:sz w:val="21"/>
                <w:szCs w:val="21"/>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257.</w:t>
            </w:r>
            <w:r>
              <w:rPr>
                <w:rFonts w:ascii="Times New Roman" w:hAnsi="Times New Roman" w:cs="Times New Roman"/>
                <w:color w:val="000000" w:themeColor="text1"/>
                <w:spacing w:val="-3"/>
                <w:sz w:val="21"/>
                <w:szCs w:val="21"/>
                <w14:textFill>
                  <w14:solidFill>
                    <w14:schemeClr w14:val="tx1"/>
                  </w14:solidFill>
                </w14:textFill>
              </w:rPr>
              <w:t>9</w:t>
            </w: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3" w:type="pct"/>
            <w:vMerge w:val="restar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151" w:beforeAutospacing="0" w:after="0" w:afterAutospacing="0"/>
              <w:ind w:left="131" w:right="1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燃烧爆炸危险性</w:t>
            </w:r>
          </w:p>
        </w:tc>
        <w:tc>
          <w:tcPr>
            <w:tcW w:w="1723" w:type="pct"/>
            <w:gridSpan w:val="2"/>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燃烧性：易燃</w:t>
            </w:r>
          </w:p>
        </w:tc>
        <w:tc>
          <w:tcPr>
            <w:tcW w:w="3014" w:type="pct"/>
            <w:gridSpan w:val="4"/>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燃烧分解产物：水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23" w:type="pct"/>
            <w:gridSpan w:val="2"/>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47"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闪点</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：无意义</w:t>
            </w:r>
          </w:p>
        </w:tc>
        <w:tc>
          <w:tcPr>
            <w:tcW w:w="3014" w:type="pct"/>
            <w:gridSpan w:val="4"/>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47"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聚合危害：不聚合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23" w:type="pct"/>
            <w:gridSpan w:val="2"/>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爆炸下限</w:t>
            </w:r>
            <w:r>
              <w:rPr>
                <w:rFonts w:ascii="Times New Roman" w:hAnsi="Times New Roman" w:cs="Times New Roman"/>
                <w:color w:val="000000" w:themeColor="text1"/>
                <w:spacing w:val="-3"/>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：4.1</w:t>
            </w:r>
          </w:p>
        </w:tc>
        <w:tc>
          <w:tcPr>
            <w:tcW w:w="3014" w:type="pct"/>
            <w:gridSpan w:val="4"/>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稳定性：稳定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23" w:type="pct"/>
            <w:gridSpan w:val="2"/>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爆炸上限</w:t>
            </w:r>
            <w:r>
              <w:rPr>
                <w:rFonts w:ascii="Times New Roman" w:hAnsi="Times New Roman" w:cs="Times New Roman"/>
                <w:color w:val="000000" w:themeColor="text1"/>
                <w:spacing w:val="-3"/>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：74</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p>
        </w:tc>
        <w:tc>
          <w:tcPr>
            <w:tcW w:w="3014" w:type="pct"/>
            <w:gridSpan w:val="4"/>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最大爆炸压力</w:t>
            </w:r>
            <w:r>
              <w:rPr>
                <w:rFonts w:ascii="Times New Roman" w:hAnsi="Times New Roman" w:cs="Times New Roman"/>
                <w:color w:val="000000" w:themeColor="text1"/>
                <w:spacing w:val="-3"/>
                <w:sz w:val="21"/>
                <w:szCs w:val="21"/>
                <w14:textFill>
                  <w14:solidFill>
                    <w14:schemeClr w14:val="tx1"/>
                  </w14:solidFill>
                </w14:textFill>
              </w:rPr>
              <w:t>（M</w:t>
            </w:r>
            <w:r>
              <w:rPr>
                <w:rFonts w:ascii="Times New Roman" w:hAnsi="Times New Roman" w:cs="Times New Roman"/>
                <w:color w:val="000000" w:themeColor="text1"/>
                <w:spacing w:val="2"/>
                <w:sz w:val="21"/>
                <w:szCs w:val="21"/>
                <w14:textFill>
                  <w14:solidFill>
                    <w14:schemeClr w14:val="tx1"/>
                  </w14:solidFill>
                </w14:textFill>
              </w:rPr>
              <w:t>P</w:t>
            </w:r>
            <w:r>
              <w:rPr>
                <w:rFonts w:ascii="Times New Roman" w:hAnsi="Times New Roman" w:cs="Times New Roman"/>
                <w:color w:val="000000" w:themeColor="text1"/>
                <w:sz w:val="21"/>
                <w:szCs w:val="21"/>
                <w14:textFill>
                  <w14:solidFill>
                    <w14:schemeClr w14:val="tx1"/>
                  </w14:solidFill>
                </w14:textFill>
              </w:rPr>
              <w:t>a</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pacing w:val="-3"/>
                <w:sz w:val="21"/>
                <w:szCs w:val="21"/>
                <w14:textFill>
                  <w14:solidFill>
                    <w14:schemeClr w14:val="tx1"/>
                  </w14:solidFill>
                </w14:textFill>
              </w:rPr>
              <w:t>7</w:t>
            </w:r>
            <w:r>
              <w:rPr>
                <w:rFonts w:ascii="Times New Roman" w:hAnsi="Times New Roman" w:cs="Times New Roman"/>
                <w:color w:val="000000" w:themeColor="text1"/>
                <w:sz w:val="21"/>
                <w:szCs w:val="21"/>
                <w14:textFill>
                  <w14:solidFill>
                    <w14:schemeClr w14:val="tx1"/>
                  </w14:solidFill>
                </w14:textFil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1723" w:type="pct"/>
            <w:gridSpan w:val="2"/>
            <w:tcBorders>
              <w:top w:val="single" w:color="000000" w:sz="4" w:space="0"/>
              <w:left w:val="single" w:color="000000" w:sz="4" w:space="0"/>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引燃温度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：400</w:t>
            </w:r>
          </w:p>
        </w:tc>
        <w:tc>
          <w:tcPr>
            <w:tcW w:w="3014" w:type="pct"/>
            <w:gridSpan w:val="4"/>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禁忌物：强氧化剂、卤素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95"/>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危险特性：与空气混合能形成爆炸性混合物，遇热或明火即会发生爆炸。气体比空气轻，在室内使用和储存时，漏气上升滞留屋顶不易排出，遇火星会引起爆炸。氢气与氟、氯、溴等卤素会剧烈反应。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63"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15"/>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9"/>
                <w:sz w:val="21"/>
                <w:szCs w:val="21"/>
                <w14:textFill>
                  <w14:solidFill>
                    <w14:schemeClr w14:val="tx1"/>
                  </w14:solidFill>
                </w14:textFill>
              </w:rPr>
              <w:t xml:space="preserve">消防措施：切断气源。若不能立即切断气源，则不允许熄灭正在燃烧的气体。喷水冷却容器， </w:t>
            </w:r>
            <w:r>
              <w:rPr>
                <w:rFonts w:ascii="Times New Roman" w:hAnsi="Times New Roman" w:cs="Times New Roman"/>
                <w:color w:val="000000" w:themeColor="text1"/>
                <w:spacing w:val="-5"/>
                <w:sz w:val="21"/>
                <w:szCs w:val="21"/>
                <w14:textFill>
                  <w14:solidFill>
                    <w14:schemeClr w14:val="tx1"/>
                  </w14:solidFill>
                </w14:textFill>
              </w:rPr>
              <w:t>可能的话将容器从火场移至空旷处。灭火剂：雾状水、泡沫、二氧化碳、干粉。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63"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30" w:beforeAutospacing="0" w:after="0" w:afterAutospacing="0"/>
              <w:ind w:left="131"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毒性</w:t>
            </w: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521"/>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接触</w:t>
            </w:r>
            <w:r>
              <w:rPr>
                <w:rFonts w:ascii="Times New Roman" w:hAnsi="Times New Roman" w:cs="Times New Roman"/>
                <w:color w:val="000000" w:themeColor="text1"/>
                <w:spacing w:val="-3"/>
                <w:sz w:val="21"/>
                <w:szCs w:val="21"/>
                <w14:textFill>
                  <w14:solidFill>
                    <w14:schemeClr w14:val="tx1"/>
                  </w14:solidFill>
                </w14:textFill>
              </w:rPr>
              <w:t>限</w:t>
            </w:r>
            <w:r>
              <w:rPr>
                <w:rFonts w:ascii="Times New Roman" w:hAnsi="Times New Roman" w:cs="Times New Roman"/>
                <w:color w:val="000000" w:themeColor="text1"/>
                <w:sz w:val="21"/>
                <w:szCs w:val="21"/>
                <w14:textFill>
                  <w14:solidFill>
                    <w14:schemeClr w14:val="tx1"/>
                  </w14:solidFill>
                </w14:textFill>
              </w:rPr>
              <w:t>值：</w:t>
            </w:r>
            <w:r>
              <w:rPr>
                <w:rFonts w:ascii="Times New Roman" w:hAnsi="Times New Roman" w:cs="Times New Roman"/>
                <w:color w:val="000000" w:themeColor="text1"/>
                <w:spacing w:val="-1"/>
                <w:sz w:val="21"/>
                <w:szCs w:val="21"/>
                <w14:textFill>
                  <w14:solidFill>
                    <w14:schemeClr w14:val="tx1"/>
                  </w14:solidFill>
                </w14:textFill>
              </w:rPr>
              <w:t> </w:t>
            </w:r>
            <w:r>
              <w:rPr>
                <w:rFonts w:ascii="Times New Roman" w:hAnsi="Times New Roman" w:cs="Times New Roman"/>
                <w:color w:val="000000" w:themeColor="text1"/>
                <w:spacing w:val="-3"/>
                <w:sz w:val="21"/>
                <w:szCs w:val="21"/>
                <w14:textFill>
                  <w14:solidFill>
                    <w14:schemeClr w14:val="tx1"/>
                  </w14:solidFill>
                </w14:textFill>
              </w:rPr>
              <w:t>中</w:t>
            </w:r>
            <w:r>
              <w:rPr>
                <w:rFonts w:ascii="Times New Roman" w:hAnsi="Times New Roman" w:cs="Times New Roman"/>
                <w:color w:val="000000" w:themeColor="text1"/>
                <w:sz w:val="21"/>
                <w:szCs w:val="21"/>
                <w14:textFill>
                  <w14:solidFill>
                    <w14:schemeClr w14:val="tx1"/>
                  </w14:solidFill>
                </w14:textFill>
              </w:rPr>
              <w:t>国</w:t>
            </w:r>
            <w:r>
              <w:rPr>
                <w:rFonts w:ascii="Times New Roman" w:hAnsi="Times New Roman" w:cs="Times New Roman"/>
                <w:color w:val="000000" w:themeColor="text1"/>
                <w:spacing w:val="-51"/>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MAC（mg/m</w:t>
            </w:r>
            <w:r>
              <w:rPr>
                <w:rFonts w:ascii="Times New Roman" w:hAnsi="Times New Roman" w:cs="Times New Roman"/>
                <w:color w:val="000000" w:themeColor="text1"/>
                <w:position w:val="7"/>
                <w:sz w:val="14"/>
                <w:szCs w:val="14"/>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未制定</w:t>
            </w:r>
            <w:r>
              <w:rPr>
                <w:rFonts w:ascii="Times New Roman" w:hAnsi="Times New Roman" w:cs="Times New Roman"/>
                <w:color w:val="000000" w:themeColor="text1"/>
                <w:spacing w:val="-3"/>
                <w:sz w:val="21"/>
                <w:szCs w:val="21"/>
                <w14:textFill>
                  <w14:solidFill>
                    <w14:schemeClr w14:val="tx1"/>
                  </w14:solidFill>
                </w14:textFill>
              </w:rPr>
              <w:t>标</w:t>
            </w:r>
            <w:r>
              <w:rPr>
                <w:rFonts w:ascii="Times New Roman" w:hAnsi="Times New Roman" w:cs="Times New Roman"/>
                <w:color w:val="000000" w:themeColor="text1"/>
                <w:sz w:val="21"/>
                <w:szCs w:val="21"/>
                <w14:textFill>
                  <w14:solidFill>
                    <w14:schemeClr w14:val="tx1"/>
                  </w14:solidFill>
                </w14:textFill>
              </w:rPr>
              <w:t>准</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前苏联</w:t>
            </w:r>
            <w:r>
              <w:rPr>
                <w:rFonts w:ascii="Times New Roman" w:hAnsi="Times New Roman" w:cs="Times New Roman"/>
                <w:color w:val="000000" w:themeColor="text1"/>
                <w:spacing w:val="1"/>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MAC（mg/m</w:t>
            </w:r>
            <w:r>
              <w:rPr>
                <w:rFonts w:ascii="Times New Roman" w:hAnsi="Times New Roman" w:cs="Times New Roman"/>
                <w:color w:val="000000" w:themeColor="text1"/>
                <w:position w:val="7"/>
                <w:sz w:val="14"/>
                <w:szCs w:val="14"/>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未制</w:t>
            </w:r>
            <w:r>
              <w:rPr>
                <w:rFonts w:ascii="Times New Roman" w:hAnsi="Times New Roman" w:cs="Times New Roman"/>
                <w:color w:val="000000" w:themeColor="text1"/>
                <w:spacing w:val="-3"/>
                <w:sz w:val="21"/>
                <w:szCs w:val="21"/>
                <w14:textFill>
                  <w14:solidFill>
                    <w14:schemeClr w14:val="tx1"/>
                  </w14:solidFill>
                </w14:textFill>
              </w:rPr>
              <w:t>定</w:t>
            </w:r>
            <w:r>
              <w:rPr>
                <w:rFonts w:ascii="Times New Roman" w:hAnsi="Times New Roman" w:cs="Times New Roman"/>
                <w:color w:val="000000" w:themeColor="text1"/>
                <w:sz w:val="21"/>
                <w:szCs w:val="21"/>
                <w14:textFill>
                  <w14:solidFill>
                    <w14:schemeClr w14:val="tx1"/>
                  </w14:solidFill>
                </w14:textFill>
              </w:rPr>
              <w:t>标</w:t>
            </w:r>
            <w:r>
              <w:rPr>
                <w:rFonts w:ascii="Times New Roman" w:hAnsi="Times New Roman" w:cs="Times New Roman"/>
                <w:color w:val="000000" w:themeColor="text1"/>
                <w:spacing w:val="-13"/>
                <w:sz w:val="21"/>
                <w:szCs w:val="21"/>
                <w14:textFill>
                  <w14:solidFill>
                    <w14:schemeClr w14:val="tx1"/>
                  </w14:solidFill>
                </w14:textFill>
              </w:rPr>
              <w:t>准</w:t>
            </w:r>
            <w:r>
              <w:rPr>
                <w:rFonts w:ascii="Times New Roman" w:hAnsi="Times New Roman" w:cs="Times New Roman"/>
                <w:color w:val="000000" w:themeColor="text1"/>
                <w:sz w:val="21"/>
                <w:szCs w:val="21"/>
                <w14:textFill>
                  <w14:solidFill>
                    <w14:schemeClr w14:val="tx1"/>
                  </w14:solidFill>
                </w14:textFill>
              </w:rPr>
              <w:t>美</w:t>
            </w:r>
            <w:r>
              <w:rPr>
                <w:rFonts w:ascii="Times New Roman" w:hAnsi="Times New Roman" w:cs="Times New Roman"/>
                <w:color w:val="000000" w:themeColor="text1"/>
                <w:spacing w:val="50"/>
                <w:sz w:val="21"/>
                <w:szCs w:val="21"/>
                <w14:textFill>
                  <w14:solidFill>
                    <w14:schemeClr w14:val="tx1"/>
                  </w14:solidFill>
                </w14:textFill>
              </w:rPr>
              <w:t>国</w:t>
            </w:r>
            <w:r>
              <w:rPr>
                <w:rFonts w:ascii="Times New Roman" w:hAnsi="Times New Roman" w:cs="Times New Roman"/>
                <w:color w:val="000000" w:themeColor="text1"/>
                <w:spacing w:val="-5"/>
                <w:sz w:val="21"/>
                <w:szCs w:val="21"/>
                <w14:textFill>
                  <w14:solidFill>
                    <w14:schemeClr w14:val="tx1"/>
                  </w14:solidFill>
                </w14:textFill>
              </w:rPr>
              <w:t xml:space="preserve">TVL－TWA   </w:t>
            </w:r>
            <w:r>
              <w:rPr>
                <w:rFonts w:ascii="Times New Roman" w:hAnsi="Times New Roman" w:cs="Times New Roman"/>
                <w:color w:val="000000" w:themeColor="text1"/>
                <w:spacing w:val="8"/>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 xml:space="preserve">ACGIH </w:t>
            </w:r>
            <w:r>
              <w:rPr>
                <w:rFonts w:ascii="Times New Roman" w:hAnsi="Times New Roman" w:cs="Times New Roman"/>
                <w:color w:val="000000" w:themeColor="text1"/>
                <w:spacing w:val="7"/>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窒</w:t>
            </w:r>
            <w:r>
              <w:rPr>
                <w:rFonts w:ascii="Times New Roman" w:hAnsi="Times New Roman" w:cs="Times New Roman"/>
                <w:color w:val="000000" w:themeColor="text1"/>
                <w:spacing w:val="-3"/>
                <w:sz w:val="21"/>
                <w:szCs w:val="21"/>
                <w14:textFill>
                  <w14:solidFill>
                    <w14:schemeClr w14:val="tx1"/>
                  </w14:solidFill>
                </w14:textFill>
              </w:rPr>
              <w:t>息</w:t>
            </w:r>
            <w:r>
              <w:rPr>
                <w:rFonts w:ascii="Times New Roman" w:hAnsi="Times New Roman" w:cs="Times New Roman"/>
                <w:color w:val="000000" w:themeColor="text1"/>
                <w:sz w:val="21"/>
                <w:szCs w:val="21"/>
                <w14:textFill>
                  <w14:solidFill>
                    <w14:schemeClr w14:val="tx1"/>
                  </w14:solidFill>
                </w14:textFill>
              </w:rPr>
              <w:t>性</w:t>
            </w:r>
            <w:r>
              <w:rPr>
                <w:rFonts w:ascii="Times New Roman" w:hAnsi="Times New Roman" w:cs="Times New Roman"/>
                <w:color w:val="000000" w:themeColor="text1"/>
                <w:spacing w:val="-3"/>
                <w:sz w:val="21"/>
                <w:szCs w:val="21"/>
                <w14:textFill>
                  <w14:solidFill>
                    <w14:schemeClr w14:val="tx1"/>
                  </w14:solidFill>
                </w14:textFill>
              </w:rPr>
              <w:t>气</w:t>
            </w:r>
            <w:r>
              <w:rPr>
                <w:rFonts w:ascii="Times New Roman" w:hAnsi="Times New Roman" w:cs="Times New Roman"/>
                <w:color w:val="000000" w:themeColor="text1"/>
                <w:sz w:val="21"/>
                <w:szCs w:val="21"/>
                <w14:textFill>
                  <w14:solidFill>
                    <w14:schemeClr w14:val="tx1"/>
                  </w14:solidFill>
                </w14:textFill>
              </w:rPr>
              <w:t>体</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pacing w:val="-3"/>
                <w:sz w:val="21"/>
                <w:szCs w:val="21"/>
                <w14:textFill>
                  <w14:solidFill>
                    <w14:schemeClr w14:val="tx1"/>
                  </w14:solidFill>
                </w14:textFill>
              </w:rPr>
              <w:t>美</w:t>
            </w:r>
            <w:r>
              <w:rPr>
                <w:rFonts w:ascii="Times New Roman" w:hAnsi="Times New Roman" w:cs="Times New Roman"/>
                <w:color w:val="000000" w:themeColor="text1"/>
                <w:sz w:val="21"/>
                <w:szCs w:val="21"/>
                <w14:textFill>
                  <w14:solidFill>
                    <w14:schemeClr w14:val="tx1"/>
                  </w14:solidFill>
                </w14:textFill>
              </w:rPr>
              <w:t>国</w:t>
            </w:r>
            <w:r>
              <w:rPr>
                <w:rFonts w:ascii="Times New Roman" w:hAnsi="Times New Roman" w:cs="Times New Roman"/>
                <w:color w:val="000000" w:themeColor="text1"/>
                <w:spacing w:val="-43"/>
                <w:sz w:val="21"/>
                <w:szCs w:val="21"/>
                <w14:textFill>
                  <w14:solidFill>
                    <w14:schemeClr w14:val="tx1"/>
                  </w14:solidFill>
                </w14:textFill>
              </w:rPr>
              <w:t> </w:t>
            </w:r>
            <w:r>
              <w:rPr>
                <w:rFonts w:ascii="Times New Roman" w:hAnsi="Times New Roman" w:cs="Times New Roman"/>
                <w:color w:val="000000" w:themeColor="text1"/>
                <w:spacing w:val="-3"/>
                <w:sz w:val="21"/>
                <w:szCs w:val="21"/>
                <w14:textFill>
                  <w14:solidFill>
                    <w14:schemeClr w14:val="tx1"/>
                  </w14:solidFill>
                </w14:textFill>
              </w:rPr>
              <w:t>TLV－STEL</w:t>
            </w:r>
            <w:r>
              <w:rPr>
                <w:rFonts w:ascii="Times New Roman" w:hAnsi="Times New Roman" w:cs="Times New Roman"/>
                <w:color w:val="000000" w:themeColor="text1"/>
                <w:spacing w:val="-3"/>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未</w:t>
            </w:r>
            <w:r>
              <w:rPr>
                <w:rFonts w:ascii="Times New Roman" w:hAnsi="Times New Roman" w:cs="Times New Roman"/>
                <w:color w:val="000000" w:themeColor="text1"/>
                <w:spacing w:val="-3"/>
                <w:sz w:val="21"/>
                <w:szCs w:val="21"/>
                <w14:textFill>
                  <w14:solidFill>
                    <w14:schemeClr w14:val="tx1"/>
                  </w14:solidFill>
                </w14:textFill>
              </w:rPr>
              <w:t>制</w:t>
            </w:r>
            <w:r>
              <w:rPr>
                <w:rFonts w:ascii="Times New Roman" w:hAnsi="Times New Roman" w:cs="Times New Roman"/>
                <w:color w:val="000000" w:themeColor="text1"/>
                <w:sz w:val="21"/>
                <w:szCs w:val="21"/>
                <w14:textFill>
                  <w14:solidFill>
                    <w14:schemeClr w14:val="tx1"/>
                  </w14:solidFill>
                </w14:textFill>
              </w:rPr>
              <w:t>定</w:t>
            </w:r>
            <w:r>
              <w:rPr>
                <w:rFonts w:ascii="Times New Roman" w:hAnsi="Times New Roman" w:cs="Times New Roman"/>
                <w:color w:val="000000" w:themeColor="text1"/>
                <w:spacing w:val="-3"/>
                <w:sz w:val="21"/>
                <w:szCs w:val="21"/>
                <w14:textFill>
                  <w14:solidFill>
                    <w14:schemeClr w14:val="tx1"/>
                  </w14:solidFill>
                </w14:textFill>
              </w:rPr>
              <w:t>标</w:t>
            </w:r>
            <w:r>
              <w:rPr>
                <w:rFonts w:ascii="Times New Roman" w:hAnsi="Times New Roman" w:cs="Times New Roman"/>
                <w:color w:val="000000" w:themeColor="text1"/>
                <w:sz w:val="21"/>
                <w:szCs w:val="21"/>
                <w14:textFill>
                  <w14:solidFill>
                    <w14:schemeClr w14:val="tx1"/>
                  </w14:solidFill>
                </w14:textFill>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263"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0" w:beforeAutospacing="0" w:after="0" w:afterAutospacing="0"/>
              <w:ind w:left="131" w:right="1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对人体危害</w:t>
            </w: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62"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侵入途径：吸入</w:t>
            </w:r>
          </w:p>
          <w:p>
            <w:pPr>
              <w:pStyle w:val="112"/>
              <w:keepNext w:val="0"/>
              <w:keepLines w:val="0"/>
              <w:suppressLineNumbers w:val="0"/>
              <w:spacing w:before="69" w:beforeAutospacing="0" w:after="0" w:afterAutospacing="0"/>
              <w:ind w:left="0" w:right="-15"/>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9"/>
                <w:sz w:val="21"/>
                <w:szCs w:val="21"/>
                <w14:textFill>
                  <w14:solidFill>
                    <w14:schemeClr w14:val="tx1"/>
                  </w14:solidFill>
                </w14:textFill>
              </w:rPr>
              <w:t>健康危害：本品在生理学上是惰性气体，仅在高浓度时，由于空气中氧分压降低才引起窒息。</w:t>
            </w:r>
            <w:r>
              <w:rPr>
                <w:rFonts w:ascii="Times New Roman" w:hAnsi="Times New Roman" w:cs="Times New Roman"/>
                <w:color w:val="000000" w:themeColor="text1"/>
                <w:spacing w:val="-5"/>
                <w:sz w:val="21"/>
                <w:szCs w:val="21"/>
                <w14:textFill>
                  <w14:solidFill>
                    <w14:schemeClr w14:val="tx1"/>
                  </w14:solidFill>
                </w14:textFill>
              </w:rPr>
              <w:t>在很高的分压下，氢气可呈现出麻痹作用。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263"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15" w:beforeAutospacing="0" w:after="0" w:afterAutospacing="0"/>
              <w:ind w:left="131" w:right="1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急救</w:t>
            </w: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95"/>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吸入：迅速脱离现场至空气新鲜处，保持呼吸道通畅。如呼吸困难，给输氧。如呼吸停止， 立即进行人工呼吸。就医。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263"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0" w:beforeAutospacing="0" w:after="0" w:afterAutospacing="0"/>
              <w:ind w:left="131" w:right="1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防护</w:t>
            </w: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工程防护：密闭系统，通风，防爆电器与照明。</w:t>
            </w:r>
          </w:p>
          <w:p>
            <w:pPr>
              <w:pStyle w:val="112"/>
              <w:keepNext w:val="0"/>
              <w:keepLines w:val="0"/>
              <w:suppressLineNumbers w:val="0"/>
              <w:spacing w:before="53" w:beforeAutospacing="0" w:after="0" w:afterAutospacing="0"/>
              <w:ind w:left="0" w:right="95"/>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个人防护：一般不需要特殊防护，高浓度接触时可佩戴空气呼吸器。穿防静电工作服。戴一般作业防护手套。</w:t>
            </w:r>
          </w:p>
          <w:p>
            <w:pPr>
              <w:pStyle w:val="112"/>
              <w:keepNext w:val="0"/>
              <w:keepLines w:val="0"/>
              <w:suppressLineNumbers w:val="0"/>
              <w:spacing w:before="0"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其他：工作现场严禁吸烟。避免高浓度吸入。进入罐、限制性空间或其它高浓度区作业，须</w:t>
            </w:r>
          </w:p>
          <w:p>
            <w:pPr>
              <w:pStyle w:val="112"/>
              <w:keepNext w:val="0"/>
              <w:keepLines w:val="0"/>
              <w:suppressLineNumbers w:val="0"/>
              <w:spacing w:before="53"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有人监护。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1" w:hRule="atLeast"/>
        </w:trPr>
        <w:tc>
          <w:tcPr>
            <w:tcW w:w="263" w:type="pc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61" w:beforeAutospacing="0" w:after="0" w:afterAutospacing="0"/>
              <w:ind w:left="131" w:right="124"/>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泄漏处</w:t>
            </w:r>
          </w:p>
          <w:p>
            <w:pPr>
              <w:pStyle w:val="112"/>
              <w:keepNext w:val="0"/>
              <w:keepLines w:val="0"/>
              <w:suppressLineNumbers w:val="0"/>
              <w:spacing w:before="3" w:beforeAutospacing="0" w:after="0" w:afterAutospacing="0"/>
              <w:ind w:left="131"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理</w:t>
            </w:r>
          </w:p>
        </w:tc>
        <w:tc>
          <w:tcPr>
            <w:tcW w:w="4737" w:type="pct"/>
            <w:gridSpan w:val="6"/>
            <w:tcBorders>
              <w:top w:val="single" w:color="000000" w:sz="4" w:space="0"/>
              <w:left w:val="single" w:color="000000" w:sz="4" w:space="0"/>
              <w:bottom w:val="single" w:color="000000" w:sz="4" w:space="0"/>
              <w:right w:val="nil"/>
            </w:tcBorders>
            <w:noWrap w:val="0"/>
            <w:vAlign w:val="top"/>
          </w:tcPr>
          <w:p>
            <w:pPr>
              <w:pStyle w:val="112"/>
              <w:keepNext w:val="0"/>
              <w:keepLines w:val="0"/>
              <w:suppressLineNumbers w:val="0"/>
              <w:spacing w:before="61" w:beforeAutospacing="0" w:after="0" w:afterAutospacing="0"/>
              <w:ind w:left="0" w:right="94"/>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迅速撤离泄漏污染区人员至上风处，并进行隔离，严格限制出入。切断火源。建议应急处理人员戴自给正压式呼吸器，穿消防防护服。尽可能切断泄漏源。合理通风，加速扩散。如有可能，将漏出气用排风机送至空旷地方或装设适当喷头烧掉。漏气容器要妥善处理，修复、</w:t>
            </w:r>
          </w:p>
          <w:p>
            <w:pPr>
              <w:pStyle w:val="112"/>
              <w:keepNext w:val="0"/>
              <w:keepLines w:val="0"/>
              <w:suppressLineNumbers w:val="0"/>
              <w:spacing w:before="3"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检验后再用。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2" w:hRule="atLeast"/>
        </w:trPr>
        <w:tc>
          <w:tcPr>
            <w:tcW w:w="263" w:type="pct"/>
            <w:tcBorders>
              <w:top w:val="single" w:color="000000" w:sz="4" w:space="0"/>
              <w:left w:val="nil"/>
              <w:bottom w:val="single" w:color="000000" w:sz="12"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6" w:beforeAutospacing="0" w:after="0" w:afterAutospacing="0"/>
              <w:ind w:left="0" w:right="0"/>
              <w:rPr>
                <w:rFonts w:ascii="Times New Roman" w:hAnsi="Times New Roman" w:cs="Times New Roman"/>
                <w:b/>
                <w:bCs/>
                <w:color w:val="000000" w:themeColor="text1"/>
                <w:sz w:val="18"/>
                <w:szCs w:val="18"/>
                <w14:textFill>
                  <w14:solidFill>
                    <w14:schemeClr w14:val="tx1"/>
                  </w14:solidFill>
                </w14:textFill>
              </w:rPr>
            </w:pPr>
          </w:p>
          <w:p>
            <w:pPr>
              <w:pStyle w:val="112"/>
              <w:keepNext w:val="0"/>
              <w:keepLines w:val="0"/>
              <w:suppressLineNumbers w:val="0"/>
              <w:spacing w:before="0" w:beforeAutospacing="0" w:after="0" w:afterAutospacing="0"/>
              <w:ind w:left="131" w:right="12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贮运</w:t>
            </w:r>
          </w:p>
        </w:tc>
        <w:tc>
          <w:tcPr>
            <w:tcW w:w="4737" w:type="pct"/>
            <w:gridSpan w:val="6"/>
            <w:tcBorders>
              <w:top w:val="single" w:color="000000" w:sz="4" w:space="0"/>
              <w:left w:val="single" w:color="000000" w:sz="4" w:space="0"/>
              <w:bottom w:val="single" w:color="000000" w:sz="12" w:space="0"/>
              <w:right w:val="nil"/>
            </w:tcBorders>
            <w:noWrap w:val="0"/>
            <w:vAlign w:val="top"/>
          </w:tcPr>
          <w:p>
            <w:pPr>
              <w:pStyle w:val="112"/>
              <w:keepNext w:val="0"/>
              <w:keepLines w:val="0"/>
              <w:suppressLineNumbers w:val="0"/>
              <w:spacing w:before="61" w:beforeAutospacing="0" w:after="0" w:afterAutospacing="0"/>
              <w:ind w:left="0" w:right="-15"/>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包装</w:t>
            </w:r>
            <w:r>
              <w:rPr>
                <w:rFonts w:ascii="Times New Roman" w:hAnsi="Times New Roman" w:cs="Times New Roman"/>
                <w:color w:val="000000" w:themeColor="text1"/>
                <w:spacing w:val="-3"/>
                <w:sz w:val="21"/>
                <w:szCs w:val="21"/>
                <w14:textFill>
                  <w14:solidFill>
                    <w14:schemeClr w14:val="tx1"/>
                  </w14:solidFill>
                </w14:textFill>
              </w:rPr>
              <w:t>标</w:t>
            </w:r>
            <w:r>
              <w:rPr>
                <w:rFonts w:ascii="Times New Roman" w:hAnsi="Times New Roman" w:cs="Times New Roman"/>
                <w:color w:val="000000" w:themeColor="text1"/>
                <w:sz w:val="21"/>
                <w:szCs w:val="21"/>
                <w14:textFill>
                  <w14:solidFill>
                    <w14:schemeClr w14:val="tx1"/>
                  </w14:solidFill>
                </w14:textFill>
              </w:rPr>
              <w:t>志：4</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UN</w:t>
            </w:r>
            <w:r>
              <w:rPr>
                <w:rFonts w:ascii="Times New Roman" w:hAnsi="Times New Roman" w:cs="Times New Roman"/>
                <w:color w:val="000000" w:themeColor="text1"/>
                <w:spacing w:val="1"/>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编号：</w:t>
            </w:r>
            <w:r>
              <w:rPr>
                <w:rFonts w:ascii="Times New Roman" w:hAnsi="Times New Roman" w:cs="Times New Roman"/>
                <w:color w:val="000000" w:themeColor="text1"/>
                <w:spacing w:val="-1"/>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1049</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包</w:t>
            </w:r>
            <w:r>
              <w:rPr>
                <w:rFonts w:ascii="Times New Roman" w:hAnsi="Times New Roman" w:cs="Times New Roman"/>
                <w:color w:val="000000" w:themeColor="text1"/>
                <w:spacing w:val="-3"/>
                <w:sz w:val="21"/>
                <w:szCs w:val="21"/>
                <w14:textFill>
                  <w14:solidFill>
                    <w14:schemeClr w14:val="tx1"/>
                  </w14:solidFill>
                </w14:textFill>
              </w:rPr>
              <w:t>装</w:t>
            </w:r>
            <w:r>
              <w:rPr>
                <w:rFonts w:ascii="Times New Roman" w:hAnsi="Times New Roman" w:cs="Times New Roman"/>
                <w:color w:val="000000" w:themeColor="text1"/>
                <w:sz w:val="21"/>
                <w:szCs w:val="21"/>
                <w14:textFill>
                  <w14:solidFill>
                    <w14:schemeClr w14:val="tx1"/>
                  </w14:solidFill>
                </w14:textFill>
              </w:rPr>
              <w:t>分类：Ⅱ</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pacing w:val="-3"/>
                <w:sz w:val="21"/>
                <w:szCs w:val="21"/>
                <w14:textFill>
                  <w14:solidFill>
                    <w14:schemeClr w14:val="tx1"/>
                  </w14:solidFill>
                </w14:textFill>
              </w:rPr>
              <w:t>包</w:t>
            </w:r>
            <w:r>
              <w:rPr>
                <w:rFonts w:ascii="Times New Roman" w:hAnsi="Times New Roman" w:cs="Times New Roman"/>
                <w:color w:val="000000" w:themeColor="text1"/>
                <w:sz w:val="21"/>
                <w:szCs w:val="21"/>
                <w14:textFill>
                  <w14:solidFill>
                    <w14:schemeClr w14:val="tx1"/>
                  </w14:solidFill>
                </w14:textFill>
              </w:rPr>
              <w:t>装</w:t>
            </w:r>
            <w:r>
              <w:rPr>
                <w:rFonts w:ascii="Times New Roman" w:hAnsi="Times New Roman" w:cs="Times New Roman"/>
                <w:color w:val="000000" w:themeColor="text1"/>
                <w:spacing w:val="-3"/>
                <w:sz w:val="21"/>
                <w:szCs w:val="21"/>
                <w14:textFill>
                  <w14:solidFill>
                    <w14:schemeClr w14:val="tx1"/>
                  </w14:solidFill>
                </w14:textFill>
              </w:rPr>
              <w:t>方</w:t>
            </w:r>
            <w:r>
              <w:rPr>
                <w:rFonts w:ascii="Times New Roman" w:hAnsi="Times New Roman" w:cs="Times New Roman"/>
                <w:color w:val="000000" w:themeColor="text1"/>
                <w:sz w:val="21"/>
                <w:szCs w:val="21"/>
                <w14:textFill>
                  <w14:solidFill>
                    <w14:schemeClr w14:val="tx1"/>
                  </w14:solidFill>
                </w14:textFill>
              </w:rPr>
              <w:t>法：</w:t>
            </w:r>
            <w:r>
              <w:rPr>
                <w:rFonts w:ascii="Times New Roman" w:hAnsi="Times New Roman" w:cs="Times New Roman"/>
                <w:color w:val="000000" w:themeColor="text1"/>
                <w:spacing w:val="-3"/>
                <w:sz w:val="21"/>
                <w:szCs w:val="21"/>
                <w14:textFill>
                  <w14:solidFill>
                    <w14:schemeClr w14:val="tx1"/>
                  </w14:solidFill>
                </w14:textFill>
              </w:rPr>
              <w:t>钢</w:t>
            </w:r>
            <w:r>
              <w:rPr>
                <w:rFonts w:ascii="Times New Roman" w:hAnsi="Times New Roman" w:cs="Times New Roman"/>
                <w:color w:val="000000" w:themeColor="text1"/>
                <w:sz w:val="21"/>
                <w:szCs w:val="21"/>
                <w14:textFill>
                  <w14:solidFill>
                    <w14:schemeClr w14:val="tx1"/>
                  </w14:solidFill>
                </w14:textFill>
              </w:rPr>
              <w:t>质</w:t>
            </w:r>
            <w:r>
              <w:rPr>
                <w:rFonts w:ascii="Times New Roman" w:hAnsi="Times New Roman" w:cs="Times New Roman"/>
                <w:color w:val="000000" w:themeColor="text1"/>
                <w:spacing w:val="-3"/>
                <w:sz w:val="21"/>
                <w:szCs w:val="21"/>
                <w14:textFill>
                  <w14:solidFill>
                    <w14:schemeClr w14:val="tx1"/>
                  </w14:solidFill>
                </w14:textFill>
              </w:rPr>
              <w:t>气</w:t>
            </w:r>
            <w:r>
              <w:rPr>
                <w:rFonts w:ascii="Times New Roman" w:hAnsi="Times New Roman" w:cs="Times New Roman"/>
                <w:color w:val="000000" w:themeColor="text1"/>
                <w:sz w:val="21"/>
                <w:szCs w:val="21"/>
                <w14:textFill>
                  <w14:solidFill>
                    <w14:schemeClr w14:val="tx1"/>
                  </w14:solidFill>
                </w14:textFill>
              </w:rPr>
              <w:t>瓶  储运</w:t>
            </w:r>
            <w:r>
              <w:rPr>
                <w:rFonts w:ascii="Times New Roman" w:hAnsi="Times New Roman" w:cs="Times New Roman"/>
                <w:color w:val="000000" w:themeColor="text1"/>
                <w:spacing w:val="-3"/>
                <w:sz w:val="21"/>
                <w:szCs w:val="21"/>
                <w14:textFill>
                  <w14:solidFill>
                    <w14:schemeClr w14:val="tx1"/>
                  </w14:solidFill>
                </w14:textFill>
              </w:rPr>
              <w:t>条</w:t>
            </w:r>
            <w:r>
              <w:rPr>
                <w:rFonts w:ascii="Times New Roman" w:hAnsi="Times New Roman" w:cs="Times New Roman"/>
                <w:color w:val="000000" w:themeColor="text1"/>
                <w:sz w:val="21"/>
                <w:szCs w:val="21"/>
                <w14:textFill>
                  <w14:solidFill>
                    <w14:schemeClr w14:val="tx1"/>
                  </w14:solidFill>
                </w14:textFill>
              </w:rPr>
              <w:t>件</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易</w:t>
            </w:r>
            <w:r>
              <w:rPr>
                <w:rFonts w:ascii="Times New Roman" w:hAnsi="Times New Roman" w:cs="Times New Roman"/>
                <w:color w:val="000000" w:themeColor="text1"/>
                <w:spacing w:val="-3"/>
                <w:sz w:val="21"/>
                <w:szCs w:val="21"/>
                <w14:textFill>
                  <w14:solidFill>
                    <w14:schemeClr w14:val="tx1"/>
                  </w14:solidFill>
                </w14:textFill>
              </w:rPr>
              <w:t>燃</w:t>
            </w:r>
            <w:r>
              <w:rPr>
                <w:rFonts w:ascii="Times New Roman" w:hAnsi="Times New Roman" w:cs="Times New Roman"/>
                <w:color w:val="000000" w:themeColor="text1"/>
                <w:sz w:val="21"/>
                <w:szCs w:val="21"/>
                <w14:textFill>
                  <w14:solidFill>
                    <w14:schemeClr w14:val="tx1"/>
                  </w14:solidFill>
                </w14:textFill>
              </w:rPr>
              <w:t>压</w:t>
            </w:r>
            <w:r>
              <w:rPr>
                <w:rFonts w:ascii="Times New Roman" w:hAnsi="Times New Roman" w:cs="Times New Roman"/>
                <w:color w:val="000000" w:themeColor="text1"/>
                <w:spacing w:val="-3"/>
                <w:sz w:val="21"/>
                <w:szCs w:val="21"/>
                <w14:textFill>
                  <w14:solidFill>
                    <w14:schemeClr w14:val="tx1"/>
                  </w14:solidFill>
                </w14:textFill>
              </w:rPr>
              <w:t>缩</w:t>
            </w:r>
            <w:r>
              <w:rPr>
                <w:rFonts w:ascii="Times New Roman" w:hAnsi="Times New Roman" w:cs="Times New Roman"/>
                <w:color w:val="000000" w:themeColor="text1"/>
                <w:sz w:val="21"/>
                <w:szCs w:val="21"/>
                <w14:textFill>
                  <w14:solidFill>
                    <w14:schemeClr w14:val="tx1"/>
                  </w14:solidFill>
                </w14:textFill>
              </w:rPr>
              <w:t>气</w:t>
            </w:r>
            <w:r>
              <w:rPr>
                <w:rFonts w:ascii="Times New Roman" w:hAnsi="Times New Roman" w:cs="Times New Roman"/>
                <w:color w:val="000000" w:themeColor="text1"/>
                <w:spacing w:val="-3"/>
                <w:sz w:val="21"/>
                <w:szCs w:val="21"/>
                <w14:textFill>
                  <w14:solidFill>
                    <w14:schemeClr w14:val="tx1"/>
                  </w14:solidFill>
                </w14:textFill>
              </w:rPr>
              <w:t>体</w:t>
            </w:r>
            <w:r>
              <w:rPr>
                <w:rFonts w:ascii="Times New Roman" w:hAnsi="Times New Roman" w:cs="Times New Roman"/>
                <w:color w:val="000000" w:themeColor="text1"/>
                <w:sz w:val="21"/>
                <w:szCs w:val="21"/>
                <w14:textFill>
                  <w14:solidFill>
                    <w14:schemeClr w14:val="tx1"/>
                  </w14:solidFill>
                </w14:textFill>
              </w:rPr>
              <w:t>。储</w:t>
            </w:r>
            <w:r>
              <w:rPr>
                <w:rFonts w:ascii="Times New Roman" w:hAnsi="Times New Roman" w:cs="Times New Roman"/>
                <w:color w:val="000000" w:themeColor="text1"/>
                <w:spacing w:val="-3"/>
                <w:sz w:val="21"/>
                <w:szCs w:val="21"/>
                <w14:textFill>
                  <w14:solidFill>
                    <w14:schemeClr w14:val="tx1"/>
                  </w14:solidFill>
                </w14:textFill>
              </w:rPr>
              <w:t>存</w:t>
            </w:r>
            <w:r>
              <w:rPr>
                <w:rFonts w:ascii="Times New Roman" w:hAnsi="Times New Roman" w:cs="Times New Roman"/>
                <w:color w:val="000000" w:themeColor="text1"/>
                <w:sz w:val="21"/>
                <w:szCs w:val="21"/>
                <w14:textFill>
                  <w14:solidFill>
                    <w14:schemeClr w14:val="tx1"/>
                  </w14:solidFill>
                </w14:textFill>
              </w:rPr>
              <w:t>于</w:t>
            </w:r>
            <w:r>
              <w:rPr>
                <w:rFonts w:ascii="Times New Roman" w:hAnsi="Times New Roman" w:cs="Times New Roman"/>
                <w:color w:val="000000" w:themeColor="text1"/>
                <w:spacing w:val="-3"/>
                <w:sz w:val="21"/>
                <w:szCs w:val="21"/>
                <w14:textFill>
                  <w14:solidFill>
                    <w14:schemeClr w14:val="tx1"/>
                  </w14:solidFill>
                </w14:textFill>
              </w:rPr>
              <w:t>阴</w:t>
            </w:r>
            <w:r>
              <w:rPr>
                <w:rFonts w:ascii="Times New Roman" w:hAnsi="Times New Roman" w:cs="Times New Roman"/>
                <w:color w:val="000000" w:themeColor="text1"/>
                <w:sz w:val="21"/>
                <w:szCs w:val="21"/>
                <w14:textFill>
                  <w14:solidFill>
                    <w14:schemeClr w14:val="tx1"/>
                  </w14:solidFill>
                </w14:textFill>
              </w:rPr>
              <w:t>凉</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通</w:t>
            </w:r>
            <w:r>
              <w:rPr>
                <w:rFonts w:ascii="Times New Roman" w:hAnsi="Times New Roman" w:cs="Times New Roman"/>
                <w:color w:val="000000" w:themeColor="text1"/>
                <w:spacing w:val="-3"/>
                <w:sz w:val="21"/>
                <w:szCs w:val="21"/>
                <w14:textFill>
                  <w14:solidFill>
                    <w14:schemeClr w14:val="tx1"/>
                  </w14:solidFill>
                </w14:textFill>
              </w:rPr>
              <w:t>风</w:t>
            </w:r>
            <w:r>
              <w:rPr>
                <w:rFonts w:ascii="Times New Roman" w:hAnsi="Times New Roman" w:cs="Times New Roman"/>
                <w:color w:val="000000" w:themeColor="text1"/>
                <w:sz w:val="21"/>
                <w:szCs w:val="21"/>
                <w14:textFill>
                  <w14:solidFill>
                    <w14:schemeClr w14:val="tx1"/>
                  </w14:solidFill>
                </w14:textFill>
              </w:rPr>
              <w:t>仓</w:t>
            </w:r>
            <w:r>
              <w:rPr>
                <w:rFonts w:ascii="Times New Roman" w:hAnsi="Times New Roman" w:cs="Times New Roman"/>
                <w:color w:val="000000" w:themeColor="text1"/>
                <w:spacing w:val="-3"/>
                <w:sz w:val="21"/>
                <w:szCs w:val="21"/>
                <w14:textFill>
                  <w14:solidFill>
                    <w14:schemeClr w14:val="tx1"/>
                  </w14:solidFill>
                </w14:textFill>
              </w:rPr>
              <w:t>间</w:t>
            </w:r>
            <w:r>
              <w:rPr>
                <w:rFonts w:ascii="Times New Roman" w:hAnsi="Times New Roman" w:cs="Times New Roman"/>
                <w:color w:val="000000" w:themeColor="text1"/>
                <w:sz w:val="21"/>
                <w:szCs w:val="21"/>
                <w14:textFill>
                  <w14:solidFill>
                    <w14:schemeClr w14:val="tx1"/>
                  </w14:solidFill>
                </w14:textFill>
              </w:rPr>
              <w:t>内。</w:t>
            </w:r>
            <w:r>
              <w:rPr>
                <w:rFonts w:ascii="Times New Roman" w:hAnsi="Times New Roman" w:cs="Times New Roman"/>
                <w:color w:val="000000" w:themeColor="text1"/>
                <w:spacing w:val="-3"/>
                <w:sz w:val="21"/>
                <w:szCs w:val="21"/>
                <w14:textFill>
                  <w14:solidFill>
                    <w14:schemeClr w14:val="tx1"/>
                  </w14:solidFill>
                </w14:textFill>
              </w:rPr>
              <w:t>仓</w:t>
            </w:r>
            <w:r>
              <w:rPr>
                <w:rFonts w:ascii="Times New Roman" w:hAnsi="Times New Roman" w:cs="Times New Roman"/>
                <w:color w:val="000000" w:themeColor="text1"/>
                <w:sz w:val="21"/>
                <w:szCs w:val="21"/>
                <w14:textFill>
                  <w14:solidFill>
                    <w14:schemeClr w14:val="tx1"/>
                  </w14:solidFill>
                </w14:textFill>
              </w:rPr>
              <w:t>内</w:t>
            </w:r>
            <w:r>
              <w:rPr>
                <w:rFonts w:ascii="Times New Roman" w:hAnsi="Times New Roman" w:cs="Times New Roman"/>
                <w:color w:val="000000" w:themeColor="text1"/>
                <w:spacing w:val="-3"/>
                <w:sz w:val="21"/>
                <w:szCs w:val="21"/>
                <w14:textFill>
                  <w14:solidFill>
                    <w14:schemeClr w14:val="tx1"/>
                  </w14:solidFill>
                </w14:textFill>
              </w:rPr>
              <w:t>温</w:t>
            </w:r>
            <w:r>
              <w:rPr>
                <w:rFonts w:ascii="Times New Roman" w:hAnsi="Times New Roman" w:cs="Times New Roman"/>
                <w:color w:val="000000" w:themeColor="text1"/>
                <w:sz w:val="21"/>
                <w:szCs w:val="21"/>
                <w14:textFill>
                  <w14:solidFill>
                    <w14:schemeClr w14:val="tx1"/>
                  </w14:solidFill>
                </w14:textFill>
              </w:rPr>
              <w:t>度</w:t>
            </w:r>
            <w:r>
              <w:rPr>
                <w:rFonts w:ascii="Times New Roman" w:hAnsi="Times New Roman" w:cs="Times New Roman"/>
                <w:color w:val="000000" w:themeColor="text1"/>
                <w:spacing w:val="-3"/>
                <w:sz w:val="21"/>
                <w:szCs w:val="21"/>
                <w14:textFill>
                  <w14:solidFill>
                    <w14:schemeClr w14:val="tx1"/>
                  </w14:solidFill>
                </w14:textFill>
              </w:rPr>
              <w:t>不</w:t>
            </w:r>
            <w:r>
              <w:rPr>
                <w:rFonts w:ascii="Times New Roman" w:hAnsi="Times New Roman" w:cs="Times New Roman"/>
                <w:color w:val="000000" w:themeColor="text1"/>
                <w:sz w:val="21"/>
                <w:szCs w:val="21"/>
                <w14:textFill>
                  <w14:solidFill>
                    <w14:schemeClr w14:val="tx1"/>
                  </w14:solidFill>
                </w14:textFill>
              </w:rPr>
              <w:t>宜</w:t>
            </w:r>
            <w:r>
              <w:rPr>
                <w:rFonts w:ascii="Times New Roman" w:hAnsi="Times New Roman" w:cs="Times New Roman"/>
                <w:color w:val="000000" w:themeColor="text1"/>
                <w:spacing w:val="-3"/>
                <w:sz w:val="21"/>
                <w:szCs w:val="21"/>
                <w14:textFill>
                  <w14:solidFill>
                    <w14:schemeClr w14:val="tx1"/>
                  </w14:solidFill>
                </w14:textFill>
              </w:rPr>
              <w:t>超</w:t>
            </w:r>
            <w:r>
              <w:rPr>
                <w:rFonts w:ascii="Times New Roman" w:hAnsi="Times New Roman" w:cs="Times New Roman"/>
                <w:color w:val="000000" w:themeColor="text1"/>
                <w:sz w:val="21"/>
                <w:szCs w:val="21"/>
                <w14:textFill>
                  <w14:solidFill>
                    <w14:schemeClr w14:val="tx1"/>
                  </w14:solidFill>
                </w14:textFill>
              </w:rPr>
              <w:t>过</w:t>
            </w:r>
            <w:r>
              <w:rPr>
                <w:rFonts w:ascii="Times New Roman" w:hAnsi="Times New Roman" w:cs="Times New Roman"/>
                <w:color w:val="000000" w:themeColor="text1"/>
                <w:spacing w:val="-39"/>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30℃。</w:t>
            </w:r>
            <w:r>
              <w:rPr>
                <w:rFonts w:ascii="Times New Roman" w:hAnsi="Times New Roman" w:cs="Times New Roman"/>
                <w:color w:val="000000" w:themeColor="text1"/>
                <w:spacing w:val="-3"/>
                <w:sz w:val="21"/>
                <w:szCs w:val="21"/>
                <w14:textFill>
                  <w14:solidFill>
                    <w14:schemeClr w14:val="tx1"/>
                  </w14:solidFill>
                </w14:textFill>
              </w:rPr>
              <w:t>远</w:t>
            </w:r>
            <w:r>
              <w:rPr>
                <w:rFonts w:ascii="Times New Roman" w:hAnsi="Times New Roman" w:cs="Times New Roman"/>
                <w:color w:val="000000" w:themeColor="text1"/>
                <w:sz w:val="21"/>
                <w:szCs w:val="21"/>
                <w14:textFill>
                  <w14:solidFill>
                    <w14:schemeClr w14:val="tx1"/>
                  </w14:solidFill>
                </w14:textFill>
              </w:rPr>
              <w:t>离</w:t>
            </w:r>
            <w:r>
              <w:rPr>
                <w:rFonts w:ascii="Times New Roman" w:hAnsi="Times New Roman" w:cs="Times New Roman"/>
                <w:color w:val="000000" w:themeColor="text1"/>
                <w:spacing w:val="-3"/>
                <w:sz w:val="21"/>
                <w:szCs w:val="21"/>
                <w14:textFill>
                  <w14:solidFill>
                    <w14:schemeClr w14:val="tx1"/>
                  </w14:solidFill>
                </w14:textFill>
              </w:rPr>
              <w:t>火种</w:t>
            </w:r>
            <w:r>
              <w:rPr>
                <w:rFonts w:ascii="Times New Roman" w:hAnsi="Times New Roman" w:cs="Times New Roman"/>
                <w:color w:val="000000" w:themeColor="text1"/>
                <w:sz w:val="21"/>
                <w:szCs w:val="21"/>
                <w14:textFill>
                  <w14:solidFill>
                    <w14:schemeClr w14:val="tx1"/>
                  </w14:solidFill>
                </w14:textFill>
              </w:rPr>
              <w:t>、热</w:t>
            </w:r>
            <w:r>
              <w:rPr>
                <w:rFonts w:ascii="Times New Roman" w:hAnsi="Times New Roman" w:cs="Times New Roman"/>
                <w:color w:val="000000" w:themeColor="text1"/>
                <w:spacing w:val="-3"/>
                <w:sz w:val="21"/>
                <w:szCs w:val="21"/>
                <w14:textFill>
                  <w14:solidFill>
                    <w14:schemeClr w14:val="tx1"/>
                  </w14:solidFill>
                </w14:textFill>
              </w:rPr>
              <w:t>源</w:t>
            </w:r>
            <w:r>
              <w:rPr>
                <w:rFonts w:ascii="Times New Roman" w:hAnsi="Times New Roman" w:cs="Times New Roman"/>
                <w:color w:val="000000" w:themeColor="text1"/>
                <w:spacing w:val="-8"/>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防</w:t>
            </w:r>
            <w:r>
              <w:rPr>
                <w:rFonts w:ascii="Times New Roman" w:hAnsi="Times New Roman" w:cs="Times New Roman"/>
                <w:color w:val="000000" w:themeColor="text1"/>
                <w:sz w:val="21"/>
                <w:szCs w:val="21"/>
                <w14:textFill>
                  <w14:solidFill>
                    <w14:schemeClr w14:val="tx1"/>
                  </w14:solidFill>
                </w14:textFill>
              </w:rPr>
              <w:t>止</w:t>
            </w:r>
            <w:r>
              <w:rPr>
                <w:rFonts w:ascii="Times New Roman" w:hAnsi="Times New Roman" w:cs="Times New Roman"/>
                <w:color w:val="000000" w:themeColor="text1"/>
                <w:spacing w:val="-3"/>
                <w:sz w:val="21"/>
                <w:szCs w:val="21"/>
                <w14:textFill>
                  <w14:solidFill>
                    <w14:schemeClr w14:val="tx1"/>
                  </w14:solidFill>
                </w14:textFill>
              </w:rPr>
              <w:t>阳</w:t>
            </w:r>
            <w:r>
              <w:rPr>
                <w:rFonts w:ascii="Times New Roman" w:hAnsi="Times New Roman" w:cs="Times New Roman"/>
                <w:color w:val="000000" w:themeColor="text1"/>
                <w:sz w:val="21"/>
                <w:szCs w:val="21"/>
                <w14:textFill>
                  <w14:solidFill>
                    <w14:schemeClr w14:val="tx1"/>
                  </w14:solidFill>
                </w14:textFill>
              </w:rPr>
              <w:t>光</w:t>
            </w:r>
            <w:r>
              <w:rPr>
                <w:rFonts w:ascii="Times New Roman" w:hAnsi="Times New Roman" w:cs="Times New Roman"/>
                <w:color w:val="000000" w:themeColor="text1"/>
                <w:spacing w:val="-3"/>
                <w:sz w:val="21"/>
                <w:szCs w:val="21"/>
                <w14:textFill>
                  <w14:solidFill>
                    <w14:schemeClr w14:val="tx1"/>
                  </w14:solidFill>
                </w14:textFill>
              </w:rPr>
              <w:t>直</w:t>
            </w:r>
            <w:r>
              <w:rPr>
                <w:rFonts w:ascii="Times New Roman" w:hAnsi="Times New Roman" w:cs="Times New Roman"/>
                <w:color w:val="000000" w:themeColor="text1"/>
                <w:sz w:val="21"/>
                <w:szCs w:val="21"/>
                <w14:textFill>
                  <w14:solidFill>
                    <w14:schemeClr w14:val="tx1"/>
                  </w14:solidFill>
                </w14:textFill>
              </w:rPr>
              <w:t>射</w:t>
            </w:r>
            <w:r>
              <w:rPr>
                <w:rFonts w:ascii="Times New Roman" w:hAnsi="Times New Roman" w:cs="Times New Roman"/>
                <w:color w:val="000000" w:themeColor="text1"/>
                <w:spacing w:val="-10"/>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应</w:t>
            </w:r>
            <w:r>
              <w:rPr>
                <w:rFonts w:ascii="Times New Roman" w:hAnsi="Times New Roman" w:cs="Times New Roman"/>
                <w:color w:val="000000" w:themeColor="text1"/>
                <w:sz w:val="21"/>
                <w:szCs w:val="21"/>
                <w14:textFill>
                  <w14:solidFill>
                    <w14:schemeClr w14:val="tx1"/>
                  </w14:solidFill>
                </w14:textFill>
              </w:rPr>
              <w:t>与氧</w:t>
            </w:r>
            <w:r>
              <w:rPr>
                <w:rFonts w:ascii="Times New Roman" w:hAnsi="Times New Roman" w:cs="Times New Roman"/>
                <w:color w:val="000000" w:themeColor="text1"/>
                <w:spacing w:val="-3"/>
                <w:sz w:val="21"/>
                <w:szCs w:val="21"/>
                <w14:textFill>
                  <w14:solidFill>
                    <w14:schemeClr w14:val="tx1"/>
                  </w14:solidFill>
                </w14:textFill>
              </w:rPr>
              <w:t>气</w:t>
            </w:r>
            <w:r>
              <w:rPr>
                <w:rFonts w:ascii="Times New Roman" w:hAnsi="Times New Roman" w:cs="Times New Roman"/>
                <w:color w:val="000000" w:themeColor="text1"/>
                <w:spacing w:val="-10"/>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压</w:t>
            </w:r>
            <w:r>
              <w:rPr>
                <w:rFonts w:ascii="Times New Roman" w:hAnsi="Times New Roman" w:cs="Times New Roman"/>
                <w:color w:val="000000" w:themeColor="text1"/>
                <w:spacing w:val="-3"/>
                <w:sz w:val="21"/>
                <w:szCs w:val="21"/>
                <w14:textFill>
                  <w14:solidFill>
                    <w14:schemeClr w14:val="tx1"/>
                  </w14:solidFill>
                </w14:textFill>
              </w:rPr>
              <w:t>缩</w:t>
            </w:r>
            <w:r>
              <w:rPr>
                <w:rFonts w:ascii="Times New Roman" w:hAnsi="Times New Roman" w:cs="Times New Roman"/>
                <w:color w:val="000000" w:themeColor="text1"/>
                <w:sz w:val="21"/>
                <w:szCs w:val="21"/>
                <w14:textFill>
                  <w14:solidFill>
                    <w14:schemeClr w14:val="tx1"/>
                  </w14:solidFill>
                </w14:textFill>
              </w:rPr>
              <w:t>空</w:t>
            </w:r>
            <w:r>
              <w:rPr>
                <w:rFonts w:ascii="Times New Roman" w:hAnsi="Times New Roman" w:cs="Times New Roman"/>
                <w:color w:val="000000" w:themeColor="text1"/>
                <w:spacing w:val="-3"/>
                <w:sz w:val="21"/>
                <w:szCs w:val="21"/>
                <w14:textFill>
                  <w14:solidFill>
                    <w14:schemeClr w14:val="tx1"/>
                  </w14:solidFill>
                </w14:textFill>
              </w:rPr>
              <w:t>气</w:t>
            </w:r>
            <w:r>
              <w:rPr>
                <w:rFonts w:ascii="Times New Roman" w:hAnsi="Times New Roman" w:cs="Times New Roman"/>
                <w:color w:val="000000" w:themeColor="text1"/>
                <w:spacing w:val="-8"/>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卤</w:t>
            </w:r>
            <w:r>
              <w:rPr>
                <w:rFonts w:ascii="Times New Roman" w:hAnsi="Times New Roman" w:cs="Times New Roman"/>
                <w:color w:val="000000" w:themeColor="text1"/>
                <w:spacing w:val="-10"/>
                <w:sz w:val="21"/>
                <w:szCs w:val="21"/>
                <w14:textFill>
                  <w14:solidFill>
                    <w14:schemeClr w14:val="tx1"/>
                  </w14:solidFill>
                </w14:textFill>
              </w:rPr>
              <w:t>素</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氟</w:t>
            </w:r>
            <w:r>
              <w:rPr>
                <w:rFonts w:ascii="Times New Roman" w:hAnsi="Times New Roman" w:cs="Times New Roman"/>
                <w:color w:val="000000" w:themeColor="text1"/>
                <w:spacing w:val="-8"/>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氯</w:t>
            </w:r>
            <w:r>
              <w:rPr>
                <w:rFonts w:ascii="Times New Roman" w:hAnsi="Times New Roman" w:cs="Times New Roman"/>
                <w:color w:val="000000" w:themeColor="text1"/>
                <w:spacing w:val="-10"/>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溴</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8"/>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氧</w:t>
            </w:r>
            <w:r>
              <w:rPr>
                <w:rFonts w:ascii="Times New Roman" w:hAnsi="Times New Roman" w:cs="Times New Roman"/>
                <w:color w:val="000000" w:themeColor="text1"/>
                <w:sz w:val="21"/>
                <w:szCs w:val="21"/>
                <w14:textFill>
                  <w14:solidFill>
                    <w14:schemeClr w14:val="tx1"/>
                  </w14:solidFill>
                </w14:textFill>
              </w:rPr>
              <w:t>化</w:t>
            </w:r>
            <w:r>
              <w:rPr>
                <w:rFonts w:ascii="Times New Roman" w:hAnsi="Times New Roman" w:cs="Times New Roman"/>
                <w:color w:val="000000" w:themeColor="text1"/>
                <w:spacing w:val="-3"/>
                <w:sz w:val="21"/>
                <w:szCs w:val="21"/>
                <w14:textFill>
                  <w14:solidFill>
                    <w14:schemeClr w14:val="tx1"/>
                  </w14:solidFill>
                </w14:textFill>
              </w:rPr>
              <w:t>剂等</w:t>
            </w:r>
            <w:r>
              <w:rPr>
                <w:rFonts w:ascii="Times New Roman" w:hAnsi="Times New Roman" w:cs="Times New Roman"/>
                <w:color w:val="000000" w:themeColor="text1"/>
                <w:sz w:val="21"/>
                <w:szCs w:val="21"/>
                <w14:textFill>
                  <w14:solidFill>
                    <w14:schemeClr w14:val="tx1"/>
                  </w14:solidFill>
                </w14:textFill>
              </w:rPr>
              <w:t>分开</w:t>
            </w:r>
            <w:r>
              <w:rPr>
                <w:rFonts w:ascii="Times New Roman" w:hAnsi="Times New Roman" w:cs="Times New Roman"/>
                <w:color w:val="000000" w:themeColor="text1"/>
                <w:spacing w:val="-3"/>
                <w:sz w:val="21"/>
                <w:szCs w:val="21"/>
                <w14:textFill>
                  <w14:solidFill>
                    <w14:schemeClr w14:val="tx1"/>
                  </w14:solidFill>
                </w14:textFill>
              </w:rPr>
              <w:t>存放</w:t>
            </w:r>
            <w:r>
              <w:rPr>
                <w:rFonts w:ascii="Times New Roman" w:hAnsi="Times New Roman" w:cs="Times New Roman"/>
                <w:color w:val="000000" w:themeColor="text1"/>
                <w:spacing w:val="-8"/>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切</w:t>
            </w:r>
            <w:r>
              <w:rPr>
                <w:rFonts w:ascii="Times New Roman" w:hAnsi="Times New Roman" w:cs="Times New Roman"/>
                <w:color w:val="000000" w:themeColor="text1"/>
                <w:sz w:val="21"/>
                <w:szCs w:val="21"/>
                <w14:textFill>
                  <w14:solidFill>
                    <w14:schemeClr w14:val="tx1"/>
                  </w14:solidFill>
                </w14:textFill>
              </w:rPr>
              <w:t>忌混储混运。储存间内的</w:t>
            </w:r>
            <w:r>
              <w:rPr>
                <w:rFonts w:ascii="Times New Roman" w:hAnsi="Times New Roman" w:cs="Times New Roman"/>
                <w:color w:val="000000" w:themeColor="text1"/>
                <w:spacing w:val="-3"/>
                <w:sz w:val="21"/>
                <w:szCs w:val="21"/>
                <w14:textFill>
                  <w14:solidFill>
                    <w14:schemeClr w14:val="tx1"/>
                  </w14:solidFill>
                </w14:textFill>
              </w:rPr>
              <w:t>照</w:t>
            </w:r>
            <w:r>
              <w:rPr>
                <w:rFonts w:ascii="Times New Roman" w:hAnsi="Times New Roman" w:cs="Times New Roman"/>
                <w:color w:val="000000" w:themeColor="text1"/>
                <w:sz w:val="21"/>
                <w:szCs w:val="21"/>
                <w14:textFill>
                  <w14:solidFill>
                    <w14:schemeClr w14:val="tx1"/>
                  </w14:solidFill>
                </w14:textFill>
              </w:rPr>
              <w:t>明、通风等设施应采用</w:t>
            </w:r>
            <w:r>
              <w:rPr>
                <w:rFonts w:ascii="Times New Roman" w:hAnsi="Times New Roman" w:cs="Times New Roman"/>
                <w:color w:val="000000" w:themeColor="text1"/>
                <w:spacing w:val="-3"/>
                <w:sz w:val="21"/>
                <w:szCs w:val="21"/>
                <w14:textFill>
                  <w14:solidFill>
                    <w14:schemeClr w14:val="tx1"/>
                  </w14:solidFill>
                </w14:textFill>
              </w:rPr>
              <w:t>防</w:t>
            </w:r>
            <w:r>
              <w:rPr>
                <w:rFonts w:ascii="Times New Roman" w:hAnsi="Times New Roman" w:cs="Times New Roman"/>
                <w:color w:val="000000" w:themeColor="text1"/>
                <w:sz w:val="21"/>
                <w:szCs w:val="21"/>
                <w14:textFill>
                  <w14:solidFill>
                    <w14:schemeClr w14:val="tx1"/>
                  </w14:solidFill>
                </w14:textFill>
              </w:rPr>
              <w:t>爆型，开关设在仓外。</w:t>
            </w:r>
            <w:r>
              <w:rPr>
                <w:rFonts w:ascii="Times New Roman" w:hAnsi="Times New Roman" w:cs="Times New Roman"/>
                <w:color w:val="000000" w:themeColor="text1"/>
                <w:spacing w:val="-3"/>
                <w:sz w:val="21"/>
                <w:szCs w:val="21"/>
                <w14:textFill>
                  <w14:solidFill>
                    <w14:schemeClr w14:val="tx1"/>
                  </w14:solidFill>
                </w14:textFill>
              </w:rPr>
              <w:t>配</w:t>
            </w:r>
            <w:r>
              <w:rPr>
                <w:rFonts w:ascii="Times New Roman" w:hAnsi="Times New Roman" w:cs="Times New Roman"/>
                <w:color w:val="000000" w:themeColor="text1"/>
                <w:sz w:val="21"/>
                <w:szCs w:val="21"/>
                <w14:textFill>
                  <w14:solidFill>
                    <w14:schemeClr w14:val="tx1"/>
                  </w14:solidFill>
                </w14:textFill>
              </w:rPr>
              <w:t>备相应品种和数量的</w:t>
            </w:r>
            <w:r>
              <w:rPr>
                <w:rFonts w:ascii="Times New Roman" w:hAnsi="Times New Roman" w:cs="Times New Roman"/>
                <w:color w:val="000000" w:themeColor="text1"/>
                <w:spacing w:val="-3"/>
                <w:sz w:val="21"/>
                <w:szCs w:val="21"/>
                <w14:textFill>
                  <w14:solidFill>
                    <w14:schemeClr w14:val="tx1"/>
                  </w14:solidFill>
                </w14:textFill>
              </w:rPr>
              <w:t>消</w:t>
            </w:r>
            <w:r>
              <w:rPr>
                <w:rFonts w:ascii="Times New Roman" w:hAnsi="Times New Roman" w:cs="Times New Roman"/>
                <w:color w:val="000000" w:themeColor="text1"/>
                <w:sz w:val="21"/>
                <w:szCs w:val="21"/>
                <w14:textFill>
                  <w14:solidFill>
                    <w14:schemeClr w14:val="tx1"/>
                  </w14:solidFill>
                </w14:textFill>
              </w:rPr>
              <w:t>防</w:t>
            </w:r>
            <w:r>
              <w:rPr>
                <w:rFonts w:ascii="Times New Roman" w:hAnsi="Times New Roman" w:cs="Times New Roman"/>
                <w:color w:val="000000" w:themeColor="text1"/>
                <w:spacing w:val="-3"/>
                <w:sz w:val="21"/>
                <w:szCs w:val="21"/>
                <w14:textFill>
                  <w14:solidFill>
                    <w14:schemeClr w14:val="tx1"/>
                  </w14:solidFill>
                </w14:textFill>
              </w:rPr>
              <w:t>器</w:t>
            </w:r>
            <w:r>
              <w:rPr>
                <w:rFonts w:ascii="Times New Roman" w:hAnsi="Times New Roman" w:cs="Times New Roman"/>
                <w:color w:val="000000" w:themeColor="text1"/>
                <w:sz w:val="21"/>
                <w:szCs w:val="21"/>
                <w14:textFill>
                  <w14:solidFill>
                    <w14:schemeClr w14:val="tx1"/>
                  </w14:solidFill>
                </w14:textFill>
              </w:rPr>
              <w:t>材</w:t>
            </w:r>
            <w:r>
              <w:rPr>
                <w:rFonts w:ascii="Times New Roman" w:hAnsi="Times New Roman" w:cs="Times New Roman"/>
                <w:color w:val="000000" w:themeColor="text1"/>
                <w:spacing w:val="-27"/>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禁</w:t>
            </w:r>
            <w:r>
              <w:rPr>
                <w:rFonts w:ascii="Times New Roman" w:hAnsi="Times New Roman" w:cs="Times New Roman"/>
                <w:color w:val="000000" w:themeColor="text1"/>
                <w:spacing w:val="-3"/>
                <w:sz w:val="21"/>
                <w:szCs w:val="21"/>
                <w14:textFill>
                  <w14:solidFill>
                    <w14:schemeClr w14:val="tx1"/>
                  </w14:solidFill>
                </w14:textFill>
              </w:rPr>
              <w:t>止</w:t>
            </w:r>
            <w:r>
              <w:rPr>
                <w:rFonts w:ascii="Times New Roman" w:hAnsi="Times New Roman" w:cs="Times New Roman"/>
                <w:color w:val="000000" w:themeColor="text1"/>
                <w:sz w:val="21"/>
                <w:szCs w:val="21"/>
                <w14:textFill>
                  <w14:solidFill>
                    <w14:schemeClr w14:val="tx1"/>
                  </w14:solidFill>
                </w14:textFill>
              </w:rPr>
              <w:t>使</w:t>
            </w:r>
            <w:r>
              <w:rPr>
                <w:rFonts w:ascii="Times New Roman" w:hAnsi="Times New Roman" w:cs="Times New Roman"/>
                <w:color w:val="000000" w:themeColor="text1"/>
                <w:spacing w:val="-3"/>
                <w:sz w:val="21"/>
                <w:szCs w:val="21"/>
                <w14:textFill>
                  <w14:solidFill>
                    <w14:schemeClr w14:val="tx1"/>
                  </w14:solidFill>
                </w14:textFill>
              </w:rPr>
              <w:t>用</w:t>
            </w:r>
            <w:r>
              <w:rPr>
                <w:rFonts w:ascii="Times New Roman" w:hAnsi="Times New Roman" w:cs="Times New Roman"/>
                <w:color w:val="000000" w:themeColor="text1"/>
                <w:sz w:val="21"/>
                <w:szCs w:val="21"/>
                <w14:textFill>
                  <w14:solidFill>
                    <w14:schemeClr w14:val="tx1"/>
                  </w14:solidFill>
                </w14:textFill>
              </w:rPr>
              <w:t>易产</w:t>
            </w:r>
            <w:r>
              <w:rPr>
                <w:rFonts w:ascii="Times New Roman" w:hAnsi="Times New Roman" w:cs="Times New Roman"/>
                <w:color w:val="000000" w:themeColor="text1"/>
                <w:spacing w:val="-3"/>
                <w:sz w:val="21"/>
                <w:szCs w:val="21"/>
                <w14:textFill>
                  <w14:solidFill>
                    <w14:schemeClr w14:val="tx1"/>
                  </w14:solidFill>
                </w14:textFill>
              </w:rPr>
              <w:t>生</w:t>
            </w:r>
            <w:r>
              <w:rPr>
                <w:rFonts w:ascii="Times New Roman" w:hAnsi="Times New Roman" w:cs="Times New Roman"/>
                <w:color w:val="000000" w:themeColor="text1"/>
                <w:sz w:val="21"/>
                <w:szCs w:val="21"/>
                <w14:textFill>
                  <w14:solidFill>
                    <w14:schemeClr w14:val="tx1"/>
                  </w14:solidFill>
                </w14:textFill>
              </w:rPr>
              <w:t>火</w:t>
            </w:r>
            <w:r>
              <w:rPr>
                <w:rFonts w:ascii="Times New Roman" w:hAnsi="Times New Roman" w:cs="Times New Roman"/>
                <w:color w:val="000000" w:themeColor="text1"/>
                <w:spacing w:val="-3"/>
                <w:sz w:val="21"/>
                <w:szCs w:val="21"/>
                <w14:textFill>
                  <w14:solidFill>
                    <w14:schemeClr w14:val="tx1"/>
                  </w14:solidFill>
                </w14:textFill>
              </w:rPr>
              <w:t>花</w:t>
            </w:r>
            <w:r>
              <w:rPr>
                <w:rFonts w:ascii="Times New Roman" w:hAnsi="Times New Roman" w:cs="Times New Roman"/>
                <w:color w:val="000000" w:themeColor="text1"/>
                <w:sz w:val="21"/>
                <w:szCs w:val="21"/>
                <w14:textFill>
                  <w14:solidFill>
                    <w14:schemeClr w14:val="tx1"/>
                  </w14:solidFill>
                </w14:textFill>
              </w:rPr>
              <w:t>的</w:t>
            </w:r>
            <w:r>
              <w:rPr>
                <w:rFonts w:ascii="Times New Roman" w:hAnsi="Times New Roman" w:cs="Times New Roman"/>
                <w:color w:val="000000" w:themeColor="text1"/>
                <w:spacing w:val="-3"/>
                <w:sz w:val="21"/>
                <w:szCs w:val="21"/>
                <w14:textFill>
                  <w14:solidFill>
                    <w14:schemeClr w14:val="tx1"/>
                  </w14:solidFill>
                </w14:textFill>
              </w:rPr>
              <w:t>机</w:t>
            </w:r>
            <w:r>
              <w:rPr>
                <w:rFonts w:ascii="Times New Roman" w:hAnsi="Times New Roman" w:cs="Times New Roman"/>
                <w:color w:val="000000" w:themeColor="text1"/>
                <w:sz w:val="21"/>
                <w:szCs w:val="21"/>
                <w14:textFill>
                  <w14:solidFill>
                    <w14:schemeClr w14:val="tx1"/>
                  </w14:solidFill>
                </w14:textFill>
              </w:rPr>
              <w:t>械</w:t>
            </w:r>
            <w:r>
              <w:rPr>
                <w:rFonts w:ascii="Times New Roman" w:hAnsi="Times New Roman" w:cs="Times New Roman"/>
                <w:color w:val="000000" w:themeColor="text1"/>
                <w:spacing w:val="-3"/>
                <w:sz w:val="21"/>
                <w:szCs w:val="21"/>
                <w14:textFill>
                  <w14:solidFill>
                    <w14:schemeClr w14:val="tx1"/>
                  </w14:solidFill>
                </w14:textFill>
              </w:rPr>
              <w:t>设</w:t>
            </w:r>
            <w:r>
              <w:rPr>
                <w:rFonts w:ascii="Times New Roman" w:hAnsi="Times New Roman" w:cs="Times New Roman"/>
                <w:color w:val="000000" w:themeColor="text1"/>
                <w:sz w:val="21"/>
                <w:szCs w:val="21"/>
                <w14:textFill>
                  <w14:solidFill>
                    <w14:schemeClr w14:val="tx1"/>
                  </w14:solidFill>
                </w14:textFill>
              </w:rPr>
              <w:t>备</w:t>
            </w:r>
            <w:r>
              <w:rPr>
                <w:rFonts w:ascii="Times New Roman" w:hAnsi="Times New Roman" w:cs="Times New Roman"/>
                <w:color w:val="000000" w:themeColor="text1"/>
                <w:spacing w:val="-3"/>
                <w:sz w:val="21"/>
                <w:szCs w:val="21"/>
                <w14:textFill>
                  <w14:solidFill>
                    <w14:schemeClr w14:val="tx1"/>
                  </w14:solidFill>
                </w14:textFill>
              </w:rPr>
              <w:t>和</w:t>
            </w:r>
            <w:r>
              <w:rPr>
                <w:rFonts w:ascii="Times New Roman" w:hAnsi="Times New Roman" w:cs="Times New Roman"/>
                <w:color w:val="000000" w:themeColor="text1"/>
                <w:sz w:val="21"/>
                <w:szCs w:val="21"/>
                <w14:textFill>
                  <w14:solidFill>
                    <w14:schemeClr w14:val="tx1"/>
                  </w14:solidFill>
                </w14:textFill>
              </w:rPr>
              <w:t>工具</w:t>
            </w:r>
            <w:r>
              <w:rPr>
                <w:rFonts w:ascii="Times New Roman" w:hAnsi="Times New Roman" w:cs="Times New Roman"/>
                <w:color w:val="000000" w:themeColor="text1"/>
                <w:spacing w:val="-27"/>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验</w:t>
            </w:r>
            <w:r>
              <w:rPr>
                <w:rFonts w:ascii="Times New Roman" w:hAnsi="Times New Roman" w:cs="Times New Roman"/>
                <w:color w:val="000000" w:themeColor="text1"/>
                <w:spacing w:val="-3"/>
                <w:sz w:val="21"/>
                <w:szCs w:val="21"/>
                <w14:textFill>
                  <w14:solidFill>
                    <w14:schemeClr w14:val="tx1"/>
                  </w14:solidFill>
                </w14:textFill>
              </w:rPr>
              <w:t>收</w:t>
            </w:r>
            <w:r>
              <w:rPr>
                <w:rFonts w:ascii="Times New Roman" w:hAnsi="Times New Roman" w:cs="Times New Roman"/>
                <w:color w:val="000000" w:themeColor="text1"/>
                <w:sz w:val="21"/>
                <w:szCs w:val="21"/>
                <w14:textFill>
                  <w14:solidFill>
                    <w14:schemeClr w14:val="tx1"/>
                  </w14:solidFill>
                </w14:textFill>
              </w:rPr>
              <w:t>时</w:t>
            </w:r>
            <w:r>
              <w:rPr>
                <w:rFonts w:ascii="Times New Roman" w:hAnsi="Times New Roman" w:cs="Times New Roman"/>
                <w:color w:val="000000" w:themeColor="text1"/>
                <w:spacing w:val="-3"/>
                <w:sz w:val="21"/>
                <w:szCs w:val="21"/>
                <w14:textFill>
                  <w14:solidFill>
                    <w14:schemeClr w14:val="tx1"/>
                  </w14:solidFill>
                </w14:textFill>
              </w:rPr>
              <w:t>要</w:t>
            </w:r>
            <w:r>
              <w:rPr>
                <w:rFonts w:ascii="Times New Roman" w:hAnsi="Times New Roman" w:cs="Times New Roman"/>
                <w:color w:val="000000" w:themeColor="text1"/>
                <w:sz w:val="21"/>
                <w:szCs w:val="21"/>
                <w14:textFill>
                  <w14:solidFill>
                    <w14:schemeClr w14:val="tx1"/>
                  </w14:solidFill>
                </w14:textFill>
              </w:rPr>
              <w:t>注</w:t>
            </w:r>
            <w:r>
              <w:rPr>
                <w:rFonts w:ascii="Times New Roman" w:hAnsi="Times New Roman" w:cs="Times New Roman"/>
                <w:color w:val="000000" w:themeColor="text1"/>
                <w:spacing w:val="-3"/>
                <w:sz w:val="21"/>
                <w:szCs w:val="21"/>
                <w14:textFill>
                  <w14:solidFill>
                    <w14:schemeClr w14:val="tx1"/>
                  </w14:solidFill>
                </w14:textFill>
              </w:rPr>
              <w:t>意</w:t>
            </w:r>
            <w:r>
              <w:rPr>
                <w:rFonts w:ascii="Times New Roman" w:hAnsi="Times New Roman" w:cs="Times New Roman"/>
                <w:color w:val="000000" w:themeColor="text1"/>
                <w:sz w:val="21"/>
                <w:szCs w:val="21"/>
                <w14:textFill>
                  <w14:solidFill>
                    <w14:schemeClr w14:val="tx1"/>
                  </w14:solidFill>
                </w14:textFill>
              </w:rPr>
              <w:t>品</w:t>
            </w:r>
            <w:r>
              <w:rPr>
                <w:rFonts w:ascii="Times New Roman" w:hAnsi="Times New Roman" w:cs="Times New Roman"/>
                <w:color w:val="000000" w:themeColor="text1"/>
                <w:spacing w:val="-3"/>
                <w:sz w:val="21"/>
                <w:szCs w:val="21"/>
                <w14:textFill>
                  <w14:solidFill>
                    <w14:schemeClr w14:val="tx1"/>
                  </w14:solidFill>
                </w14:textFill>
              </w:rPr>
              <w:t>名</w:t>
            </w:r>
            <w:r>
              <w:rPr>
                <w:rFonts w:ascii="Times New Roman" w:hAnsi="Times New Roman" w:cs="Times New Roman"/>
                <w:color w:val="000000" w:themeColor="text1"/>
                <w:spacing w:val="-25"/>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注</w:t>
            </w:r>
            <w:r>
              <w:rPr>
                <w:rFonts w:ascii="Times New Roman" w:hAnsi="Times New Roman" w:cs="Times New Roman"/>
                <w:color w:val="000000" w:themeColor="text1"/>
                <w:spacing w:val="-3"/>
                <w:sz w:val="21"/>
                <w:szCs w:val="21"/>
                <w14:textFill>
                  <w14:solidFill>
                    <w14:schemeClr w14:val="tx1"/>
                  </w14:solidFill>
                </w14:textFill>
              </w:rPr>
              <w:t>意</w:t>
            </w:r>
            <w:r>
              <w:rPr>
                <w:rFonts w:ascii="Times New Roman" w:hAnsi="Times New Roman" w:cs="Times New Roman"/>
                <w:color w:val="000000" w:themeColor="text1"/>
                <w:sz w:val="21"/>
                <w:szCs w:val="21"/>
                <w14:textFill>
                  <w14:solidFill>
                    <w14:schemeClr w14:val="tx1"/>
                  </w14:solidFill>
                </w14:textFill>
              </w:rPr>
              <w:t>验</w:t>
            </w:r>
            <w:r>
              <w:rPr>
                <w:rFonts w:ascii="Times New Roman" w:hAnsi="Times New Roman" w:cs="Times New Roman"/>
                <w:color w:val="000000" w:themeColor="text1"/>
                <w:spacing w:val="-3"/>
                <w:sz w:val="21"/>
                <w:szCs w:val="21"/>
                <w14:textFill>
                  <w14:solidFill>
                    <w14:schemeClr w14:val="tx1"/>
                  </w14:solidFill>
                </w14:textFill>
              </w:rPr>
              <w:t>瓶</w:t>
            </w:r>
            <w:r>
              <w:rPr>
                <w:rFonts w:ascii="Times New Roman" w:hAnsi="Times New Roman" w:cs="Times New Roman"/>
                <w:color w:val="000000" w:themeColor="text1"/>
                <w:sz w:val="21"/>
                <w:szCs w:val="21"/>
                <w14:textFill>
                  <w14:solidFill>
                    <w14:schemeClr w14:val="tx1"/>
                  </w14:solidFill>
                </w14:textFill>
              </w:rPr>
              <w:t>日期，</w:t>
            </w:r>
          </w:p>
          <w:p>
            <w:pPr>
              <w:pStyle w:val="112"/>
              <w:keepNext w:val="0"/>
              <w:keepLines w:val="0"/>
              <w:suppressLineNumbers w:val="0"/>
              <w:spacing w:before="4" w:beforeAutospacing="0" w:after="0" w:afterAutospacing="0"/>
              <w:ind w:left="0" w:right="0"/>
              <w:jc w:val="lef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先进仓的先发用。搬运时轻装轻卸，防止钢瓶及附件破损。</w:t>
            </w:r>
          </w:p>
        </w:tc>
      </w:tr>
    </w:tbl>
    <w:p>
      <w:pPr>
        <w:jc w:val="center"/>
        <w:rPr>
          <w:b/>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直馏柴油理化性质和危险特性</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2572"/>
        <w:gridCol w:w="556"/>
        <w:gridCol w:w="529"/>
        <w:gridCol w:w="1238"/>
        <w:gridCol w:w="1042"/>
        <w:gridCol w:w="26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restart"/>
            <w:tcBorders>
              <w:top w:val="single" w:color="000000" w:sz="12"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标识</w:t>
            </w:r>
          </w:p>
        </w:tc>
        <w:tc>
          <w:tcPr>
            <w:tcW w:w="2026" w:type="pct"/>
            <w:gridSpan w:val="3"/>
            <w:tcBorders>
              <w:top w:val="single" w:color="000000" w:sz="12"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中文名：柴油</w:t>
            </w:r>
          </w:p>
        </w:tc>
        <w:tc>
          <w:tcPr>
            <w:tcW w:w="2735" w:type="pct"/>
            <w:gridSpan w:val="3"/>
            <w:tcBorders>
              <w:top w:val="single" w:color="000000" w:sz="12"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11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英文名：Diesel oil; Diesel fuel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分子式：/</w:t>
            </w:r>
          </w:p>
        </w:tc>
        <w:tc>
          <w:tcPr>
            <w:tcW w:w="1556" w:type="pct"/>
            <w:gridSpan w:val="3"/>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109"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分子量：/</w:t>
            </w:r>
          </w:p>
        </w:tc>
        <w:tc>
          <w:tcPr>
            <w:tcW w:w="1472" w:type="pct"/>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112"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CAS号：68334-30-5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line="245"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危规号：269-822-7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restart"/>
            <w:tcBorders>
              <w:top w:val="nil"/>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300" w:lineRule="auto"/>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理化性</w:t>
            </w: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质</w:t>
            </w:r>
          </w:p>
        </w:tc>
        <w:tc>
          <w:tcPr>
            <w:tcW w:w="4761" w:type="pct"/>
            <w:gridSpan w:val="6"/>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5" w:beforeAutospacing="0" w:after="0" w:afterAutospacing="0" w:line="245"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性状：稍有粘性的棕色液体。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line="267"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溶解性：与水混溶，可混溶于乙醇。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425"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5" w:beforeAutospacing="0" w:after="0" w:afterAutospacing="0" w:line="250"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熔点</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pacing w:val="-1"/>
                <w:sz w:val="21"/>
                <w:szCs w:val="21"/>
                <w14:textFill>
                  <w14:solidFill>
                    <w14:schemeClr w14:val="tx1"/>
                  </w14:solidFill>
                </w14:textFill>
              </w:rPr>
              <w:t>：－</w:t>
            </w:r>
            <w:r>
              <w:rPr>
                <w:rFonts w:hint="default" w:ascii="Times New Roman" w:hAnsi="Times New Roman" w:cs="Times New Roman"/>
                <w:color w:val="000000" w:themeColor="text1"/>
                <w:spacing w:val="-3"/>
                <w:sz w:val="21"/>
                <w:szCs w:val="21"/>
                <w14:textFill>
                  <w14:solidFill>
                    <w14:schemeClr w14:val="tx1"/>
                  </w14:solidFill>
                </w14:textFill>
              </w:rPr>
              <w:t>18</w:t>
            </w:r>
          </w:p>
        </w:tc>
        <w:tc>
          <w:tcPr>
            <w:tcW w:w="1287" w:type="pct"/>
            <w:gridSpan w:val="3"/>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5" w:beforeAutospacing="0" w:after="0" w:afterAutospacing="0" w:line="250"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沸点</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pacing w:val="-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28</w:t>
            </w:r>
            <w:r>
              <w:rPr>
                <w:rFonts w:hint="default" w:ascii="Times New Roman" w:hAnsi="Times New Roman" w:cs="Times New Roman"/>
                <w:color w:val="000000" w:themeColor="text1"/>
                <w:spacing w:val="-2"/>
                <w:sz w:val="21"/>
                <w:szCs w:val="21"/>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pacing w:val="-3"/>
                <w:sz w:val="21"/>
                <w:szCs w:val="21"/>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8</w:t>
            </w:r>
          </w:p>
        </w:tc>
        <w:tc>
          <w:tcPr>
            <w:tcW w:w="2049" w:type="pct"/>
            <w:gridSpan w:val="2"/>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5" w:beforeAutospacing="0" w:after="0" w:afterAutospacing="0" w:line="250" w:lineRule="exact"/>
              <w:ind w:left="111"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相对密度</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水</w:t>
            </w:r>
            <w:r>
              <w:rPr>
                <w:rFonts w:hint="default" w:ascii="Times New Roman" w:hAnsi="Times New Roman" w:cs="Times New Roman"/>
                <w:color w:val="000000" w:themeColor="text1"/>
                <w:spacing w:val="-2"/>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pacing w:val="-106"/>
                <w:sz w:val="21"/>
                <w:szCs w:val="21"/>
                <w14:textFill>
                  <w14:solidFill>
                    <w14:schemeClr w14:val="tx1"/>
                  </w14:solidFill>
                </w14:textFill>
              </w:rPr>
              <w:t>）</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0.8</w:t>
            </w:r>
            <w:r>
              <w:rPr>
                <w:rFonts w:hint="default" w:ascii="Times New Roman" w:hAnsi="Times New Roman" w:cs="Times New Roman"/>
                <w:color w:val="000000" w:themeColor="text1"/>
                <w:spacing w:val="-3"/>
                <w:sz w:val="21"/>
                <w:szCs w:val="21"/>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425"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5" w:beforeAutospacing="0" w:after="0" w:afterAutospacing="0" w:line="245"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临界温度</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c>
          <w:tcPr>
            <w:tcW w:w="1287" w:type="pct"/>
            <w:gridSpan w:val="3"/>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5" w:beforeAutospacing="0" w:after="0" w:afterAutospacing="0" w:line="245"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临界压力</w:t>
            </w:r>
            <w:r>
              <w:rPr>
                <w:rFonts w:hint="default" w:ascii="Times New Roman" w:hAnsi="Times New Roman" w:cs="Times New Roman"/>
                <w:color w:val="000000" w:themeColor="text1"/>
                <w:spacing w:val="-3"/>
                <w:sz w:val="21"/>
                <w:szCs w:val="21"/>
                <w14:textFill>
                  <w14:solidFill>
                    <w14:schemeClr w14:val="tx1"/>
                  </w14:solidFill>
                </w14:textFill>
              </w:rPr>
              <w:t>（M</w:t>
            </w:r>
            <w:r>
              <w:rPr>
                <w:rFonts w:hint="default" w:ascii="Times New Roman" w:hAnsi="Times New Roman" w:cs="Times New Roman"/>
                <w:color w:val="000000" w:themeColor="text1"/>
                <w:spacing w:val="2"/>
                <w:sz w:val="21"/>
                <w:szCs w:val="21"/>
                <w14:textFill>
                  <w14:solidFill>
                    <w14:schemeClr w14:val="tx1"/>
                  </w14:solidFill>
                </w14:textFill>
              </w:rPr>
              <w:t>P</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pacing w:val="-108"/>
                <w:sz w:val="21"/>
                <w:szCs w:val="21"/>
                <w14:textFill>
                  <w14:solidFill>
                    <w14:schemeClr w14:val="tx1"/>
                  </w14:solidFill>
                </w14:textFill>
              </w:rPr>
              <w:t>）：</w:t>
            </w:r>
          </w:p>
        </w:tc>
        <w:tc>
          <w:tcPr>
            <w:tcW w:w="2049" w:type="pct"/>
            <w:gridSpan w:val="2"/>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5" w:beforeAutospacing="0" w:after="0" w:afterAutospacing="0" w:line="245" w:lineRule="exact"/>
              <w:ind w:left="111"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相对密度</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pacing w:val="-2"/>
                <w:sz w:val="21"/>
                <w:szCs w:val="21"/>
                <w14:textFill>
                  <w14:solidFill>
                    <w14:schemeClr w14:val="tx1"/>
                  </w14:solidFill>
                </w14:textFill>
              </w:rPr>
              <w:t>空气</w:t>
            </w: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pacing w:val="-3"/>
                <w:sz w:val="21"/>
                <w:szCs w:val="21"/>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425"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燃烧热（</w:t>
            </w:r>
            <w:r>
              <w:rPr>
                <w:rFonts w:hint="default" w:ascii="Times New Roman" w:hAnsi="Times New Roman" w:cs="Times New Roman"/>
                <w:color w:val="000000" w:themeColor="text1"/>
                <w:spacing w:val="-4"/>
                <w:sz w:val="21"/>
                <w:szCs w:val="21"/>
                <w14:textFill>
                  <w14:solidFill>
                    <w14:schemeClr w14:val="tx1"/>
                  </w14:solidFill>
                </w14:textFill>
              </w:rPr>
              <w:t>K</w:t>
            </w:r>
            <w:r>
              <w:rPr>
                <w:rFonts w:hint="default" w:ascii="Times New Roman" w:hAnsi="Times New Roman" w:cs="Times New Roman"/>
                <w:color w:val="000000" w:themeColor="text1"/>
                <w:spacing w:val="1"/>
                <w:sz w:val="21"/>
                <w:szCs w:val="21"/>
                <w14:textFill>
                  <w14:solidFill>
                    <w14:schemeClr w14:val="tx1"/>
                  </w14:solidFill>
                </w14:textFill>
              </w:rPr>
              <w:t>J</w:t>
            </w:r>
            <w:r>
              <w:rPr>
                <w:rFonts w:hint="default" w:ascii="Times New Roman" w:hAnsi="Times New Roman" w:cs="Times New Roman"/>
                <w:color w:val="000000" w:themeColor="text1"/>
                <w:spacing w:val="-2"/>
                <w:sz w:val="21"/>
                <w:szCs w:val="21"/>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m</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pacing w:val="-1"/>
                <w:sz w:val="21"/>
                <w:szCs w:val="21"/>
                <w14:textFill>
                  <w14:solidFill>
                    <w14:schemeClr w14:val="tx1"/>
                  </w14:solidFill>
                </w14:textFill>
              </w:rPr>
              <w:t>l</w:t>
            </w:r>
            <w:r>
              <w:rPr>
                <w:rFonts w:hint="default" w:ascii="Times New Roman" w:hAnsi="Times New Roman" w:cs="Times New Roman"/>
                <w:color w:val="000000" w:themeColor="text1"/>
                <w:spacing w:val="-106"/>
                <w:sz w:val="21"/>
                <w:szCs w:val="21"/>
                <w14:textFill>
                  <w14:solidFill>
                    <w14:schemeClr w14:val="tx1"/>
                  </w14:solidFill>
                </w14:textFill>
              </w:rPr>
              <w:t>）：</w:t>
            </w:r>
          </w:p>
        </w:tc>
        <w:tc>
          <w:tcPr>
            <w:tcW w:w="1287" w:type="pct"/>
            <w:gridSpan w:val="3"/>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最小点火能</w:t>
            </w:r>
            <w:r>
              <w:rPr>
                <w:rFonts w:hint="default" w:ascii="Times New Roman" w:hAnsi="Times New Roman" w:cs="Times New Roman"/>
                <w:color w:val="000000" w:themeColor="text1"/>
                <w:spacing w:val="-1"/>
                <w:sz w:val="21"/>
                <w:szCs w:val="21"/>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m</w:t>
            </w:r>
            <w:r>
              <w:rPr>
                <w:rFonts w:hint="default" w:ascii="Times New Roman" w:hAnsi="Times New Roman" w:cs="Times New Roman"/>
                <w:color w:val="000000" w:themeColor="text1"/>
                <w:spacing w:val="2"/>
                <w:sz w:val="21"/>
                <w:szCs w:val="21"/>
                <w14:textFill>
                  <w14:solidFill>
                    <w14:schemeClr w14:val="tx1"/>
                  </w14:solidFill>
                </w14:textFill>
              </w:rPr>
              <w:t>J</w:t>
            </w:r>
            <w:r>
              <w:rPr>
                <w:rFonts w:hint="default" w:ascii="Times New Roman" w:hAnsi="Times New Roman" w:cs="Times New Roman"/>
                <w:color w:val="000000" w:themeColor="text1"/>
                <w:spacing w:val="-108"/>
                <w:sz w:val="21"/>
                <w:szCs w:val="21"/>
                <w14:textFill>
                  <w14:solidFill>
                    <w14:schemeClr w14:val="tx1"/>
                  </w14:solidFill>
                </w14:textFill>
              </w:rPr>
              <w:t>）：</w:t>
            </w:r>
          </w:p>
        </w:tc>
        <w:tc>
          <w:tcPr>
            <w:tcW w:w="2049" w:type="pct"/>
            <w:gridSpan w:val="2"/>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111" w:right="-29"/>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0"/>
                <w:sz w:val="21"/>
                <w:szCs w:val="21"/>
                <w14:textFill>
                  <w14:solidFill>
                    <w14:schemeClr w14:val="tx1"/>
                  </w14:solidFill>
                </w14:textFill>
              </w:rPr>
              <w:t>饱和蒸汽压</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pacing w:val="-4"/>
                <w:sz w:val="21"/>
                <w:szCs w:val="21"/>
                <w14:textFill>
                  <w14:solidFill>
                    <w14:schemeClr w14:val="tx1"/>
                  </w14:solidFill>
                </w14:textFill>
              </w:rPr>
              <w:t>K</w:t>
            </w:r>
            <w:r>
              <w:rPr>
                <w:rFonts w:hint="default" w:ascii="Times New Roman" w:hAnsi="Times New Roman" w:cs="Times New Roman"/>
                <w:color w:val="000000" w:themeColor="text1"/>
                <w:spacing w:val="2"/>
                <w:sz w:val="21"/>
                <w:szCs w:val="21"/>
                <w14:textFill>
                  <w14:solidFill>
                    <w14:schemeClr w14:val="tx1"/>
                  </w14:solidFill>
                </w14:textFill>
              </w:rPr>
              <w:t>P</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pacing w:val="-4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pacing w:val="-3"/>
                <w:sz w:val="21"/>
                <w:szCs w:val="21"/>
                <w14:textFill>
                  <w14:solidFill>
                    <w14:schemeClr w14:val="tx1"/>
                  </w14:solidFill>
                </w14:textFill>
              </w:rPr>
              <w:t>6</w:t>
            </w:r>
            <w:r>
              <w:rPr>
                <w:rFonts w:hint="default" w:ascii="Times New Roman" w:hAnsi="Times New Roman" w:cs="Times New Roman"/>
                <w:color w:val="000000" w:themeColor="text1"/>
                <w:spacing w:val="-41"/>
                <w:sz w:val="21"/>
                <w:szCs w:val="21"/>
                <w14:textFill>
                  <w14:solidFill>
                    <w14:schemeClr w14:val="tx1"/>
                  </w14:solidFill>
                </w14:textFill>
              </w:rPr>
              <w:t>7</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25</w:t>
            </w:r>
            <w:r>
              <w:rPr>
                <w:rFonts w:hint="default" w:ascii="Times New Roman" w:hAnsi="Times New Roman" w:cs="Times New Roman"/>
                <w:color w:val="000000" w:themeColor="text1"/>
                <w:spacing w:val="-12"/>
                <w:sz w:val="21"/>
                <w:szCs w:val="21"/>
                <w14:textFill>
                  <w14:solidFill>
                    <w14:schemeClr w14:val="tx1"/>
                  </w14:solidFill>
                </w14:textFill>
              </w:rPr>
              <w:t>℃，纯品</w:t>
            </w:r>
            <w:r>
              <w:rPr>
                <w:rFonts w:hint="default" w:ascii="Times New Roman" w:hAnsi="Times New Roman" w:cs="Times New Roman"/>
                <w:color w:val="000000" w:themeColor="text1"/>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restart"/>
            <w:tcBorders>
              <w:top w:val="nil"/>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0" w:beforeAutospacing="0" w:after="0" w:afterAutospacing="0"/>
              <w:ind w:left="0" w:right="0"/>
              <w:rPr>
                <w:rFonts w:hint="default"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kinsoku w:val="0"/>
              <w:overflowPunct w:val="0"/>
              <w:adjustRightInd w:val="0"/>
              <w:snapToGrid w:val="0"/>
              <w:spacing w:before="4" w:beforeAutospacing="0" w:after="0" w:afterAutospacing="0"/>
              <w:ind w:left="0" w:right="0"/>
              <w:rPr>
                <w:rFonts w:hint="default" w:ascii="Times New Roman" w:hAnsi="Times New Roman" w:cs="Times New Roman"/>
                <w:b/>
                <w:bCs/>
                <w:color w:val="000000" w:themeColor="text1"/>
                <w:sz w:val="20"/>
                <w:szCs w:val="20"/>
                <w14:textFill>
                  <w14:solidFill>
                    <w14:schemeClr w14:val="tx1"/>
                  </w14:solidFill>
                </w14:textFill>
              </w:rPr>
            </w:pP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8" w:lineRule="auto"/>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燃烧爆炸危险性</w:t>
            </w:r>
          </w:p>
        </w:tc>
        <w:tc>
          <w:tcPr>
            <w:tcW w:w="1733" w:type="pct"/>
            <w:gridSpan w:val="2"/>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line="252"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燃烧性：不燃</w:t>
            </w:r>
          </w:p>
        </w:tc>
        <w:tc>
          <w:tcPr>
            <w:tcW w:w="3028" w:type="pct"/>
            <w:gridSpan w:val="4"/>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line="252" w:lineRule="exact"/>
              <w:ind w:left="109"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燃烧分解产物：一氧化碳、二氧化碳。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闪点</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pacing w:val="-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55</w:t>
            </w:r>
          </w:p>
        </w:tc>
        <w:tc>
          <w:tcPr>
            <w:tcW w:w="3028" w:type="pct"/>
            <w:gridSpan w:val="4"/>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109"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聚合危害：不聚合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爆炸下限</w:t>
            </w:r>
            <w:r>
              <w:rPr>
                <w:rFonts w:hint="default" w:ascii="Times New Roman" w:hAnsi="Times New Roman" w:cs="Times New Roman"/>
                <w:color w:val="000000" w:themeColor="text1"/>
                <w:spacing w:val="-3"/>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c>
          <w:tcPr>
            <w:tcW w:w="3028" w:type="pct"/>
            <w:gridSpan w:val="4"/>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3" w:beforeAutospacing="0" w:after="0" w:afterAutospacing="0"/>
              <w:ind w:left="109"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稳定性：稳定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46" w:beforeAutospacing="0" w:after="0" w:afterAutospacing="0" w:line="252"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爆炸上限</w:t>
            </w:r>
            <w:r>
              <w:rPr>
                <w:rFonts w:hint="default" w:ascii="Times New Roman" w:hAnsi="Times New Roman" w:cs="Times New Roman"/>
                <w:color w:val="000000" w:themeColor="text1"/>
                <w:spacing w:val="-3"/>
                <w:sz w:val="21"/>
                <w:szCs w:val="21"/>
                <w14:textFill>
                  <w14:solidFill>
                    <w14:schemeClr w14:val="tx1"/>
                  </w14:solidFill>
                </w14:textFill>
              </w:rPr>
              <w:t>（</w:t>
            </w:r>
            <w:r>
              <w:rPr>
                <w:rFonts w:hint="eastAsia" w:ascii="Times New Roman" w:hAnsi="Times New Roman" w:cs="Times New Roman"/>
                <w:color w:val="000000" w:themeColor="text1"/>
                <w:spacing w:val="-3"/>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c>
          <w:tcPr>
            <w:tcW w:w="3028" w:type="pct"/>
            <w:gridSpan w:val="4"/>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46" w:beforeAutospacing="0" w:after="0" w:afterAutospacing="0" w:line="252" w:lineRule="exact"/>
              <w:ind w:left="109"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2"/>
                <w:sz w:val="21"/>
                <w:szCs w:val="21"/>
                <w14:textFill>
                  <w14:solidFill>
                    <w14:schemeClr w14:val="tx1"/>
                  </w14:solidFill>
                </w14:textFill>
              </w:rPr>
              <w:t>最大爆炸压力</w:t>
            </w:r>
            <w:r>
              <w:rPr>
                <w:rFonts w:hint="default" w:ascii="Times New Roman" w:hAnsi="Times New Roman" w:cs="Times New Roman"/>
                <w:color w:val="000000" w:themeColor="text1"/>
                <w:spacing w:val="-3"/>
                <w:sz w:val="21"/>
                <w:szCs w:val="21"/>
                <w14:textFill>
                  <w14:solidFill>
                    <w14:schemeClr w14:val="tx1"/>
                  </w14:solidFill>
                </w14:textFill>
              </w:rPr>
              <w:t>（M</w:t>
            </w:r>
            <w:r>
              <w:rPr>
                <w:rFonts w:hint="default" w:ascii="Times New Roman" w:hAnsi="Times New Roman" w:cs="Times New Roman"/>
                <w:color w:val="000000" w:themeColor="text1"/>
                <w:spacing w:val="2"/>
                <w:sz w:val="21"/>
                <w:szCs w:val="21"/>
                <w14:textFill>
                  <w14:solidFill>
                    <w14:schemeClr w14:val="tx1"/>
                  </w14:solidFill>
                </w14:textFill>
              </w:rPr>
              <w:t>P</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pacing w:val="-108"/>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46" w:beforeAutospacing="0" w:after="0" w:afterAutospacing="0" w:line="255" w:lineRule="exact"/>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
                <w:sz w:val="21"/>
                <w:szCs w:val="21"/>
                <w14:textFill>
                  <w14:solidFill>
                    <w14:schemeClr w14:val="tx1"/>
                  </w14:solidFill>
                </w14:textFill>
              </w:rPr>
              <w:t>引燃温度</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：257</w:t>
            </w:r>
          </w:p>
        </w:tc>
        <w:tc>
          <w:tcPr>
            <w:tcW w:w="3028" w:type="pct"/>
            <w:gridSpan w:val="4"/>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46" w:beforeAutospacing="0" w:after="0" w:afterAutospacing="0" w:line="255" w:lineRule="exact"/>
              <w:ind w:left="109"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禁忌物： 强氧化剂、卤素。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0" w:beforeAutospacing="0" w:after="0" w:afterAutospacing="0" w:line="320" w:lineRule="exact"/>
              <w:ind w:left="0" w:right="84"/>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危险特性：遇明火、高热或与氧化剂接触，有引起燃烧爆炸的危险。若遇高热，容器内压增大，有开裂和爆炸的危险。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vMerge w:val="continue"/>
            <w:tcBorders>
              <w:top w:val="nil"/>
              <w:left w:val="nil"/>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1" w:beforeAutospacing="0" w:after="0" w:afterAutospacing="0" w:line="260" w:lineRule="exact"/>
              <w:ind w:left="0" w:right="84"/>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灭火方法：消防人员必须佩戴防毒面具、穿全身消防服，在上风向灭火。尽可能将容器从火场移至空旷处。喷水保持火场容器冷却，直至灭火结束。自在火场中的容器若已变色或从安全泄压装置中产生声音，必须马上撤离。灭火剂：雾状水、泡沫、干粉、二氧化碳、砂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tcBorders>
              <w:top w:val="single" w:color="000000" w:sz="4" w:space="0"/>
              <w:left w:val="nil"/>
              <w:bottom w:val="single" w:color="000000" w:sz="6" w:space="0"/>
              <w:right w:val="single" w:color="000000" w:sz="4" w:space="0"/>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对人体危</w:t>
            </w:r>
          </w:p>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害</w:t>
            </w:r>
          </w:p>
        </w:tc>
        <w:tc>
          <w:tcPr>
            <w:tcW w:w="4761" w:type="pct"/>
            <w:gridSpan w:val="6"/>
            <w:tcBorders>
              <w:top w:val="single" w:color="000000" w:sz="4" w:space="0"/>
              <w:left w:val="nil"/>
              <w:bottom w:val="single" w:color="000000" w:sz="6" w:space="0"/>
              <w:right w:val="nil"/>
            </w:tcBorders>
            <w:noWrap w:val="0"/>
            <w:vAlign w:val="center"/>
          </w:tcPr>
          <w:p>
            <w:pPr>
              <w:pStyle w:val="112"/>
              <w:keepNext w:val="0"/>
              <w:keepLines w:val="0"/>
              <w:suppressLineNumbers w:val="0"/>
              <w:kinsoku w:val="0"/>
              <w:overflowPunct w:val="0"/>
              <w:adjustRightInd w:val="0"/>
              <w:snapToGrid w:val="0"/>
              <w:spacing w:before="0" w:beforeAutospacing="0" w:after="0" w:afterAutospacing="0"/>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侵入途径：吸入、食入、经皮肤吸收。皮肤接触可为主要吸收途径，可致急性肾脏损害。柴油可引起接触性皮炎、油性痤疮。吸入其雾滴或液体呛入可引起吸入性肺炎。能经胎盘进入胎儿血中。柴油废气可引起眼、鼻刺激症状，头晕及头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tcBorders>
              <w:top w:val="single" w:color="000000" w:sz="6"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急救</w:t>
            </w:r>
          </w:p>
        </w:tc>
        <w:tc>
          <w:tcPr>
            <w:tcW w:w="4761" w:type="pct"/>
            <w:gridSpan w:val="6"/>
            <w:tcBorders>
              <w:top w:val="single" w:color="000000" w:sz="6"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2" w:beforeAutospacing="0" w:after="0" w:afterAutospacing="0"/>
              <w:ind w:left="0" w:right="180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皮肤接触：立即脱去污染的衣着，用肥皂水和清水彻底冲洗皮肤。就医。</w:t>
            </w:r>
          </w:p>
          <w:p>
            <w:pPr>
              <w:pStyle w:val="112"/>
              <w:keepNext w:val="0"/>
              <w:keepLines w:val="0"/>
              <w:suppressLineNumbers w:val="0"/>
              <w:kinsoku w:val="0"/>
              <w:overflowPunct w:val="0"/>
              <w:adjustRightInd w:val="0"/>
              <w:snapToGrid w:val="0"/>
              <w:spacing w:before="2" w:beforeAutospacing="0" w:after="0" w:afterAutospacing="0"/>
              <w:ind w:left="0" w:right="180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眼睛接触：立即提起眼睑，用大量流动清水或生理盐水彻底冲洗。就医。</w:t>
            </w:r>
          </w:p>
          <w:p>
            <w:pPr>
              <w:pStyle w:val="112"/>
              <w:keepNext w:val="0"/>
              <w:keepLines w:val="0"/>
              <w:suppressLineNumbers w:val="0"/>
              <w:kinsoku w:val="0"/>
              <w:overflowPunct w:val="0"/>
              <w:adjustRightInd w:val="0"/>
              <w:snapToGrid w:val="0"/>
              <w:spacing w:before="1" w:beforeAutospacing="0" w:after="0" w:afterAutospacing="0"/>
              <w:ind w:left="0" w:right="84"/>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吸入：迅速脱离现场至空气新鲜处，保持呼吸道通畅。如呼吸困难，给输氧。如呼吸停止，立即进行人工呼吸。就医。</w:t>
            </w:r>
          </w:p>
          <w:p>
            <w:pPr>
              <w:pStyle w:val="112"/>
              <w:keepNext w:val="0"/>
              <w:keepLines w:val="0"/>
              <w:suppressLineNumbers w:val="0"/>
              <w:kinsoku w:val="0"/>
              <w:overflowPunct w:val="0"/>
              <w:adjustRightInd w:val="0"/>
              <w:snapToGrid w:val="0"/>
              <w:spacing w:before="2" w:beforeAutospacing="0" w:after="0" w:afterAutospacing="0"/>
              <w:ind w:left="0" w:right="180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食入：尽快彻底洗胃。就医。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防护</w:t>
            </w:r>
          </w:p>
        </w:tc>
        <w:tc>
          <w:tcPr>
            <w:tcW w:w="4761" w:type="pct"/>
            <w:gridSpan w:val="6"/>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0" w:beforeAutospacing="0" w:after="0" w:afterAutospacing="0" w:line="263" w:lineRule="exact"/>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工程防护：密闭操作，注意通风。</w:t>
            </w:r>
          </w:p>
          <w:p>
            <w:pPr>
              <w:pStyle w:val="112"/>
              <w:keepNext w:val="0"/>
              <w:keepLines w:val="0"/>
              <w:suppressLineNumbers w:val="0"/>
              <w:kinsoku w:val="0"/>
              <w:overflowPunct w:val="0"/>
              <w:adjustRightInd w:val="0"/>
              <w:snapToGrid w:val="0"/>
              <w:spacing w:before="1" w:beforeAutospacing="0" w:after="0" w:afterAutospacing="0"/>
              <w:ind w:left="0" w:right="84"/>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个人防护：空气中浓度超标时，建议佩戴自吸过滤式防毒面具</w:t>
            </w:r>
            <w:r>
              <w:rPr>
                <w:rFonts w:hint="default" w:ascii="Times New Roman" w:hAnsi="Times New Roman" w:cs="Times New Roman"/>
                <w:color w:val="000000" w:themeColor="text1"/>
                <w:spacing w:val="-3"/>
                <w:sz w:val="21"/>
                <w:szCs w:val="21"/>
                <w14:textFill>
                  <w14:solidFill>
                    <w14:schemeClr w14:val="tx1"/>
                  </w14:solidFill>
                </w14:textFill>
              </w:rPr>
              <w:t>（</w:t>
            </w:r>
            <w:r>
              <w:rPr>
                <w:rFonts w:hint="default" w:ascii="Times New Roman" w:hAnsi="Times New Roman" w:cs="Times New Roman"/>
                <w:color w:val="000000" w:themeColor="text1"/>
                <w:spacing w:val="-2"/>
                <w:sz w:val="21"/>
                <w:szCs w:val="21"/>
                <w14:textFill>
                  <w14:solidFill>
                    <w14:schemeClr w14:val="tx1"/>
                  </w14:solidFill>
                </w14:textFill>
              </w:rPr>
              <w:t>半面罩</w:t>
            </w:r>
            <w:r>
              <w:rPr>
                <w:rFonts w:hint="default" w:ascii="Times New Roman" w:hAnsi="Times New Roman" w:cs="Times New Roman"/>
                <w:color w:val="000000" w:themeColor="text1"/>
                <w:spacing w:val="-108"/>
                <w:sz w:val="21"/>
                <w:szCs w:val="21"/>
                <w14:textFill>
                  <w14:solidFill>
                    <w14:schemeClr w14:val="tx1"/>
                  </w14:solidFill>
                </w14:textFill>
              </w:rPr>
              <w:t>）</w:t>
            </w:r>
            <w:r>
              <w:rPr>
                <w:rFonts w:hint="default" w:ascii="Times New Roman" w:hAnsi="Times New Roman" w:cs="Times New Roman"/>
                <w:color w:val="000000" w:themeColor="text1"/>
                <w:spacing w:val="-5"/>
                <w:sz w:val="21"/>
                <w:szCs w:val="21"/>
                <w14:textFill>
                  <w14:solidFill>
                    <w14:schemeClr w14:val="tx1"/>
                  </w14:solidFill>
                </w14:textFill>
              </w:rPr>
              <w:t>。经济事态抢救或撤</w:t>
            </w:r>
            <w:r>
              <w:rPr>
                <w:rFonts w:hint="default" w:ascii="Times New Roman" w:hAnsi="Times New Roman" w:cs="Times New Roman"/>
                <w:color w:val="000000" w:themeColor="text1"/>
                <w:spacing w:val="-6"/>
                <w:sz w:val="21"/>
                <w:szCs w:val="21"/>
                <w14:textFill>
                  <w14:solidFill>
                    <w14:schemeClr w14:val="tx1"/>
                  </w14:solidFill>
                </w14:textFill>
              </w:rPr>
              <w:t>离时，必须佩戴空气呼吸器。戴化学安全防护眼镜。穿一般作业防护服。戴橡胶耐油手套。</w:t>
            </w:r>
          </w:p>
          <w:p>
            <w:pPr>
              <w:pStyle w:val="112"/>
              <w:keepNext w:val="0"/>
              <w:keepLines w:val="0"/>
              <w:suppressLineNumbers w:val="0"/>
              <w:kinsoku w:val="0"/>
              <w:overflowPunct w:val="0"/>
              <w:adjustRightInd w:val="0"/>
              <w:snapToGrid w:val="0"/>
              <w:spacing w:before="0" w:beforeAutospacing="0" w:after="0" w:afterAutospacing="0" w:line="233" w:lineRule="exact"/>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工作现场禁止吸烟。避免长期反复接触。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kinsoku w:val="0"/>
              <w:overflowPunct w:val="0"/>
              <w:adjustRightInd w:val="0"/>
              <w:snapToGrid w:val="0"/>
              <w:spacing w:before="9" w:beforeAutospacing="0" w:after="0" w:afterAutospacing="0"/>
              <w:ind w:left="110" w:right="1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泄漏处</w:t>
            </w:r>
          </w:p>
          <w:p>
            <w:pPr>
              <w:pStyle w:val="112"/>
              <w:keepNext w:val="0"/>
              <w:keepLines w:val="0"/>
              <w:suppressLineNumbers w:val="0"/>
              <w:kinsoku w:val="0"/>
              <w:overflowPunct w:val="0"/>
              <w:adjustRightInd w:val="0"/>
              <w:snapToGrid w:val="0"/>
              <w:spacing w:before="0" w:beforeAutospacing="0" w:after="0" w:afterAutospacing="0" w:line="237" w:lineRule="exact"/>
              <w:ind w:left="11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理</w:t>
            </w:r>
          </w:p>
        </w:tc>
        <w:tc>
          <w:tcPr>
            <w:tcW w:w="4761" w:type="pct"/>
            <w:gridSpan w:val="6"/>
            <w:tcBorders>
              <w:top w:val="single" w:color="000000" w:sz="4" w:space="0"/>
              <w:left w:val="nil"/>
              <w:bottom w:val="single" w:color="000000" w:sz="4" w:space="0"/>
              <w:right w:val="nil"/>
            </w:tcBorders>
            <w:noWrap w:val="0"/>
            <w:vAlign w:val="center"/>
          </w:tcPr>
          <w:p>
            <w:pPr>
              <w:pStyle w:val="112"/>
              <w:keepNext w:val="0"/>
              <w:keepLines w:val="0"/>
              <w:suppressLineNumbers w:val="0"/>
              <w:kinsoku w:val="0"/>
              <w:overflowPunct w:val="0"/>
              <w:adjustRightInd w:val="0"/>
              <w:snapToGrid w:val="0"/>
              <w:spacing w:before="9" w:beforeAutospacing="0" w:after="0" w:afterAutospacing="0"/>
              <w:ind w:left="0" w:right="84"/>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迅速撤离泄漏污染区人员至安全区，并进行隔离，严格限制出入。切断火源。建议应急处理人员戴自给正压式呼吸器，穿一般作业工作服。尽可能切断泄漏源。防止流入下水道、排洪沟等限制性空间。小量泄漏：用可活性炭或其它惰性材料吸收。大量泄漏：构筑围堤或挖坑</w:t>
            </w:r>
          </w:p>
          <w:p>
            <w:pPr>
              <w:pStyle w:val="112"/>
              <w:keepNext w:val="0"/>
              <w:keepLines w:val="0"/>
              <w:suppressLineNumbers w:val="0"/>
              <w:kinsoku w:val="0"/>
              <w:overflowPunct w:val="0"/>
              <w:adjustRightInd w:val="0"/>
              <w:snapToGrid w:val="0"/>
              <w:spacing w:before="0" w:beforeAutospacing="0" w:after="0" w:afterAutospacing="0" w:line="237" w:lineRule="exact"/>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收容。用泵移至槽车或专用收集器内，回收或运至废物处理场所处置。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 w:type="pct"/>
            <w:tcBorders>
              <w:top w:val="single" w:color="000000" w:sz="4" w:space="0"/>
              <w:left w:val="nil"/>
              <w:bottom w:val="single" w:color="000000" w:sz="12" w:space="0"/>
              <w:right w:val="single" w:color="000000" w:sz="4" w:space="0"/>
            </w:tcBorders>
            <w:noWrap w:val="0"/>
            <w:vAlign w:val="center"/>
          </w:tcPr>
          <w:p>
            <w:pPr>
              <w:pStyle w:val="112"/>
              <w:keepNext w:val="0"/>
              <w:keepLines w:val="0"/>
              <w:suppressLineNumbers w:val="0"/>
              <w:kinsoku w:val="0"/>
              <w:overflowPunct w:val="0"/>
              <w:adjustRightInd w:val="0"/>
              <w:snapToGrid w:val="0"/>
              <w:spacing w:before="9" w:beforeAutospacing="0" w:after="0" w:afterAutospacing="0"/>
              <w:ind w:left="110" w:right="1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贮运</w:t>
            </w:r>
          </w:p>
        </w:tc>
        <w:tc>
          <w:tcPr>
            <w:tcW w:w="4761" w:type="pct"/>
            <w:gridSpan w:val="6"/>
            <w:tcBorders>
              <w:top w:val="single" w:color="000000" w:sz="4" w:space="0"/>
              <w:left w:val="nil"/>
              <w:bottom w:val="single" w:color="000000" w:sz="12" w:space="0"/>
              <w:right w:val="nil"/>
            </w:tcBorders>
            <w:noWrap w:val="0"/>
            <w:vAlign w:val="center"/>
          </w:tcPr>
          <w:p>
            <w:pPr>
              <w:pStyle w:val="112"/>
              <w:keepNext w:val="0"/>
              <w:keepLines w:val="0"/>
              <w:suppressLineNumbers w:val="0"/>
              <w:kinsoku w:val="0"/>
              <w:overflowPunct w:val="0"/>
              <w:adjustRightInd w:val="0"/>
              <w:snapToGrid w:val="0"/>
              <w:spacing w:before="0" w:beforeAutospacing="0" w:after="0" w:afterAutospacing="0"/>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包装标志： UN编号：包装分类：</w:t>
            </w:r>
          </w:p>
          <w:p>
            <w:pPr>
              <w:pStyle w:val="112"/>
              <w:keepNext w:val="0"/>
              <w:keepLines w:val="0"/>
              <w:suppressLineNumbers w:val="0"/>
              <w:kinsoku w:val="0"/>
              <w:overflowPunct w:val="0"/>
              <w:adjustRightInd w:val="0"/>
              <w:snapToGrid w:val="0"/>
              <w:spacing w:before="1" w:beforeAutospacing="0" w:after="0" w:afterAutospacing="0"/>
              <w:ind w:left="0" w:right="84"/>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运条件：储存于阴凉、通风的库房内。远离火种、热源。应与氧化剂、卤素分开存放，切忌混储。采用防爆型照明、通风设施。禁止使用易产生火花的机械设备和工具。储区应备有泄漏应急处理设备工具和合适的收容材料。</w:t>
            </w:r>
          </w:p>
          <w:p>
            <w:pPr>
              <w:pStyle w:val="112"/>
              <w:keepNext w:val="0"/>
              <w:keepLines w:val="0"/>
              <w:suppressLineNumbers w:val="0"/>
              <w:kinsoku w:val="0"/>
              <w:overflowPunct w:val="0"/>
              <w:adjustRightInd w:val="0"/>
              <w:snapToGrid w:val="0"/>
              <w:spacing w:before="9" w:beforeAutospacing="0" w:after="0" w:afterAutospacing="0"/>
              <w:ind w:left="0" w:right="84"/>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7"/>
                <w:sz w:val="21"/>
                <w:szCs w:val="21"/>
                <w14:textFill>
                  <w14:solidFill>
                    <w14:schemeClr w14:val="tx1"/>
                  </w14:solidFill>
                </w14:textFill>
              </w:rPr>
              <w:t>运输前应先检查包装容器是否完整、密封，运输过程中要确保容器不泄漏、不倒塌、不坠落、不损坏。运输时运输车辆配备相应的品种和数量的消防器材及泄漏应急处理设备。夏季最好早晚运输。运输时所用的槽车应有接地链，槽内可设隔板以减少震荡产生静电。严禁与氧化剂、卤素、食用化学品等混装混运。运输途中应防暴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w:t>
            </w:r>
            <w:r>
              <w:rPr>
                <w:rFonts w:hint="default" w:ascii="Times New Roman" w:hAnsi="Times New Roman" w:cs="Times New Roman"/>
                <w:color w:val="000000" w:themeColor="text1"/>
                <w:sz w:val="21"/>
                <w:szCs w:val="21"/>
                <w14:textFill>
                  <w14:solidFill>
                    <w14:schemeClr w14:val="tx1"/>
                  </w14:solidFill>
                </w14:textFill>
              </w:rPr>
              <w:t>驶。</w:t>
            </w:r>
          </w:p>
        </w:tc>
      </w:tr>
    </w:tbl>
    <w:p>
      <w:pPr>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6</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白油</w:t>
      </w:r>
      <w:r>
        <w:rPr>
          <w:rFonts w:hint="eastAsia"/>
          <w:b/>
          <w:color w:val="000000" w:themeColor="text1"/>
          <w:lang w:val="en-US" w:eastAsia="zh-CN"/>
          <w14:textFill>
            <w14:solidFill>
              <w14:schemeClr w14:val="tx1"/>
            </w14:solidFill>
          </w14:textFill>
        </w:rPr>
        <w:t>料</w:t>
      </w:r>
      <w:r>
        <w:rPr>
          <w:b/>
          <w:color w:val="000000" w:themeColor="text1"/>
          <w14:textFill>
            <w14:solidFill>
              <w14:schemeClr w14:val="tx1"/>
            </w14:solidFill>
          </w14:textFill>
        </w:rPr>
        <w:t>理化性质和危险特性</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107"/>
        <w:gridCol w:w="1180"/>
        <w:gridCol w:w="1139"/>
        <w:gridCol w:w="1111"/>
        <w:gridCol w:w="1102"/>
        <w:gridCol w:w="1111"/>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top w:val="single" w:color="auto" w:sz="12" w:space="0"/>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中文名称</w:t>
            </w:r>
          </w:p>
        </w:tc>
        <w:tc>
          <w:tcPr>
            <w:tcW w:w="1853" w:type="pct"/>
            <w:gridSpan w:val="3"/>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白油料</w:t>
            </w:r>
          </w:p>
        </w:tc>
        <w:tc>
          <w:tcPr>
            <w:tcW w:w="601"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组分</w:t>
            </w:r>
          </w:p>
        </w:tc>
        <w:tc>
          <w:tcPr>
            <w:tcW w:w="1793" w:type="pct"/>
            <w:gridSpan w:val="3"/>
            <w:tcBorders>
              <w:top w:val="single" w:color="auto" w:sz="12" w:space="0"/>
              <w:right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C</w:t>
            </w:r>
            <w:r>
              <w:rPr>
                <w:rFonts w:hint="default" w:ascii="Times New Roman" w:hAnsi="Times New Roman" w:eastAsia="宋体" w:cs="Times New Roman"/>
                <w:color w:val="000000" w:themeColor="text1"/>
                <w:sz w:val="21"/>
                <w:vertAlign w:val="subscript"/>
                <w14:textFill>
                  <w14:solidFill>
                    <w14:schemeClr w14:val="tx1"/>
                  </w14:solidFill>
                </w14:textFill>
              </w:rPr>
              <w:t>16~</w:t>
            </w:r>
            <w:r>
              <w:rPr>
                <w:rFonts w:hint="default" w:ascii="Times New Roman" w:hAnsi="Times New Roman" w:eastAsia="宋体" w:cs="Times New Roman"/>
                <w:color w:val="000000" w:themeColor="text1"/>
                <w:sz w:val="21"/>
                <w14:textFill>
                  <w14:solidFill>
                    <w14:schemeClr w14:val="tx1"/>
                  </w14:solidFill>
                </w14:textFill>
              </w:rPr>
              <w:t>C</w:t>
            </w:r>
            <w:r>
              <w:rPr>
                <w:rFonts w:hint="default" w:ascii="Times New Roman" w:hAnsi="Times New Roman" w:eastAsia="宋体" w:cs="Times New Roman"/>
                <w:color w:val="000000" w:themeColor="text1"/>
                <w:sz w:val="21"/>
                <w:vertAlign w:val="subscript"/>
                <w14:textFill>
                  <w14:solidFill>
                    <w14:schemeClr w14:val="tx1"/>
                  </w14:solidFill>
                </w14:textFill>
              </w:rPr>
              <w:t>31</w:t>
            </w:r>
            <w:r>
              <w:rPr>
                <w:rFonts w:hint="default" w:ascii="Times New Roman" w:hAnsi="Times New Roman" w:eastAsia="宋体" w:cs="Times New Roman"/>
                <w:color w:val="000000" w:themeColor="text1"/>
                <w:sz w:val="21"/>
                <w14:textFill>
                  <w14:solidFill>
                    <w14:schemeClr w14:val="tx1"/>
                  </w14:solidFill>
                </w14:textFill>
              </w:rPr>
              <w:t>的正异构烷烃混合物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1" w:type="pct"/>
            <w:gridSpan w:val="2"/>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外观与气味</w:t>
            </w:r>
          </w:p>
        </w:tc>
        <w:tc>
          <w:tcPr>
            <w:tcW w:w="3648" w:type="pct"/>
            <w:gridSpan w:val="6"/>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无色和浅黄色液体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熔点（℃）</w:t>
            </w:r>
          </w:p>
        </w:tc>
        <w:tc>
          <w:tcPr>
            <w:tcW w:w="59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63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沸点（℃）</w:t>
            </w:r>
          </w:p>
        </w:tc>
        <w:tc>
          <w:tcPr>
            <w:tcW w:w="61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330~420</w:t>
            </w: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闪点（℃）</w:t>
            </w:r>
          </w:p>
        </w:tc>
        <w:tc>
          <w:tcPr>
            <w:tcW w:w="5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＞120</w:t>
            </w: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引燃温度（℃）</w:t>
            </w:r>
          </w:p>
        </w:tc>
        <w:tc>
          <w:tcPr>
            <w:tcW w:w="59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2" w:type="pct"/>
            <w:vMerge w:val="restar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相对密度</w:t>
            </w:r>
          </w:p>
        </w:tc>
        <w:tc>
          <w:tcPr>
            <w:tcW w:w="59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水＝1</w:t>
            </w:r>
          </w:p>
        </w:tc>
        <w:tc>
          <w:tcPr>
            <w:tcW w:w="63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0.84~0.92</w:t>
            </w:r>
          </w:p>
        </w:tc>
        <w:tc>
          <w:tcPr>
            <w:tcW w:w="61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毒性</w:t>
            </w: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级别</w:t>
            </w:r>
          </w:p>
        </w:tc>
        <w:tc>
          <w:tcPr>
            <w:tcW w:w="5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59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vMerge w:val="continue"/>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59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空气＝1</w:t>
            </w:r>
          </w:p>
        </w:tc>
        <w:tc>
          <w:tcPr>
            <w:tcW w:w="63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616"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危害程度</w:t>
            </w:r>
          </w:p>
        </w:tc>
        <w:tc>
          <w:tcPr>
            <w:tcW w:w="5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c>
          <w:tcPr>
            <w:tcW w:w="59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1" w:type="pct"/>
            <w:gridSpan w:val="2"/>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爆炸极限（V%）</w:t>
            </w:r>
          </w:p>
        </w:tc>
        <w:tc>
          <w:tcPr>
            <w:tcW w:w="63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61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灭火剂</w:t>
            </w:r>
          </w:p>
        </w:tc>
        <w:tc>
          <w:tcPr>
            <w:tcW w:w="2394" w:type="pct"/>
            <w:gridSpan w:val="4"/>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雾状水、泡沫、二氧化碳、干粉，用水灭火无效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1" w:type="pct"/>
            <w:gridSpan w:val="2"/>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燃烧热（kJ/mol）</w:t>
            </w:r>
          </w:p>
        </w:tc>
        <w:tc>
          <w:tcPr>
            <w:tcW w:w="63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813"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燃烧产物</w:t>
            </w:r>
          </w:p>
        </w:tc>
        <w:tc>
          <w:tcPr>
            <w:tcW w:w="1197" w:type="pct"/>
            <w:gridSpan w:val="2"/>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9" w:type="pct"/>
            <w:gridSpan w:val="3"/>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工作场所空气中容许浓度（mg/m</w:t>
            </w:r>
            <w:r>
              <w:rPr>
                <w:rFonts w:hint="default" w:ascii="Times New Roman" w:hAnsi="Times New Roman" w:eastAsia="宋体" w:cs="Times New Roman"/>
                <w:color w:val="000000" w:themeColor="text1"/>
                <w:sz w:val="21"/>
                <w:vertAlign w:val="superscript"/>
                <w14:textFill>
                  <w14:solidFill>
                    <w14:schemeClr w14:val="tx1"/>
                  </w14:solidFill>
                </w14:textFill>
              </w:rPr>
              <w:t>3</w:t>
            </w:r>
            <w:r>
              <w:rPr>
                <w:rFonts w:hint="default" w:ascii="Times New Roman" w:hAnsi="Times New Roman" w:eastAsia="宋体" w:cs="Times New Roman"/>
                <w:color w:val="000000" w:themeColor="text1"/>
                <w:sz w:val="21"/>
                <w14:textFill>
                  <w14:solidFill>
                    <w14:schemeClr w14:val="tx1"/>
                  </w14:solidFill>
                </w14:textFill>
              </w:rPr>
              <w:t>）</w:t>
            </w:r>
          </w:p>
        </w:tc>
        <w:tc>
          <w:tcPr>
            <w:tcW w:w="61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PC—TWA</w:t>
            </w: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无资料</w:t>
            </w:r>
          </w:p>
        </w:tc>
        <w:tc>
          <w:tcPr>
            <w:tcW w:w="5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侵入途径</w:t>
            </w:r>
          </w:p>
        </w:tc>
        <w:tc>
          <w:tcPr>
            <w:tcW w:w="1197" w:type="pct"/>
            <w:gridSpan w:val="2"/>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1" w:type="pct"/>
            <w:gridSpan w:val="2"/>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禁配物</w:t>
            </w:r>
          </w:p>
        </w:tc>
        <w:tc>
          <w:tcPr>
            <w:tcW w:w="125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氧化剂</w:t>
            </w:r>
          </w:p>
        </w:tc>
        <w:tc>
          <w:tcPr>
            <w:tcW w:w="119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避免接触条件</w:t>
            </w:r>
          </w:p>
        </w:tc>
        <w:tc>
          <w:tcPr>
            <w:tcW w:w="1197" w:type="pct"/>
            <w:gridSpan w:val="2"/>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1" w:type="pct"/>
            <w:gridSpan w:val="2"/>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溶解性</w:t>
            </w:r>
          </w:p>
        </w:tc>
        <w:tc>
          <w:tcPr>
            <w:tcW w:w="3648" w:type="pct"/>
            <w:gridSpan w:val="6"/>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不溶于水、溶于多数有机溶剂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1" w:type="pct"/>
            <w:gridSpan w:val="2"/>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物质危险性类别</w:t>
            </w:r>
          </w:p>
        </w:tc>
        <w:tc>
          <w:tcPr>
            <w:tcW w:w="125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1197"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火灾危险性分类</w:t>
            </w:r>
          </w:p>
        </w:tc>
        <w:tc>
          <w:tcPr>
            <w:tcW w:w="1197" w:type="pct"/>
            <w:gridSpan w:val="2"/>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51" w:type="pct"/>
            <w:gridSpan w:val="2"/>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危险货物编号</w:t>
            </w:r>
          </w:p>
        </w:tc>
        <w:tc>
          <w:tcPr>
            <w:tcW w:w="1253"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UN编号</w:t>
            </w:r>
          </w:p>
        </w:tc>
        <w:tc>
          <w:tcPr>
            <w:tcW w:w="59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c>
          <w:tcPr>
            <w:tcW w:w="60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CAS No</w:t>
            </w:r>
          </w:p>
        </w:tc>
        <w:tc>
          <w:tcPr>
            <w:tcW w:w="59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危险特性</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易燃液体，遇明火、高热能引起燃烧爆炸，若遇高热，容器内压增大，有开裂和爆炸的危险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灭火注意事项</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喷水冷却容器，可能的话将容器从火场移至空旷处。处在火场中的容器若已变色或从安全泄压装置中产生声音，必须马上撤离。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健康危险</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蒸气可引起眼及上呼吸道刺激症状，如浓度过高，接触可引起头晕、恶心、气短、呼吸困难、紫绀等缺氧症状。批复接触可引发皮炎。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急救措施</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皮肤接触：脱去被污染的衣着、用肥皂水和清水彻底冲洗皮肤。</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眼睛接触：提起眼脸，用流动清水或生理盐水冲洗。就医。</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吸入：迅速脱离现场至空气新鲜处。保持呼吸道通畅。如呼吸停止，立即进行人工呼吸。就医。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泄露紧急处理</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迅速撤离泄露污染区人员至安全区，并进行隔离，严格限制出入。切断火源。建议应急处理人员戴自给正压式呼吸器、穿消防防护服。尽可能切断泄漏源。防止进入下水道、排洪沟等限制性空间。小量泄露；用砂土、蛭石或其他惰性材料吸收。大量泄露：构筑围堤或挖坑收容；用泡沫覆盖，降低蒸汽灾害。用防爆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操作注意事项</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密闭操作，加强通风。操作人员必须经过专门培训，严格遵守操作规程。建议操作人员穿防静电工作服。远离火种、热源，工作场所严禁吸烟。使用防爆型的通风系统和设备配备相应品种和数量的消防器材及泄露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防护措施</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工程控制：密闭系统，提供充分的局部排风和全面通风。</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呼吸系统防护：戴防毒面具，高浓度接触时佩戴空气呼吸器。</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眼睛防护：戴化学防护眼镜。</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身体防护：穿防静电工作服。</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手防护：戴橡胶防护手套。</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其他防护：工作现场严禁吸烟。进入罐、限值性空间作业，须有人监护。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储存注意事项</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远离火种、热源。防止阳光直射；保持容器密封。应与氧化剂分开存放。搬运时应轻装轻卸，采用防爆型照明、通风设施。禁止使用易产生火花的机械设备和工具。储区应备有泄露应急处理设备和合适的收容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处置方法</w:t>
            </w:r>
          </w:p>
        </w:tc>
        <w:tc>
          <w:tcPr>
            <w:tcW w:w="4247" w:type="pct"/>
            <w:gridSpan w:val="7"/>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焚烧处理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2" w:type="pct"/>
            <w:tcBorders>
              <w:left w:val="nil"/>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运输注意事项</w:t>
            </w:r>
          </w:p>
        </w:tc>
        <w:tc>
          <w:tcPr>
            <w:tcW w:w="4247" w:type="pct"/>
            <w:gridSpan w:val="7"/>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储存于阴凉、通风的仓间内，远离火种、热源。防止阳光直射；保持容器密封。应与氧化剂分开存放。搬运时应轻装轻卸，防止包装和容器损坏。运输时所用的槽（罐）车应有接地链，槽内可设孔隔板以减少震荡产生的静电。严禁与氧化剂、食用化学品等混装混运。装运该物品的车辆排气管必须配备阻火装置，禁止使用易产生火花的机械设备和工具装卸，公路运输时要按规定的路线行驶，勿在居民区和人口稠密区停留。铁路运输时要禁止溜放。严禁用木船、水泥船散装运输。</w:t>
            </w:r>
          </w:p>
        </w:tc>
      </w:tr>
    </w:tbl>
    <w:p>
      <w:pPr>
        <w:keepNext/>
        <w:ind w:firstLine="482" w:firstLineChars="200"/>
        <w:jc w:val="center"/>
        <w:rPr>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7</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干气（甲烷）理化性质和危险特性</w:t>
      </w:r>
    </w:p>
    <w:tbl>
      <w:tblPr>
        <w:tblStyle w:val="4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1"/>
        <w:gridCol w:w="2518"/>
        <w:gridCol w:w="610"/>
        <w:gridCol w:w="529"/>
        <w:gridCol w:w="1222"/>
        <w:gridCol w:w="1058"/>
        <w:gridCol w:w="2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9" w:type="pct"/>
            <w:vMerge w:val="restart"/>
            <w:tcBorders>
              <w:top w:val="single" w:color="000000" w:sz="12" w:space="0"/>
              <w:left w:val="nil"/>
              <w:bottom w:val="single" w:color="000000" w:sz="4" w:space="0"/>
              <w:right w:val="single" w:color="000000" w:sz="4" w:space="0"/>
            </w:tcBorders>
            <w:noWrap w:val="0"/>
            <w:vAlign w:val="top"/>
          </w:tcPr>
          <w:p>
            <w:pPr>
              <w:pStyle w:val="112"/>
              <w:keepNext w:val="0"/>
              <w:keepLines w:val="0"/>
              <w:suppressLineNumbers w:val="0"/>
              <w:spacing w:before="2" w:beforeAutospacing="0" w:after="0" w:afterAutospacing="0"/>
              <w:ind w:left="110" w:right="100"/>
              <w:rPr>
                <w:rFonts w:ascii="Times New Roman" w:hAnsi="Times New Roman" w:cs="Times New Roman"/>
                <w:color w:val="000000" w:themeColor="text1"/>
                <w:sz w:val="21"/>
                <w:szCs w:val="21"/>
                <w14:textFill>
                  <w14:solidFill>
                    <w14:schemeClr w14:val="tx1"/>
                  </w14:solidFill>
                </w14:textFill>
              </w:rPr>
            </w:pPr>
          </w:p>
          <w:p>
            <w:pPr>
              <w:pStyle w:val="112"/>
              <w:keepNext w:val="0"/>
              <w:keepLines w:val="0"/>
              <w:suppressLineNumbers w:val="0"/>
              <w:spacing w:before="2" w:beforeAutospacing="0" w:after="0" w:afterAutospacing="0"/>
              <w:ind w:left="110" w:right="1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标识</w:t>
            </w:r>
          </w:p>
        </w:tc>
        <w:tc>
          <w:tcPr>
            <w:tcW w:w="2026" w:type="pct"/>
            <w:gridSpan w:val="3"/>
            <w:tcBorders>
              <w:top w:val="single" w:color="000000" w:sz="12" w:space="0"/>
              <w:left w:val="nil"/>
              <w:bottom w:val="single" w:color="000000" w:sz="4" w:space="0"/>
              <w:right w:val="single" w:color="000000" w:sz="4" w:space="0"/>
            </w:tcBorders>
            <w:noWrap w:val="0"/>
            <w:vAlign w:val="top"/>
          </w:tcPr>
          <w:p>
            <w:pPr>
              <w:pStyle w:val="112"/>
              <w:keepNext w:val="0"/>
              <w:keepLines w:val="0"/>
              <w:suppressLineNumbers w:val="0"/>
              <w:spacing w:before="29"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中文名： 甲烷、沼气</w:t>
            </w:r>
          </w:p>
        </w:tc>
        <w:tc>
          <w:tcPr>
            <w:tcW w:w="2735" w:type="pct"/>
            <w:gridSpan w:val="3"/>
            <w:tcBorders>
              <w:top w:val="single" w:color="000000" w:sz="12"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109"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英文名：methane Marsh gas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31" w:beforeAutospacing="0" w:after="0" w:afterAutospacing="0"/>
              <w:ind w:left="0" w:right="0"/>
              <w:rPr>
                <w:rFonts w:ascii="Times New Roman" w:hAnsi="Times New Roman" w:cs="Times New Roman"/>
                <w:color w:val="000000" w:themeColor="text1"/>
                <w:sz w:val="14"/>
                <w:szCs w:val="14"/>
                <w14:textFill>
                  <w14:solidFill>
                    <w14:schemeClr w14:val="tx1"/>
                  </w14:solidFill>
                </w14:textFill>
              </w:rPr>
            </w:pPr>
            <w:r>
              <w:rPr>
                <w:rFonts w:ascii="Times New Roman" w:hAnsi="Times New Roman" w:cs="Times New Roman"/>
                <w:color w:val="000000" w:themeColor="text1"/>
                <w:position w:val="2"/>
                <w:sz w:val="21"/>
                <w:szCs w:val="21"/>
                <w14:textFill>
                  <w14:solidFill>
                    <w14:schemeClr w14:val="tx1"/>
                  </w14:solidFill>
                </w14:textFill>
              </w:rPr>
              <w:t>分子式：CH</w:t>
            </w:r>
            <w:r>
              <w:rPr>
                <w:rFonts w:ascii="Times New Roman" w:hAnsi="Times New Roman" w:cs="Times New Roman"/>
                <w:color w:val="000000" w:themeColor="text1"/>
                <w:sz w:val="14"/>
                <w:szCs w:val="14"/>
                <w14:textFill>
                  <w14:solidFill>
                    <w14:schemeClr w14:val="tx1"/>
                  </w14:solidFill>
                </w14:textFill>
              </w:rPr>
              <w:t>4</w:t>
            </w:r>
          </w:p>
        </w:tc>
        <w:tc>
          <w:tcPr>
            <w:tcW w:w="1556" w:type="pct"/>
            <w:gridSpan w:val="3"/>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32"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分子量：16.04</w:t>
            </w:r>
          </w:p>
        </w:tc>
        <w:tc>
          <w:tcPr>
            <w:tcW w:w="1472" w:type="pct"/>
            <w:tcBorders>
              <w:top w:val="single" w:color="000000" w:sz="4" w:space="0"/>
              <w:left w:val="nil"/>
              <w:bottom w:val="single" w:color="000000" w:sz="4" w:space="0"/>
              <w:right w:val="nil"/>
            </w:tcBorders>
            <w:noWrap w:val="0"/>
            <w:vAlign w:val="top"/>
          </w:tcPr>
          <w:p>
            <w:pPr>
              <w:pStyle w:val="112"/>
              <w:keepNext w:val="0"/>
              <w:keepLines w:val="0"/>
              <w:suppressLineNumbers w:val="0"/>
              <w:spacing w:before="32" w:beforeAutospacing="0" w:after="0" w:afterAutospacing="0"/>
              <w:ind w:left="11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CAS 号：74－82－8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危规号：21007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39" w:type="pct"/>
            <w:vMerge w:val="restar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106" w:beforeAutospacing="0" w:after="0" w:afterAutospacing="0"/>
              <w:ind w:left="110" w:right="1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理化性</w:t>
            </w:r>
          </w:p>
          <w:p>
            <w:pPr>
              <w:pStyle w:val="112"/>
              <w:keepNext w:val="0"/>
              <w:keepLines w:val="0"/>
              <w:suppressLineNumbers w:val="0"/>
              <w:spacing w:before="106" w:beforeAutospacing="0" w:after="0" w:afterAutospacing="0"/>
              <w:ind w:left="110" w:right="1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质</w:t>
            </w: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性状： 无色无臭气体。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32"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溶解性：微溶于水，溶于醇、乙醚。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395" w:type="pc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29"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熔点</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82.5</w:t>
            </w:r>
          </w:p>
        </w:tc>
        <w:tc>
          <w:tcPr>
            <w:tcW w:w="1308" w:type="pct"/>
            <w:gridSpan w:val="3"/>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29"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沸点</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61.5</w:t>
            </w:r>
          </w:p>
        </w:tc>
        <w:tc>
          <w:tcPr>
            <w:tcW w:w="2058" w:type="pct"/>
            <w:gridSpan w:val="2"/>
            <w:tcBorders>
              <w:top w:val="single" w:color="000000" w:sz="4"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109"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相对密度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水</w:t>
            </w:r>
            <w:r>
              <w:rPr>
                <w:rFonts w:ascii="Times New Roman" w:hAnsi="Times New Roman" w:cs="Times New Roman"/>
                <w:color w:val="000000" w:themeColor="text1"/>
                <w:spacing w:val="-2"/>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pacing w:val="-106"/>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0.4</w:t>
            </w:r>
            <w:r>
              <w:rPr>
                <w:rFonts w:ascii="Times New Roman" w:hAnsi="Times New Roman" w:cs="Times New Roman"/>
                <w:color w:val="000000" w:themeColor="text1"/>
                <w:spacing w:val="-3"/>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pacing w:val="-3"/>
                <w:sz w:val="21"/>
                <w:szCs w:val="21"/>
                <w14:textFill>
                  <w14:solidFill>
                    <w14:schemeClr w14:val="tx1"/>
                  </w14:solidFill>
                </w14:textFill>
              </w:rPr>
              <w:t>6</w:t>
            </w:r>
            <w:r>
              <w:rPr>
                <w:rFonts w:ascii="Times New Roman" w:hAnsi="Times New Roman" w:cs="Times New Roman"/>
                <w:color w:val="000000" w:themeColor="text1"/>
                <w:spacing w:val="-1"/>
                <w:sz w:val="21"/>
                <w:szCs w:val="21"/>
                <w14:textFill>
                  <w14:solidFill>
                    <w14:schemeClr w14:val="tx1"/>
                  </w14:solidFill>
                </w14:textFill>
              </w:rPr>
              <w:t>4</w:t>
            </w:r>
            <w:r>
              <w:rPr>
                <w:rFonts w:ascii="Times New Roman" w:hAnsi="Times New Roman" w:cs="Times New Roman"/>
                <w:color w:val="000000" w:themeColor="text1"/>
                <w:spacing w:val="-3"/>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395" w:type="pc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临界温度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8</w:t>
            </w:r>
            <w:r>
              <w:rPr>
                <w:rFonts w:ascii="Times New Roman" w:hAnsi="Times New Roman" w:cs="Times New Roman"/>
                <w:color w:val="000000" w:themeColor="text1"/>
                <w:sz w:val="21"/>
                <w:szCs w:val="21"/>
                <w14:textFill>
                  <w14:solidFill>
                    <w14:schemeClr w14:val="tx1"/>
                  </w14:solidFill>
                </w14:textFill>
              </w:rPr>
              <w:t>2.6</w:t>
            </w:r>
          </w:p>
        </w:tc>
        <w:tc>
          <w:tcPr>
            <w:tcW w:w="1308" w:type="pct"/>
            <w:gridSpan w:val="3"/>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临界压力</w:t>
            </w:r>
            <w:r>
              <w:rPr>
                <w:rFonts w:ascii="Times New Roman" w:hAnsi="Times New Roman" w:cs="Times New Roman"/>
                <w:color w:val="000000" w:themeColor="text1"/>
                <w:spacing w:val="-3"/>
                <w:sz w:val="21"/>
                <w:szCs w:val="21"/>
                <w14:textFill>
                  <w14:solidFill>
                    <w14:schemeClr w14:val="tx1"/>
                  </w14:solidFill>
                </w14:textFill>
              </w:rPr>
              <w:t>（M</w:t>
            </w:r>
            <w:r>
              <w:rPr>
                <w:rFonts w:ascii="Times New Roman" w:hAnsi="Times New Roman" w:cs="Times New Roman"/>
                <w:color w:val="000000" w:themeColor="text1"/>
                <w:spacing w:val="2"/>
                <w:sz w:val="21"/>
                <w:szCs w:val="21"/>
                <w14:textFill>
                  <w14:solidFill>
                    <w14:schemeClr w14:val="tx1"/>
                  </w14:solidFill>
                </w14:textFill>
              </w:rPr>
              <w:t>P</w:t>
            </w:r>
            <w:r>
              <w:rPr>
                <w:rFonts w:ascii="Times New Roman" w:hAnsi="Times New Roman" w:cs="Times New Roman"/>
                <w:color w:val="000000" w:themeColor="text1"/>
                <w:sz w:val="21"/>
                <w:szCs w:val="21"/>
                <w14:textFill>
                  <w14:solidFill>
                    <w14:schemeClr w14:val="tx1"/>
                  </w14:solidFill>
                </w14:textFill>
              </w:rPr>
              <w:t>a</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59</w:t>
            </w:r>
          </w:p>
        </w:tc>
        <w:tc>
          <w:tcPr>
            <w:tcW w:w="2058" w:type="pct"/>
            <w:gridSpan w:val="2"/>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109"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相对密度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空气</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pacing w:val="-3"/>
                <w:sz w:val="21"/>
                <w:szCs w:val="21"/>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395" w:type="pc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燃烧热（</w:t>
            </w:r>
            <w:r>
              <w:rPr>
                <w:rFonts w:ascii="Times New Roman" w:hAnsi="Times New Roman" w:cs="Times New Roman"/>
                <w:color w:val="000000" w:themeColor="text1"/>
                <w:spacing w:val="-4"/>
                <w:sz w:val="21"/>
                <w:szCs w:val="21"/>
                <w14:textFill>
                  <w14:solidFill>
                    <w14:schemeClr w14:val="tx1"/>
                  </w14:solidFill>
                </w14:textFill>
              </w:rPr>
              <w:t>K</w:t>
            </w:r>
            <w:r>
              <w:rPr>
                <w:rFonts w:ascii="Times New Roman" w:hAnsi="Times New Roman" w:cs="Times New Roman"/>
                <w:color w:val="000000" w:themeColor="text1"/>
                <w:spacing w:val="1"/>
                <w:sz w:val="21"/>
                <w:szCs w:val="21"/>
                <w14:textFill>
                  <w14:solidFill>
                    <w14:schemeClr w14:val="tx1"/>
                  </w14:solidFill>
                </w14:textFill>
              </w:rPr>
              <w:t>J</w:t>
            </w:r>
            <w:r>
              <w:rPr>
                <w:rFonts w:ascii="Times New Roman" w:hAnsi="Times New Roman" w:cs="Times New Roman"/>
                <w:color w:val="000000" w:themeColor="text1"/>
                <w:spacing w:val="-2"/>
                <w:sz w:val="21"/>
                <w:szCs w:val="21"/>
                <w14:textFill>
                  <w14:solidFill>
                    <w14:schemeClr w14:val="tx1"/>
                  </w14:solidFill>
                </w14:textFill>
              </w:rPr>
              <w:t>/</w:t>
            </w:r>
            <w:r>
              <w:rPr>
                <w:rFonts w:ascii="Times New Roman" w:hAnsi="Times New Roman" w:cs="Times New Roman"/>
                <w:color w:val="000000" w:themeColor="text1"/>
                <w:spacing w:val="-4"/>
                <w:sz w:val="21"/>
                <w:szCs w:val="21"/>
                <w14:textFill>
                  <w14:solidFill>
                    <w14:schemeClr w14:val="tx1"/>
                  </w14:solidFill>
                </w14:textFill>
              </w:rPr>
              <w:t>m</w:t>
            </w:r>
            <w:r>
              <w:rPr>
                <w:rFonts w:ascii="Times New Roman" w:hAnsi="Times New Roman" w:cs="Times New Roman"/>
                <w:color w:val="000000" w:themeColor="text1"/>
                <w:sz w:val="21"/>
                <w:szCs w:val="21"/>
                <w14:textFill>
                  <w14:solidFill>
                    <w14:schemeClr w14:val="tx1"/>
                  </w14:solidFill>
                </w14:textFill>
              </w:rPr>
              <w:t>o</w:t>
            </w:r>
            <w:r>
              <w:rPr>
                <w:rFonts w:ascii="Times New Roman" w:hAnsi="Times New Roman" w:cs="Times New Roman"/>
                <w:color w:val="000000" w:themeColor="text1"/>
                <w:spacing w:val="-1"/>
                <w:sz w:val="21"/>
                <w:szCs w:val="21"/>
                <w14:textFill>
                  <w14:solidFill>
                    <w14:schemeClr w14:val="tx1"/>
                  </w14:solidFill>
                </w14:textFill>
              </w:rPr>
              <w:t>l</w:t>
            </w:r>
            <w:r>
              <w:rPr>
                <w:rFonts w:ascii="Times New Roman" w:hAnsi="Times New Roman" w:cs="Times New Roman"/>
                <w:color w:val="000000" w:themeColor="text1"/>
                <w:spacing w:val="-106"/>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：889.5</w:t>
            </w:r>
          </w:p>
        </w:tc>
        <w:tc>
          <w:tcPr>
            <w:tcW w:w="1308" w:type="pct"/>
            <w:gridSpan w:val="3"/>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10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4"/>
                <w:sz w:val="21"/>
                <w:szCs w:val="21"/>
                <w14:textFill>
                  <w14:solidFill>
                    <w14:schemeClr w14:val="tx1"/>
                  </w14:solidFill>
                </w14:textFill>
              </w:rPr>
              <w:t>最小点火能</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4"/>
                <w:sz w:val="21"/>
                <w:szCs w:val="21"/>
                <w14:textFill>
                  <w14:solidFill>
                    <w14:schemeClr w14:val="tx1"/>
                  </w14:solidFill>
                </w14:textFill>
              </w:rPr>
              <w:t>m</w:t>
            </w:r>
            <w:r>
              <w:rPr>
                <w:rFonts w:ascii="Times New Roman" w:hAnsi="Times New Roman" w:cs="Times New Roman"/>
                <w:color w:val="000000" w:themeColor="text1"/>
                <w:spacing w:val="2"/>
                <w:sz w:val="21"/>
                <w:szCs w:val="21"/>
                <w14:textFill>
                  <w14:solidFill>
                    <w14:schemeClr w14:val="tx1"/>
                  </w14:solidFill>
                </w14:textFill>
              </w:rPr>
              <w:t>J</w:t>
            </w:r>
            <w:r>
              <w:rPr>
                <w:rFonts w:ascii="Times New Roman" w:hAnsi="Times New Roman" w:cs="Times New Roman"/>
                <w:color w:val="000000" w:themeColor="text1"/>
                <w:spacing w:val="-106"/>
                <w:sz w:val="21"/>
                <w:szCs w:val="21"/>
                <w14:textFill>
                  <w14:solidFill>
                    <w14:schemeClr w14:val="tx1"/>
                  </w14:solidFill>
                </w14:textFill>
              </w:rPr>
              <w:t>）</w:t>
            </w:r>
            <w:r>
              <w:rPr>
                <w:rFonts w:ascii="Times New Roman" w:hAnsi="Times New Roman" w:cs="Times New Roman"/>
                <w:color w:val="000000" w:themeColor="text1"/>
                <w:spacing w:val="-15"/>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0.28</w:t>
            </w:r>
          </w:p>
        </w:tc>
        <w:tc>
          <w:tcPr>
            <w:tcW w:w="2058" w:type="pct"/>
            <w:gridSpan w:val="2"/>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109" w:right="-1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8"/>
                <w:sz w:val="21"/>
                <w:szCs w:val="21"/>
                <w14:textFill>
                  <w14:solidFill>
                    <w14:schemeClr w14:val="tx1"/>
                  </w14:solidFill>
                </w14:textFill>
              </w:rPr>
              <w:t>饱和蒸汽压</w:t>
            </w:r>
            <w:r>
              <w:rPr>
                <w:rFonts w:ascii="Times New Roman" w:hAnsi="Times New Roman" w:cs="Times New Roman"/>
                <w:color w:val="000000" w:themeColor="text1"/>
                <w:spacing w:val="-2"/>
                <w:sz w:val="21"/>
                <w:szCs w:val="21"/>
                <w14:textFill>
                  <w14:solidFill>
                    <w14:schemeClr w14:val="tx1"/>
                  </w14:solidFill>
                </w14:textFill>
              </w:rPr>
              <w:t>（</w:t>
            </w:r>
            <w:r>
              <w:rPr>
                <w:rFonts w:ascii="Times New Roman" w:hAnsi="Times New Roman" w:cs="Times New Roman"/>
                <w:color w:val="000000" w:themeColor="text1"/>
                <w:spacing w:val="-5"/>
                <w:sz w:val="21"/>
                <w:szCs w:val="21"/>
                <w14:textFill>
                  <w14:solidFill>
                    <w14:schemeClr w14:val="tx1"/>
                  </w14:solidFill>
                </w14:textFill>
              </w:rPr>
              <w:t>K</w:t>
            </w:r>
            <w:r>
              <w:rPr>
                <w:rFonts w:ascii="Times New Roman" w:hAnsi="Times New Roman" w:cs="Times New Roman"/>
                <w:color w:val="000000" w:themeColor="text1"/>
                <w:spacing w:val="-1"/>
                <w:sz w:val="21"/>
                <w:szCs w:val="21"/>
                <w14:textFill>
                  <w14:solidFill>
                    <w14:schemeClr w14:val="tx1"/>
                  </w14:solidFill>
                </w14:textFill>
              </w:rPr>
              <w:t>Pa</w:t>
            </w:r>
            <w:r>
              <w:rPr>
                <w:rFonts w:ascii="Times New Roman" w:hAnsi="Times New Roman" w:cs="Times New Roman"/>
                <w:color w:val="000000" w:themeColor="text1"/>
                <w:spacing w:val="-109"/>
                <w:sz w:val="21"/>
                <w:szCs w:val="21"/>
                <w14:textFill>
                  <w14:solidFill>
                    <w14:schemeClr w14:val="tx1"/>
                  </w14:solidFill>
                </w14:textFill>
              </w:rPr>
              <w:t>）</w:t>
            </w:r>
            <w:r>
              <w:rPr>
                <w:rFonts w:ascii="Times New Roman" w:hAnsi="Times New Roman" w:cs="Times New Roman"/>
                <w:color w:val="000000" w:themeColor="text1"/>
                <w:spacing w:val="-33"/>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53.</w:t>
            </w:r>
            <w:r>
              <w:rPr>
                <w:rFonts w:ascii="Times New Roman" w:hAnsi="Times New Roman" w:cs="Times New Roman"/>
                <w:color w:val="000000" w:themeColor="text1"/>
                <w:spacing w:val="-4"/>
                <w:sz w:val="21"/>
                <w:szCs w:val="21"/>
                <w14:textFill>
                  <w14:solidFill>
                    <w14:schemeClr w14:val="tx1"/>
                  </w14:solidFill>
                </w14:textFill>
              </w:rPr>
              <w:t>3</w:t>
            </w:r>
            <w:r>
              <w:rPr>
                <w:rFonts w:ascii="Times New Roman" w:hAnsi="Times New Roman" w:cs="Times New Roman"/>
                <w:color w:val="000000" w:themeColor="text1"/>
                <w:spacing w:val="-35"/>
                <w:sz w:val="21"/>
                <w:szCs w:val="21"/>
                <w14:textFill>
                  <w14:solidFill>
                    <w14:schemeClr w14:val="tx1"/>
                  </w14:solidFill>
                </w14:textFill>
              </w:rPr>
              <w:t>2</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4"/>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168.</w:t>
            </w:r>
            <w:r>
              <w:rPr>
                <w:rFonts w:ascii="Times New Roman" w:hAnsi="Times New Roman" w:cs="Times New Roman"/>
                <w:color w:val="000000" w:themeColor="text1"/>
                <w:spacing w:val="-4"/>
                <w:sz w:val="21"/>
                <w:szCs w:val="21"/>
                <w14:textFill>
                  <w14:solidFill>
                    <w14:schemeClr w14:val="tx1"/>
                  </w14:solidFill>
                </w14:textFill>
              </w:rPr>
              <w:t>8</w:t>
            </w:r>
            <w:r>
              <w:rPr>
                <w:rFonts w:ascii="Times New Roman" w:hAnsi="Times New Roman" w:cs="Times New Roman"/>
                <w:color w:val="000000" w:themeColor="text1"/>
                <w:spacing w:val="-1"/>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39" w:type="pct"/>
            <w:vMerge w:val="restar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158" w:beforeAutospacing="0" w:after="0" w:afterAutospacing="0"/>
              <w:ind w:left="110" w:right="1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燃烧爆炸危险性</w:t>
            </w:r>
          </w:p>
        </w:tc>
        <w:tc>
          <w:tcPr>
            <w:tcW w:w="1733" w:type="pct"/>
            <w:gridSpan w:val="2"/>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29"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燃烧性：易燃</w:t>
            </w:r>
          </w:p>
        </w:tc>
        <w:tc>
          <w:tcPr>
            <w:tcW w:w="3028" w:type="pct"/>
            <w:gridSpan w:val="4"/>
            <w:tcBorders>
              <w:top w:val="single" w:color="000000" w:sz="4"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燃烧分解产物：一氧化碳、二氧化碳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闪点</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88</w:t>
            </w:r>
          </w:p>
        </w:tc>
        <w:tc>
          <w:tcPr>
            <w:tcW w:w="3028" w:type="pct"/>
            <w:gridSpan w:val="4"/>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聚合危害：不聚合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32"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爆炸下限</w:t>
            </w:r>
            <w:r>
              <w:rPr>
                <w:rFonts w:ascii="Times New Roman" w:hAnsi="Times New Roman" w:cs="Times New Roman"/>
                <w:color w:val="000000" w:themeColor="text1"/>
                <w:spacing w:val="-3"/>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：5.3</w:t>
            </w:r>
          </w:p>
        </w:tc>
        <w:tc>
          <w:tcPr>
            <w:tcW w:w="3028" w:type="pct"/>
            <w:gridSpan w:val="4"/>
            <w:tcBorders>
              <w:top w:val="single" w:color="000000" w:sz="4" w:space="0"/>
              <w:left w:val="nil"/>
              <w:bottom w:val="single" w:color="000000" w:sz="4" w:space="0"/>
              <w:right w:val="nil"/>
            </w:tcBorders>
            <w:noWrap w:val="0"/>
            <w:vAlign w:val="top"/>
          </w:tcPr>
          <w:p>
            <w:pPr>
              <w:pStyle w:val="112"/>
              <w:keepNext w:val="0"/>
              <w:keepLines w:val="0"/>
              <w:suppressLineNumbers w:val="0"/>
              <w:spacing w:before="32"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稳定性：稳定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爆炸上限</w:t>
            </w:r>
            <w:r>
              <w:rPr>
                <w:rFonts w:ascii="Times New Roman" w:hAnsi="Times New Roman" w:cs="Times New Roman"/>
                <w:color w:val="000000" w:themeColor="text1"/>
                <w:spacing w:val="-3"/>
                <w:sz w:val="21"/>
                <w:szCs w:val="21"/>
                <w14:textFill>
                  <w14:solidFill>
                    <w14:schemeClr w14:val="tx1"/>
                  </w14:solidFill>
                </w14:textFill>
              </w:rPr>
              <w:t>（</w:t>
            </w:r>
            <w:r>
              <w:rPr>
                <w:rFonts w:hint="eastAsia" w:ascii="Times New Roman" w:hAnsi="Times New Roman" w:cs="Times New Roman"/>
                <w:color w:val="000000" w:themeColor="text1"/>
                <w:spacing w:val="-3"/>
                <w:sz w:val="21"/>
                <w:szCs w:val="21"/>
                <w:lang w:val="en-US" w:eastAsia="zh-CN"/>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：15</w:t>
            </w:r>
          </w:p>
        </w:tc>
        <w:tc>
          <w:tcPr>
            <w:tcW w:w="3028" w:type="pct"/>
            <w:gridSpan w:val="4"/>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最大爆炸压力</w:t>
            </w:r>
            <w:r>
              <w:rPr>
                <w:rFonts w:ascii="Times New Roman" w:hAnsi="Times New Roman" w:cs="Times New Roman"/>
                <w:color w:val="000000" w:themeColor="text1"/>
                <w:spacing w:val="-3"/>
                <w:sz w:val="21"/>
                <w:szCs w:val="21"/>
                <w14:textFill>
                  <w14:solidFill>
                    <w14:schemeClr w14:val="tx1"/>
                  </w14:solidFill>
                </w14:textFill>
              </w:rPr>
              <w:t>（M</w:t>
            </w:r>
            <w:r>
              <w:rPr>
                <w:rFonts w:ascii="Times New Roman" w:hAnsi="Times New Roman" w:cs="Times New Roman"/>
                <w:color w:val="000000" w:themeColor="text1"/>
                <w:spacing w:val="2"/>
                <w:sz w:val="21"/>
                <w:szCs w:val="21"/>
                <w14:textFill>
                  <w14:solidFill>
                    <w14:schemeClr w14:val="tx1"/>
                  </w14:solidFill>
                </w14:textFill>
              </w:rPr>
              <w:t>P</w:t>
            </w:r>
            <w:r>
              <w:rPr>
                <w:rFonts w:ascii="Times New Roman" w:hAnsi="Times New Roman" w:cs="Times New Roman"/>
                <w:color w:val="000000" w:themeColor="text1"/>
                <w:sz w:val="21"/>
                <w:szCs w:val="21"/>
                <w14:textFill>
                  <w14:solidFill>
                    <w14:schemeClr w14:val="tx1"/>
                  </w14:solidFill>
                </w14:textFill>
              </w:rPr>
              <w:t>a</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w:t>
            </w:r>
            <w:r>
              <w:rPr>
                <w:rFonts w:ascii="Times New Roman" w:hAnsi="Times New Roman" w:cs="Times New Roman"/>
                <w:color w:val="000000" w:themeColor="text1"/>
                <w:spacing w:val="-3"/>
                <w:sz w:val="21"/>
                <w:szCs w:val="21"/>
                <w14:textFill>
                  <w14:solidFill>
                    <w14:schemeClr w14:val="tx1"/>
                  </w14:solidFill>
                </w14:textFill>
              </w:rPr>
              <w:t>7</w:t>
            </w:r>
            <w:r>
              <w:rPr>
                <w:rFonts w:ascii="Times New Roman" w:hAnsi="Times New Roman" w:cs="Times New Roman"/>
                <w:color w:val="000000" w:themeColor="text1"/>
                <w:sz w:val="21"/>
                <w:szCs w:val="21"/>
                <w14:textFill>
                  <w14:solidFill>
                    <w14:schemeClr w14:val="tx1"/>
                  </w14:solidFill>
                </w14:textFill>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1733" w:type="pct"/>
            <w:gridSpan w:val="2"/>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29"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
                <w:sz w:val="21"/>
                <w:szCs w:val="21"/>
                <w14:textFill>
                  <w14:solidFill>
                    <w14:schemeClr w14:val="tx1"/>
                  </w14:solidFill>
                </w14:textFill>
              </w:rPr>
              <w:t>引燃温度</w:t>
            </w:r>
            <w:r>
              <w:rPr>
                <w:rFonts w:ascii="Times New Roman" w:hAnsi="Times New Roman" w:cs="Times New Roman"/>
                <w:color w:val="000000" w:themeColor="text1"/>
                <w:spacing w:val="-3"/>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：538</w:t>
            </w:r>
          </w:p>
        </w:tc>
        <w:tc>
          <w:tcPr>
            <w:tcW w:w="3028" w:type="pct"/>
            <w:gridSpan w:val="4"/>
            <w:tcBorders>
              <w:top w:val="single" w:color="000000" w:sz="4"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禁忌物：强氧化剂、氟、氯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危险特性： 易燃，与空气混合能形成爆炸性混合物，遇热源和明火有燃烧爆炸的危险。与五</w:t>
            </w:r>
          </w:p>
          <w:p>
            <w:pPr>
              <w:pStyle w:val="112"/>
              <w:keepNext w:val="0"/>
              <w:keepLines w:val="0"/>
              <w:suppressLineNumbers w:val="0"/>
              <w:spacing w:before="31"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氧化溴、氯气、次氯酸、三氟化氮、液氧、二氟化氧及其它强氧化剂接触剧烈反应。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239" w:type="pct"/>
            <w:vMerge w:val="continue"/>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rPr>
                <w:rFonts w:eastAsia="宋体" w:cs="Times New Roman"/>
                <w:color w:val="000000" w:themeColor="text1"/>
                <w:sz w:val="21"/>
                <w14:textFill>
                  <w14:solidFill>
                    <w14:schemeClr w14:val="tx1"/>
                  </w14:solidFill>
                </w14:textFill>
              </w:rPr>
            </w:pP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0" w:right="-29"/>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9"/>
                <w:sz w:val="21"/>
                <w:szCs w:val="21"/>
                <w14:textFill>
                  <w14:solidFill>
                    <w14:schemeClr w14:val="tx1"/>
                  </w14:solidFill>
                </w14:textFill>
              </w:rPr>
              <w:t xml:space="preserve">消防措施：切断气源。若不能立即切断气源，则不允许熄灭正在燃烧的气体。喷水冷却容器， </w:t>
            </w:r>
            <w:r>
              <w:rPr>
                <w:rFonts w:ascii="Times New Roman" w:hAnsi="Times New Roman" w:cs="Times New Roman"/>
                <w:color w:val="000000" w:themeColor="text1"/>
                <w:spacing w:val="-5"/>
                <w:sz w:val="21"/>
                <w:szCs w:val="21"/>
                <w14:textFill>
                  <w14:solidFill>
                    <w14:schemeClr w14:val="tx1"/>
                  </w14:solidFill>
                </w14:textFill>
              </w:rPr>
              <w:t>可能的话将容器从火场移至空旷处。灭火剂：雾状水、泡沫、二氧化碳、干粉。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9" w:type="pct"/>
            <w:tcBorders>
              <w:top w:val="single" w:color="000000" w:sz="4" w:space="0"/>
              <w:left w:val="nil"/>
              <w:bottom w:val="single" w:color="000000" w:sz="4" w:space="0"/>
              <w:right w:val="single" w:color="000000" w:sz="4" w:space="0"/>
            </w:tcBorders>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毒</w:t>
            </w: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性</w:t>
            </w: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接触</w:t>
            </w:r>
            <w:r>
              <w:rPr>
                <w:rFonts w:ascii="Times New Roman" w:hAnsi="Times New Roman" w:cs="Times New Roman"/>
                <w:color w:val="000000" w:themeColor="text1"/>
                <w:spacing w:val="-3"/>
                <w:sz w:val="21"/>
                <w:szCs w:val="21"/>
                <w14:textFill>
                  <w14:solidFill>
                    <w14:schemeClr w14:val="tx1"/>
                  </w14:solidFill>
                </w14:textFill>
              </w:rPr>
              <w:t>限</w:t>
            </w:r>
            <w:r>
              <w:rPr>
                <w:rFonts w:ascii="Times New Roman" w:hAnsi="Times New Roman" w:cs="Times New Roman"/>
                <w:color w:val="000000" w:themeColor="text1"/>
                <w:sz w:val="21"/>
                <w:szCs w:val="21"/>
                <w14:textFill>
                  <w14:solidFill>
                    <w14:schemeClr w14:val="tx1"/>
                  </w14:solidFill>
                </w14:textFill>
              </w:rPr>
              <w:t>值：</w:t>
            </w:r>
            <w:r>
              <w:rPr>
                <w:rFonts w:ascii="Times New Roman" w:hAnsi="Times New Roman" w:cs="Times New Roman"/>
                <w:color w:val="000000" w:themeColor="text1"/>
                <w:spacing w:val="-1"/>
                <w:sz w:val="21"/>
                <w:szCs w:val="21"/>
                <w14:textFill>
                  <w14:solidFill>
                    <w14:schemeClr w14:val="tx1"/>
                  </w14:solidFill>
                </w14:textFill>
              </w:rPr>
              <w:t> </w:t>
            </w:r>
            <w:r>
              <w:rPr>
                <w:rFonts w:ascii="Times New Roman" w:hAnsi="Times New Roman" w:cs="Times New Roman"/>
                <w:color w:val="000000" w:themeColor="text1"/>
                <w:spacing w:val="-3"/>
                <w:sz w:val="21"/>
                <w:szCs w:val="21"/>
                <w14:textFill>
                  <w14:solidFill>
                    <w14:schemeClr w14:val="tx1"/>
                  </w14:solidFill>
                </w14:textFill>
              </w:rPr>
              <w:t>中</w:t>
            </w:r>
            <w:r>
              <w:rPr>
                <w:rFonts w:ascii="Times New Roman" w:hAnsi="Times New Roman" w:cs="Times New Roman"/>
                <w:color w:val="000000" w:themeColor="text1"/>
                <w:sz w:val="21"/>
                <w:szCs w:val="21"/>
                <w14:textFill>
                  <w14:solidFill>
                    <w14:schemeClr w14:val="tx1"/>
                  </w14:solidFill>
                </w14:textFill>
              </w:rPr>
              <w:t>国</w:t>
            </w:r>
            <w:r>
              <w:rPr>
                <w:rFonts w:ascii="Times New Roman" w:hAnsi="Times New Roman" w:cs="Times New Roman"/>
                <w:color w:val="000000" w:themeColor="text1"/>
                <w:spacing w:val="-51"/>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MAC（mg/m</w:t>
            </w:r>
            <w:r>
              <w:rPr>
                <w:rFonts w:ascii="Times New Roman" w:hAnsi="Times New Roman" w:cs="Times New Roman"/>
                <w:color w:val="000000" w:themeColor="text1"/>
                <w:position w:val="7"/>
                <w:sz w:val="14"/>
                <w:szCs w:val="14"/>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未制定</w:t>
            </w:r>
            <w:r>
              <w:rPr>
                <w:rFonts w:ascii="Times New Roman" w:hAnsi="Times New Roman" w:cs="Times New Roman"/>
                <w:color w:val="000000" w:themeColor="text1"/>
                <w:spacing w:val="-3"/>
                <w:sz w:val="21"/>
                <w:szCs w:val="21"/>
                <w14:textFill>
                  <w14:solidFill>
                    <w14:schemeClr w14:val="tx1"/>
                  </w14:solidFill>
                </w14:textFill>
              </w:rPr>
              <w:t>标</w:t>
            </w:r>
            <w:r>
              <w:rPr>
                <w:rFonts w:ascii="Times New Roman" w:hAnsi="Times New Roman" w:cs="Times New Roman"/>
                <w:color w:val="000000" w:themeColor="text1"/>
                <w:sz w:val="21"/>
                <w:szCs w:val="21"/>
                <w14:textFill>
                  <w14:solidFill>
                    <w14:schemeClr w14:val="tx1"/>
                  </w14:solidFill>
                </w14:textFill>
              </w:rPr>
              <w:t>准</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前苏联</w:t>
            </w:r>
            <w:r>
              <w:rPr>
                <w:rFonts w:ascii="Times New Roman" w:hAnsi="Times New Roman" w:cs="Times New Roman"/>
                <w:color w:val="000000" w:themeColor="text1"/>
                <w:spacing w:val="-2"/>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MAC（mg/m</w:t>
            </w:r>
            <w:r>
              <w:rPr>
                <w:rFonts w:ascii="Times New Roman" w:hAnsi="Times New Roman" w:cs="Times New Roman"/>
                <w:color w:val="000000" w:themeColor="text1"/>
                <w:position w:val="7"/>
                <w:sz w:val="14"/>
                <w:szCs w:val="14"/>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 300</w:t>
            </w:r>
          </w:p>
          <w:p>
            <w:pPr>
              <w:pStyle w:val="112"/>
              <w:keepNext w:val="0"/>
              <w:keepLines w:val="0"/>
              <w:suppressLineNumbers w:val="0"/>
              <w:spacing w:before="31"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美</w:t>
            </w:r>
            <w:r>
              <w:rPr>
                <w:rFonts w:ascii="Times New Roman" w:hAnsi="Times New Roman" w:cs="Times New Roman"/>
                <w:color w:val="000000" w:themeColor="text1"/>
                <w:spacing w:val="50"/>
                <w:sz w:val="21"/>
                <w:szCs w:val="21"/>
                <w14:textFill>
                  <w14:solidFill>
                    <w14:schemeClr w14:val="tx1"/>
                  </w14:solidFill>
                </w14:textFill>
              </w:rPr>
              <w:t>国</w:t>
            </w:r>
            <w:r>
              <w:rPr>
                <w:rFonts w:ascii="Times New Roman" w:hAnsi="Times New Roman" w:cs="Times New Roman"/>
                <w:color w:val="000000" w:themeColor="text1"/>
                <w:spacing w:val="-5"/>
                <w:sz w:val="21"/>
                <w:szCs w:val="21"/>
                <w14:textFill>
                  <w14:solidFill>
                    <w14:schemeClr w14:val="tx1"/>
                  </w14:solidFill>
                </w14:textFill>
              </w:rPr>
              <w:t xml:space="preserve">TVL－TWA   </w:t>
            </w:r>
            <w:r>
              <w:rPr>
                <w:rFonts w:ascii="Times New Roman" w:hAnsi="Times New Roman" w:cs="Times New Roman"/>
                <w:color w:val="000000" w:themeColor="text1"/>
                <w:spacing w:val="8"/>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 xml:space="preserve">ACGIH </w:t>
            </w:r>
            <w:r>
              <w:rPr>
                <w:rFonts w:ascii="Times New Roman" w:hAnsi="Times New Roman" w:cs="Times New Roman"/>
                <w:color w:val="000000" w:themeColor="text1"/>
                <w:spacing w:val="7"/>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窒</w:t>
            </w:r>
            <w:r>
              <w:rPr>
                <w:rFonts w:ascii="Times New Roman" w:hAnsi="Times New Roman" w:cs="Times New Roman"/>
                <w:color w:val="000000" w:themeColor="text1"/>
                <w:spacing w:val="-3"/>
                <w:sz w:val="21"/>
                <w:szCs w:val="21"/>
                <w14:textFill>
                  <w14:solidFill>
                    <w14:schemeClr w14:val="tx1"/>
                  </w14:solidFill>
                </w14:textFill>
              </w:rPr>
              <w:t>息</w:t>
            </w:r>
            <w:r>
              <w:rPr>
                <w:rFonts w:ascii="Times New Roman" w:hAnsi="Times New Roman" w:cs="Times New Roman"/>
                <w:color w:val="000000" w:themeColor="text1"/>
                <w:sz w:val="21"/>
                <w:szCs w:val="21"/>
                <w14:textFill>
                  <w14:solidFill>
                    <w14:schemeClr w14:val="tx1"/>
                  </w14:solidFill>
                </w14:textFill>
              </w:rPr>
              <w:t>性</w:t>
            </w:r>
            <w:r>
              <w:rPr>
                <w:rFonts w:ascii="Times New Roman" w:hAnsi="Times New Roman" w:cs="Times New Roman"/>
                <w:color w:val="000000" w:themeColor="text1"/>
                <w:spacing w:val="-3"/>
                <w:sz w:val="21"/>
                <w:szCs w:val="21"/>
                <w14:textFill>
                  <w14:solidFill>
                    <w14:schemeClr w14:val="tx1"/>
                  </w14:solidFill>
                </w14:textFill>
              </w:rPr>
              <w:t>气</w:t>
            </w:r>
            <w:r>
              <w:rPr>
                <w:rFonts w:ascii="Times New Roman" w:hAnsi="Times New Roman" w:cs="Times New Roman"/>
                <w:color w:val="000000" w:themeColor="text1"/>
                <w:sz w:val="21"/>
                <w:szCs w:val="21"/>
                <w14:textFill>
                  <w14:solidFill>
                    <w14:schemeClr w14:val="tx1"/>
                  </w14:solidFill>
                </w14:textFill>
              </w:rPr>
              <w:t>体</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pacing w:val="-3"/>
                <w:sz w:val="21"/>
                <w:szCs w:val="21"/>
                <w14:textFill>
                  <w14:solidFill>
                    <w14:schemeClr w14:val="tx1"/>
                  </w14:solidFill>
                </w14:textFill>
              </w:rPr>
              <w:t>美</w:t>
            </w:r>
            <w:r>
              <w:rPr>
                <w:rFonts w:ascii="Times New Roman" w:hAnsi="Times New Roman" w:cs="Times New Roman"/>
                <w:color w:val="000000" w:themeColor="text1"/>
                <w:sz w:val="21"/>
                <w:szCs w:val="21"/>
                <w14:textFill>
                  <w14:solidFill>
                    <w14:schemeClr w14:val="tx1"/>
                  </w14:solidFill>
                </w14:textFill>
              </w:rPr>
              <w:t>国</w:t>
            </w:r>
            <w:r>
              <w:rPr>
                <w:rFonts w:ascii="Times New Roman" w:hAnsi="Times New Roman" w:cs="Times New Roman"/>
                <w:color w:val="000000" w:themeColor="text1"/>
                <w:spacing w:val="-50"/>
                <w:sz w:val="21"/>
                <w:szCs w:val="21"/>
                <w14:textFill>
                  <w14:solidFill>
                    <w14:schemeClr w14:val="tx1"/>
                  </w14:solidFill>
                </w14:textFill>
              </w:rPr>
              <w:t> </w:t>
            </w:r>
            <w:r>
              <w:rPr>
                <w:rFonts w:ascii="Times New Roman" w:hAnsi="Times New Roman" w:cs="Times New Roman"/>
                <w:color w:val="000000" w:themeColor="text1"/>
                <w:spacing w:val="-3"/>
                <w:sz w:val="21"/>
                <w:szCs w:val="21"/>
                <w14:textFill>
                  <w14:solidFill>
                    <w14:schemeClr w14:val="tx1"/>
                  </w14:solidFill>
                </w14:textFill>
              </w:rPr>
              <w:t>TLV－STEL</w:t>
            </w:r>
            <w:r>
              <w:rPr>
                <w:rFonts w:ascii="Times New Roman" w:hAnsi="Times New Roman" w:cs="Times New Roman"/>
                <w:color w:val="000000" w:themeColor="text1"/>
                <w:spacing w:val="-3"/>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未</w:t>
            </w:r>
            <w:r>
              <w:rPr>
                <w:rFonts w:ascii="Times New Roman" w:hAnsi="Times New Roman" w:cs="Times New Roman"/>
                <w:color w:val="000000" w:themeColor="text1"/>
                <w:spacing w:val="-3"/>
                <w:sz w:val="21"/>
                <w:szCs w:val="21"/>
                <w14:textFill>
                  <w14:solidFill>
                    <w14:schemeClr w14:val="tx1"/>
                  </w14:solidFill>
                </w14:textFill>
              </w:rPr>
              <w:t>制</w:t>
            </w:r>
            <w:r>
              <w:rPr>
                <w:rFonts w:ascii="Times New Roman" w:hAnsi="Times New Roman" w:cs="Times New Roman"/>
                <w:color w:val="000000" w:themeColor="text1"/>
                <w:sz w:val="21"/>
                <w:szCs w:val="21"/>
                <w14:textFill>
                  <w14:solidFill>
                    <w14:schemeClr w14:val="tx1"/>
                  </w14:solidFill>
                </w14:textFill>
              </w:rPr>
              <w:t>定</w:t>
            </w:r>
            <w:r>
              <w:rPr>
                <w:rFonts w:ascii="Times New Roman" w:hAnsi="Times New Roman" w:cs="Times New Roman"/>
                <w:color w:val="000000" w:themeColor="text1"/>
                <w:spacing w:val="-3"/>
                <w:sz w:val="21"/>
                <w:szCs w:val="21"/>
                <w14:textFill>
                  <w14:solidFill>
                    <w14:schemeClr w14:val="tx1"/>
                  </w14:solidFill>
                </w14:textFill>
              </w:rPr>
              <w:t>标</w:t>
            </w:r>
            <w:r>
              <w:rPr>
                <w:rFonts w:ascii="Times New Roman" w:hAnsi="Times New Roman" w:cs="Times New Roman"/>
                <w:color w:val="000000" w:themeColor="text1"/>
                <w:sz w:val="21"/>
                <w:szCs w:val="21"/>
                <w14:textFill>
                  <w14:solidFill>
                    <w14:schemeClr w14:val="tx1"/>
                  </w14:solidFill>
                </w14:textFill>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239" w:type="pct"/>
            <w:tcBorders>
              <w:top w:val="single" w:color="000000" w:sz="4" w:space="0"/>
              <w:left w:val="nil"/>
              <w:bottom w:val="single" w:color="000000" w:sz="4" w:space="0"/>
              <w:right w:val="single" w:color="000000" w:sz="4" w:space="0"/>
            </w:tcBorders>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对人体危</w:t>
            </w: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textAlignment w:val="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害</w:t>
            </w: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32"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侵入途径： 吸入。</w:t>
            </w:r>
          </w:p>
          <w:p>
            <w:pPr>
              <w:pStyle w:val="112"/>
              <w:keepNext w:val="0"/>
              <w:keepLines w:val="0"/>
              <w:suppressLineNumbers w:val="0"/>
              <w:spacing w:before="0" w:beforeAutospacing="0" w:after="0" w:afterAutospacing="0"/>
              <w:ind w:left="0" w:right="87"/>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4"/>
                <w:sz w:val="21"/>
                <w:szCs w:val="21"/>
                <w14:textFill>
                  <w14:solidFill>
                    <w14:schemeClr w14:val="tx1"/>
                  </w14:solidFill>
                </w14:textFill>
              </w:rPr>
              <w:t>健康危害：甲烷对人基本无毒，但浓度过高时，使空气中氧含量明显降低，使人窒息。当空</w:t>
            </w:r>
            <w:r>
              <w:rPr>
                <w:rFonts w:ascii="Times New Roman" w:hAnsi="Times New Roman" w:cs="Times New Roman"/>
                <w:color w:val="000000" w:themeColor="text1"/>
                <w:spacing w:val="-6"/>
                <w:sz w:val="21"/>
                <w:szCs w:val="21"/>
                <w14:textFill>
                  <w14:solidFill>
                    <w14:schemeClr w14:val="tx1"/>
                  </w14:solidFill>
                </w14:textFill>
              </w:rPr>
              <w:t xml:space="preserve">气中甲烷达 </w:t>
            </w:r>
            <w:r>
              <w:rPr>
                <w:rFonts w:ascii="Times New Roman" w:hAnsi="Times New Roman" w:cs="Times New Roman"/>
                <w:color w:val="000000" w:themeColor="text1"/>
                <w:sz w:val="21"/>
                <w:szCs w:val="21"/>
                <w14:textFill>
                  <w14:solidFill>
                    <w14:schemeClr w14:val="tx1"/>
                  </w14:solidFill>
                </w14:textFill>
              </w:rPr>
              <w:t>25％～30</w:t>
            </w:r>
            <w:r>
              <w:rPr>
                <w:rFonts w:ascii="Times New Roman" w:hAnsi="Times New Roman" w:cs="Times New Roman"/>
                <w:color w:val="000000" w:themeColor="text1"/>
                <w:spacing w:val="-5"/>
                <w:sz w:val="21"/>
                <w:szCs w:val="21"/>
                <w14:textFill>
                  <w14:solidFill>
                    <w14:schemeClr w14:val="tx1"/>
                  </w14:solidFill>
                </w14:textFill>
              </w:rPr>
              <w:t>％时，可引起头痛、头晕、乏力、注意力不集中、呼吸和心跳加速、共</w:t>
            </w:r>
            <w:r>
              <w:rPr>
                <w:rFonts w:ascii="Times New Roman" w:hAnsi="Times New Roman" w:cs="Times New Roman"/>
                <w:color w:val="000000" w:themeColor="text1"/>
                <w:spacing w:val="-4"/>
                <w:sz w:val="21"/>
                <w:szCs w:val="21"/>
                <w14:textFill>
                  <w14:solidFill>
                    <w14:schemeClr w14:val="tx1"/>
                  </w14:solidFill>
                </w14:textFill>
              </w:rPr>
              <w:t>济失调。若不及时脱离，可致窒息死亡。皮肤接触液化本品，可致冻伤。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239" w:type="pc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176" w:beforeAutospacing="0" w:after="0" w:afterAutospacing="0"/>
              <w:ind w:left="110" w:right="1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急救</w:t>
            </w: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皮肤冻伤：若有冻伤，就医治疗。</w:t>
            </w:r>
          </w:p>
          <w:p>
            <w:pPr>
              <w:pStyle w:val="112"/>
              <w:keepNext w:val="0"/>
              <w:keepLines w:val="0"/>
              <w:suppressLineNumbers w:val="0"/>
              <w:spacing w:before="0" w:beforeAutospacing="0" w:after="0" w:afterAutospacing="0"/>
              <w:ind w:left="0" w:right="87"/>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吸入：迅速脱离现场至空气新鲜处，保持呼吸道通畅。如呼吸困难，给输氧。如呼吸停止， 立即进行人工呼吸。就医。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239" w:type="pc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4" w:beforeAutospacing="0" w:after="0" w:afterAutospacing="0"/>
              <w:ind w:left="0" w:right="0"/>
              <w:rPr>
                <w:rFonts w:ascii="Times New Roman" w:hAnsi="Times New Roman" w:cs="Times New Roman"/>
                <w:b/>
                <w:bCs/>
                <w:color w:val="000000" w:themeColor="text1"/>
                <w:sz w:val="14"/>
                <w:szCs w:val="14"/>
                <w14:textFill>
                  <w14:solidFill>
                    <w14:schemeClr w14:val="tx1"/>
                  </w14:solidFill>
                </w14:textFill>
              </w:rPr>
            </w:pPr>
          </w:p>
          <w:p>
            <w:pPr>
              <w:pStyle w:val="112"/>
              <w:keepNext w:val="0"/>
              <w:keepLines w:val="0"/>
              <w:suppressLineNumbers w:val="0"/>
              <w:spacing w:before="0" w:beforeAutospacing="0" w:after="0" w:afterAutospacing="0"/>
              <w:ind w:left="110" w:right="1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防护</w:t>
            </w: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29"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工程防护：生产过程密闭，全面通风。</w:t>
            </w:r>
          </w:p>
          <w:p>
            <w:pPr>
              <w:pStyle w:val="112"/>
              <w:keepNext w:val="0"/>
              <w:keepLines w:val="0"/>
              <w:suppressLineNumbers w:val="0"/>
              <w:spacing w:before="0" w:beforeAutospacing="0" w:after="0" w:afterAutospacing="0"/>
              <w:ind w:left="0" w:right="-15"/>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7"/>
                <w:sz w:val="21"/>
                <w:szCs w:val="21"/>
                <w14:textFill>
                  <w14:solidFill>
                    <w14:schemeClr w14:val="tx1"/>
                  </w14:solidFill>
                </w14:textFill>
              </w:rPr>
              <w:t>个人防护： 一般不需要特殊防护，但建议特殊情况下，佩戴自吸过滤式防毒面具</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半面罩</w:t>
            </w:r>
            <w:r>
              <w:rPr>
                <w:rFonts w:ascii="Times New Roman" w:hAnsi="Times New Roman" w:cs="Times New Roman"/>
                <w:color w:val="000000" w:themeColor="text1"/>
                <w:spacing w:val="-108"/>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3"/>
                <w:sz w:val="21"/>
                <w:szCs w:val="21"/>
                <w14:textFill>
                  <w14:solidFill>
                    <w14:schemeClr w14:val="tx1"/>
                  </w14:solidFill>
                </w14:textFill>
              </w:rPr>
              <w:t>眼睛防护一般不需要特殊防护，高浓度接触时可戴安全防护眼镜，穿防静电工作服。戴一般作业防护手套。工作现场严禁吸烟。避免长期反复接触，进入罐、限制性空间或其它高浓度区作业，须有人监护。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239" w:type="pct"/>
            <w:tcBorders>
              <w:top w:val="single" w:color="000000" w:sz="4" w:space="0"/>
              <w:left w:val="nil"/>
              <w:bottom w:val="single" w:color="000000" w:sz="4" w:space="0"/>
              <w:right w:val="single" w:color="000000" w:sz="4" w:space="0"/>
            </w:tcBorders>
            <w:noWrap w:val="0"/>
            <w:vAlign w:val="top"/>
          </w:tcPr>
          <w:p>
            <w:pPr>
              <w:pStyle w:val="112"/>
              <w:keepNext w:val="0"/>
              <w:keepLines w:val="0"/>
              <w:suppressLineNumbers w:val="0"/>
              <w:spacing w:before="2" w:beforeAutospacing="0" w:after="0" w:afterAutospacing="0"/>
              <w:ind w:left="0" w:right="0"/>
              <w:rPr>
                <w:rFonts w:ascii="Times New Roman" w:hAnsi="Times New Roman" w:cs="Times New Roman"/>
                <w:b/>
                <w:bCs/>
                <w:color w:val="000000" w:themeColor="text1"/>
                <w:sz w:val="14"/>
                <w:szCs w:val="14"/>
                <w14:textFill>
                  <w14:solidFill>
                    <w14:schemeClr w14:val="tx1"/>
                  </w14:solidFill>
                </w14:textFill>
              </w:rPr>
            </w:pPr>
          </w:p>
          <w:p>
            <w:pPr>
              <w:pStyle w:val="112"/>
              <w:keepNext w:val="0"/>
              <w:keepLines w:val="0"/>
              <w:suppressLineNumbers w:val="0"/>
              <w:spacing w:before="0" w:beforeAutospacing="0" w:after="0" w:afterAutospacing="0"/>
              <w:ind w:left="110" w:right="10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泄漏处理</w:t>
            </w:r>
          </w:p>
        </w:tc>
        <w:tc>
          <w:tcPr>
            <w:tcW w:w="4761" w:type="pct"/>
            <w:gridSpan w:val="6"/>
            <w:tcBorders>
              <w:top w:val="single" w:color="000000" w:sz="4" w:space="0"/>
              <w:left w:val="nil"/>
              <w:bottom w:val="single" w:color="000000" w:sz="4" w:space="0"/>
              <w:right w:val="nil"/>
            </w:tcBorders>
            <w:noWrap w:val="0"/>
            <w:vAlign w:val="top"/>
          </w:tcPr>
          <w:p>
            <w:pPr>
              <w:pStyle w:val="112"/>
              <w:keepNext w:val="0"/>
              <w:keepLines w:val="0"/>
              <w:suppressLineNumbers w:val="0"/>
              <w:spacing w:before="0" w:beforeAutospacing="0" w:after="0" w:afterAutospacing="0"/>
              <w:ind w:left="0" w:right="87"/>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0" w:hRule="atLeast"/>
        </w:trPr>
        <w:tc>
          <w:tcPr>
            <w:tcW w:w="239" w:type="pct"/>
            <w:tcBorders>
              <w:top w:val="single" w:color="000000" w:sz="4" w:space="0"/>
              <w:left w:val="nil"/>
              <w:bottom w:val="single" w:color="000000" w:sz="12" w:space="0"/>
              <w:right w:val="single" w:color="000000" w:sz="4" w:space="0"/>
            </w:tcBorders>
            <w:noWrap w:val="0"/>
            <w:vAlign w:val="top"/>
          </w:tcPr>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0"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9" w:beforeAutospacing="0" w:after="0" w:afterAutospacing="0"/>
              <w:ind w:left="0" w:right="0"/>
              <w:rPr>
                <w:rFonts w:ascii="Times New Roman" w:hAnsi="Times New Roman" w:cs="Times New Roman"/>
                <w:b/>
                <w:bCs/>
                <w:color w:val="000000" w:themeColor="text1"/>
                <w:sz w:val="20"/>
                <w:szCs w:val="20"/>
                <w14:textFill>
                  <w14:solidFill>
                    <w14:schemeClr w14:val="tx1"/>
                  </w14:solidFill>
                </w14:textFill>
              </w:rPr>
            </w:pPr>
          </w:p>
          <w:p>
            <w:pPr>
              <w:pStyle w:val="112"/>
              <w:keepNext w:val="0"/>
              <w:keepLines w:val="0"/>
              <w:suppressLineNumbers w:val="0"/>
              <w:spacing w:before="1" w:beforeAutospacing="0" w:after="0" w:afterAutospacing="0"/>
              <w:ind w:left="110" w:right="10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贮运</w:t>
            </w:r>
          </w:p>
        </w:tc>
        <w:tc>
          <w:tcPr>
            <w:tcW w:w="4761" w:type="pct"/>
            <w:gridSpan w:val="6"/>
            <w:tcBorders>
              <w:top w:val="single" w:color="000000" w:sz="4" w:space="0"/>
              <w:left w:val="nil"/>
              <w:bottom w:val="single" w:color="000000" w:sz="12" w:space="0"/>
              <w:right w:val="nil"/>
            </w:tcBorders>
            <w:noWrap w:val="0"/>
            <w:vAlign w:val="top"/>
          </w:tcPr>
          <w:p>
            <w:pPr>
              <w:pStyle w:val="112"/>
              <w:keepNext w:val="0"/>
              <w:keepLines w:val="0"/>
              <w:suppressLineNumbers w:val="0"/>
              <w:spacing w:before="0"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包装</w:t>
            </w:r>
            <w:r>
              <w:rPr>
                <w:rFonts w:ascii="Times New Roman" w:hAnsi="Times New Roman" w:cs="Times New Roman"/>
                <w:color w:val="000000" w:themeColor="text1"/>
                <w:spacing w:val="-3"/>
                <w:sz w:val="21"/>
                <w:szCs w:val="21"/>
                <w14:textFill>
                  <w14:solidFill>
                    <w14:schemeClr w14:val="tx1"/>
                  </w14:solidFill>
                </w14:textFill>
              </w:rPr>
              <w:t>标</w:t>
            </w:r>
            <w:r>
              <w:rPr>
                <w:rFonts w:ascii="Times New Roman" w:hAnsi="Times New Roman" w:cs="Times New Roman"/>
                <w:color w:val="000000" w:themeColor="text1"/>
                <w:sz w:val="21"/>
                <w:szCs w:val="21"/>
                <w14:textFill>
                  <w14:solidFill>
                    <w14:schemeClr w14:val="tx1"/>
                  </w14:solidFill>
                </w14:textFill>
              </w:rPr>
              <w:t>志：4</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 xml:space="preserve">UN </w:t>
            </w:r>
            <w:r>
              <w:rPr>
                <w:rFonts w:ascii="Times New Roman" w:hAnsi="Times New Roman" w:cs="Times New Roman"/>
                <w:color w:val="000000" w:themeColor="text1"/>
                <w:spacing w:val="-3"/>
                <w:sz w:val="21"/>
                <w:szCs w:val="21"/>
                <w14:textFill>
                  <w14:solidFill>
                    <w14:schemeClr w14:val="tx1"/>
                  </w14:solidFill>
                </w14:textFill>
              </w:rPr>
              <w:t>编</w:t>
            </w:r>
            <w:r>
              <w:rPr>
                <w:rFonts w:ascii="Times New Roman" w:hAnsi="Times New Roman" w:cs="Times New Roman"/>
                <w:color w:val="000000" w:themeColor="text1"/>
                <w:sz w:val="21"/>
                <w:szCs w:val="21"/>
                <w14:textFill>
                  <w14:solidFill>
                    <w14:schemeClr w14:val="tx1"/>
                  </w14:solidFill>
                </w14:textFill>
              </w:rPr>
              <w:t>号：</w:t>
            </w:r>
            <w:r>
              <w:rPr>
                <w:rFonts w:ascii="Times New Roman" w:hAnsi="Times New Roman" w:cs="Times New Roman"/>
                <w:color w:val="000000" w:themeColor="text1"/>
                <w:spacing w:val="1"/>
                <w:sz w:val="21"/>
                <w:szCs w:val="21"/>
                <w14:textFill>
                  <w14:solidFill>
                    <w14:schemeClr w14:val="tx1"/>
                  </w14:solidFill>
                </w14:textFill>
              </w:rPr>
              <w:t> </w:t>
            </w:r>
            <w:r>
              <w:rPr>
                <w:rFonts w:ascii="Times New Roman" w:hAnsi="Times New Roman" w:cs="Times New Roman"/>
                <w:color w:val="000000" w:themeColor="text1"/>
                <w:sz w:val="21"/>
                <w:szCs w:val="21"/>
                <w14:textFill>
                  <w14:solidFill>
                    <w14:schemeClr w14:val="tx1"/>
                  </w14:solidFill>
                </w14:textFill>
              </w:rPr>
              <w:t>1971</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包</w:t>
            </w:r>
            <w:r>
              <w:rPr>
                <w:rFonts w:ascii="Times New Roman" w:hAnsi="Times New Roman" w:cs="Times New Roman"/>
                <w:color w:val="000000" w:themeColor="text1"/>
                <w:spacing w:val="-3"/>
                <w:sz w:val="21"/>
                <w:szCs w:val="21"/>
                <w14:textFill>
                  <w14:solidFill>
                    <w14:schemeClr w14:val="tx1"/>
                  </w14:solidFill>
                </w14:textFill>
              </w:rPr>
              <w:t>装</w:t>
            </w:r>
            <w:r>
              <w:rPr>
                <w:rFonts w:ascii="Times New Roman" w:hAnsi="Times New Roman" w:cs="Times New Roman"/>
                <w:color w:val="000000" w:themeColor="text1"/>
                <w:sz w:val="21"/>
                <w:szCs w:val="21"/>
                <w14:textFill>
                  <w14:solidFill>
                    <w14:schemeClr w14:val="tx1"/>
                  </w14:solidFill>
                </w14:textFill>
              </w:rPr>
              <w:t>分</w:t>
            </w:r>
            <w:r>
              <w:rPr>
                <w:rFonts w:ascii="Times New Roman" w:hAnsi="Times New Roman" w:cs="Times New Roman"/>
                <w:color w:val="000000" w:themeColor="text1"/>
                <w:spacing w:val="-3"/>
                <w:sz w:val="21"/>
                <w:szCs w:val="21"/>
                <w14:textFill>
                  <w14:solidFill>
                    <w14:schemeClr w14:val="tx1"/>
                  </w14:solidFill>
                </w14:textFill>
              </w:rPr>
              <w:t>类</w:t>
            </w:r>
            <w:r>
              <w:rPr>
                <w:rFonts w:ascii="Times New Roman" w:hAnsi="Times New Roman" w:cs="Times New Roman"/>
                <w:color w:val="000000" w:themeColor="text1"/>
                <w:sz w:val="21"/>
                <w:szCs w:val="21"/>
                <w14:textFill>
                  <w14:solidFill>
                    <w14:schemeClr w14:val="tx1"/>
                  </w14:solidFill>
                </w14:textFill>
              </w:rPr>
              <w:t>：Ⅱ</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pacing w:val="-3"/>
                <w:sz w:val="21"/>
                <w:szCs w:val="21"/>
                <w14:textFill>
                  <w14:solidFill>
                    <w14:schemeClr w14:val="tx1"/>
                  </w14:solidFill>
                </w14:textFill>
              </w:rPr>
              <w:t>包</w:t>
            </w:r>
            <w:r>
              <w:rPr>
                <w:rFonts w:ascii="Times New Roman" w:hAnsi="Times New Roman" w:cs="Times New Roman"/>
                <w:color w:val="000000" w:themeColor="text1"/>
                <w:sz w:val="21"/>
                <w:szCs w:val="21"/>
                <w14:textFill>
                  <w14:solidFill>
                    <w14:schemeClr w14:val="tx1"/>
                  </w14:solidFill>
                </w14:textFill>
              </w:rPr>
              <w:t>装</w:t>
            </w:r>
            <w:r>
              <w:rPr>
                <w:rFonts w:ascii="Times New Roman" w:hAnsi="Times New Roman" w:cs="Times New Roman"/>
                <w:color w:val="000000" w:themeColor="text1"/>
                <w:spacing w:val="-3"/>
                <w:sz w:val="21"/>
                <w:szCs w:val="21"/>
                <w14:textFill>
                  <w14:solidFill>
                    <w14:schemeClr w14:val="tx1"/>
                  </w14:solidFill>
                </w14:textFill>
              </w:rPr>
              <w:t>方</w:t>
            </w:r>
            <w:r>
              <w:rPr>
                <w:rFonts w:ascii="Times New Roman" w:hAnsi="Times New Roman" w:cs="Times New Roman"/>
                <w:color w:val="000000" w:themeColor="text1"/>
                <w:sz w:val="21"/>
                <w:szCs w:val="21"/>
                <w14:textFill>
                  <w14:solidFill>
                    <w14:schemeClr w14:val="tx1"/>
                  </w14:solidFill>
                </w14:textFill>
              </w:rPr>
              <w:t>法</w:t>
            </w:r>
            <w:r>
              <w:rPr>
                <w:rFonts w:ascii="Times New Roman" w:hAnsi="Times New Roman" w:cs="Times New Roman"/>
                <w:color w:val="000000" w:themeColor="text1"/>
                <w:spacing w:val="-3"/>
                <w:sz w:val="21"/>
                <w:szCs w:val="21"/>
                <w14:textFill>
                  <w14:solidFill>
                    <w14:schemeClr w14:val="tx1"/>
                  </w14:solidFill>
                </w14:textFill>
              </w:rPr>
              <w:t>：钢</w:t>
            </w:r>
            <w:r>
              <w:rPr>
                <w:rFonts w:ascii="Times New Roman" w:hAnsi="Times New Roman" w:cs="Times New Roman"/>
                <w:color w:val="000000" w:themeColor="text1"/>
                <w:sz w:val="21"/>
                <w:szCs w:val="21"/>
                <w14:textFill>
                  <w14:solidFill>
                    <w14:schemeClr w14:val="tx1"/>
                  </w14:solidFill>
                </w14:textFill>
              </w:rPr>
              <w:t>质气瓶</w:t>
            </w:r>
          </w:p>
          <w:p>
            <w:pPr>
              <w:pStyle w:val="112"/>
              <w:keepNext w:val="0"/>
              <w:keepLines w:val="0"/>
              <w:suppressLineNumbers w:val="0"/>
              <w:spacing w:before="0" w:beforeAutospacing="0" w:after="0" w:afterAutospacing="0"/>
              <w:ind w:left="0" w:right="-29"/>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11"/>
                <w:sz w:val="21"/>
                <w:szCs w:val="21"/>
                <w14:textFill>
                  <w14:solidFill>
                    <w14:schemeClr w14:val="tx1"/>
                  </w14:solidFill>
                </w14:textFill>
              </w:rPr>
              <w:t xml:space="preserve">储运条件：易燃压缩气体。储存于阴凉、通风仓间内。仓温不宜超过 </w:t>
            </w:r>
            <w:r>
              <w:rPr>
                <w:rFonts w:ascii="Times New Roman" w:hAnsi="Times New Roman" w:cs="Times New Roman"/>
                <w:color w:val="000000" w:themeColor="text1"/>
                <w:sz w:val="21"/>
                <w:szCs w:val="21"/>
                <w14:textFill>
                  <w14:solidFill>
                    <w14:schemeClr w14:val="tx1"/>
                  </w14:solidFill>
                </w14:textFill>
              </w:rPr>
              <w:t>30</w:t>
            </w:r>
            <w:r>
              <w:rPr>
                <w:rFonts w:ascii="Times New Roman" w:hAnsi="Times New Roman" w:cs="Times New Roman"/>
                <w:color w:val="000000" w:themeColor="text1"/>
                <w:spacing w:val="-8"/>
                <w:sz w:val="21"/>
                <w:szCs w:val="21"/>
                <w14:textFill>
                  <w14:solidFill>
                    <w14:schemeClr w14:val="tx1"/>
                  </w14:solidFill>
                </w14:textFill>
              </w:rPr>
              <w:t>℃。远离火种、热源。防止阳光直射。应与氧气、压缩空气、卤素</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2"/>
                <w:sz w:val="21"/>
                <w:szCs w:val="21"/>
                <w14:textFill>
                  <w14:solidFill>
                    <w14:schemeClr w14:val="tx1"/>
                  </w14:solidFill>
                </w14:textFill>
              </w:rPr>
              <w:t>氟、氯、溴</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pacing w:val="-1"/>
                <w:sz w:val="21"/>
                <w:szCs w:val="21"/>
                <w14:textFill>
                  <w14:solidFill>
                    <w14:schemeClr w14:val="tx1"/>
                  </w14:solidFill>
                </w14:textFill>
              </w:rPr>
              <w:t>等分开存放。切忌混储混运。储</w:t>
            </w:r>
            <w:r>
              <w:rPr>
                <w:rFonts w:ascii="Times New Roman" w:hAnsi="Times New Roman" w:cs="Times New Roman"/>
                <w:color w:val="000000" w:themeColor="text1"/>
                <w:spacing w:val="-3"/>
                <w:sz w:val="21"/>
                <w:szCs w:val="21"/>
                <w14:textFill>
                  <w14:solidFill>
                    <w14:schemeClr w14:val="tx1"/>
                  </w14:solidFill>
                </w14:textFill>
              </w:rPr>
              <w:t>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w:t>
            </w:r>
          </w:p>
          <w:p>
            <w:pPr>
              <w:pStyle w:val="112"/>
              <w:keepNext w:val="0"/>
              <w:keepLines w:val="0"/>
              <w:suppressLineNumbers w:val="0"/>
              <w:spacing w:before="8" w:beforeAutospacing="0" w:after="0" w:afterAutospacing="0"/>
              <w:ind w:left="0" w:right="0"/>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瓶及附件破损。</w:t>
            </w:r>
          </w:p>
        </w:tc>
      </w:tr>
    </w:tbl>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8</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干气（乙烷）理化性质和危险特性</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190"/>
        <w:gridCol w:w="1296"/>
        <w:gridCol w:w="1190"/>
        <w:gridCol w:w="1281"/>
        <w:gridCol w:w="1190"/>
        <w:gridCol w:w="1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品名</w:t>
            </w: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乙烷</w:t>
            </w:r>
          </w:p>
        </w:tc>
        <w:tc>
          <w:tcPr>
            <w:tcW w:w="70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别名</w:t>
            </w:r>
          </w:p>
        </w:tc>
        <w:tc>
          <w:tcPr>
            <w:tcW w:w="1337" w:type="pct"/>
            <w:gridSpan w:val="2"/>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英文名</w:t>
            </w:r>
          </w:p>
        </w:tc>
        <w:tc>
          <w:tcPr>
            <w:tcW w:w="102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Ethane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Merge w:val="restar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理化性质</w:t>
            </w: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分子式</w:t>
            </w:r>
          </w:p>
        </w:tc>
        <w:tc>
          <w:tcPr>
            <w:tcW w:w="70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C</w:t>
            </w:r>
            <w:r>
              <w:rPr>
                <w:rFonts w:eastAsia="宋体" w:cs="Times New Roman"/>
                <w:color w:val="000000" w:themeColor="text1"/>
                <w:sz w:val="21"/>
                <w:vertAlign w:val="subscript"/>
                <w14:textFill>
                  <w14:solidFill>
                    <w14:schemeClr w14:val="tx1"/>
                  </w14:solidFill>
                </w14:textFill>
              </w:rPr>
              <w:t>2</w:t>
            </w:r>
            <w:r>
              <w:rPr>
                <w:rFonts w:eastAsia="宋体" w:cs="Times New Roman"/>
                <w:color w:val="000000" w:themeColor="text1"/>
                <w:sz w:val="21"/>
                <w14:textFill>
                  <w14:solidFill>
                    <w14:schemeClr w14:val="tx1"/>
                  </w14:solidFill>
                </w14:textFill>
              </w:rPr>
              <w:t>H</w:t>
            </w:r>
            <w:r>
              <w:rPr>
                <w:rFonts w:eastAsia="宋体" w:cs="Times New Roman"/>
                <w:color w:val="000000" w:themeColor="text1"/>
                <w:sz w:val="21"/>
                <w:vertAlign w:val="subscript"/>
                <w14:textFill>
                  <w14:solidFill>
                    <w14:schemeClr w14:val="tx1"/>
                  </w14:solidFill>
                </w14:textFill>
              </w:rPr>
              <w:t>6</w:t>
            </w: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分子量</w:t>
            </w:r>
          </w:p>
        </w:tc>
        <w:tc>
          <w:tcPr>
            <w:tcW w:w="693"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30.07</w:t>
            </w: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熔点</w:t>
            </w:r>
          </w:p>
        </w:tc>
        <w:tc>
          <w:tcPr>
            <w:tcW w:w="102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r>
              <w:rPr>
                <w:rFonts w:hint="eastAsia" w:eastAsia="宋体" w:cs="Times New Roman"/>
                <w:color w:val="000000" w:themeColor="text1"/>
                <w:sz w:val="21"/>
                <w:lang w:val="en-US" w:eastAsia="zh-CN"/>
                <w14:textFill>
                  <w14:solidFill>
                    <w14:schemeClr w14:val="tx1"/>
                  </w14:solidFill>
                </w14:textFill>
              </w:rPr>
              <w:t>182.3</w:t>
            </w:r>
            <w:r>
              <w:rPr>
                <w:rFonts w:eastAsia="宋体" w:cs="Times New Roman"/>
                <w:color w:val="000000" w:themeColor="text1"/>
                <w:sz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沸点</w:t>
            </w:r>
          </w:p>
        </w:tc>
        <w:tc>
          <w:tcPr>
            <w:tcW w:w="701"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-88.6℃</w:t>
            </w: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相对密度</w:t>
            </w:r>
          </w:p>
        </w:tc>
        <w:tc>
          <w:tcPr>
            <w:tcW w:w="693"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空气=1：1.04；水=1：0.45</w:t>
            </w: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饱和蒸汽压</w:t>
            </w:r>
          </w:p>
        </w:tc>
        <w:tc>
          <w:tcPr>
            <w:tcW w:w="102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53.32kPa(-99.7℃)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vMerge w:val="continue"/>
            <w:noWrap w:val="0"/>
            <w:vAlign w:val="center"/>
          </w:tcPr>
          <w:p>
            <w:pPr>
              <w:keepNext w:val="0"/>
              <w:keepLines w:val="0"/>
              <w:widowControl/>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644"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溶解性</w:t>
            </w:r>
          </w:p>
        </w:tc>
        <w:tc>
          <w:tcPr>
            <w:tcW w:w="3709" w:type="pct"/>
            <w:gridSpan w:val="5"/>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不溶于水，微溶于乙醇、丙酮，溶于苯；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危险性</w:t>
            </w:r>
          </w:p>
        </w:tc>
        <w:tc>
          <w:tcPr>
            <w:tcW w:w="4353" w:type="pct"/>
            <w:gridSpan w:val="6"/>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2.1类易燃气体；易燃，与空气可形成爆炸性混合物。遇明火、热源有燃烧爆炸的危险。与氟、氯等接触会发生剧烈的化学反应。爆炸极限3.0%～</w:t>
            </w:r>
            <w:r>
              <w:rPr>
                <w:rFonts w:hint="eastAsia" w:eastAsia="宋体" w:cs="Times New Roman"/>
                <w:color w:val="000000" w:themeColor="text1"/>
                <w:sz w:val="21"/>
                <w:lang w:val="en-US" w:eastAsia="zh-CN"/>
                <w14:textFill>
                  <w14:solidFill>
                    <w14:schemeClr w14:val="tx1"/>
                  </w14:solidFill>
                </w14:textFill>
              </w:rPr>
              <w:t>16</w:t>
            </w:r>
            <w:r>
              <w:rPr>
                <w:rFonts w:eastAsia="宋体" w:cs="Times New Roman"/>
                <w:color w:val="000000" w:themeColor="text1"/>
                <w:sz w:val="21"/>
                <w14:textFill>
                  <w14:solidFill>
                    <w14:schemeClr w14:val="tx1"/>
                  </w14:solidFill>
                </w14:textFill>
              </w:rPr>
              <w:t>%；闪点：&lt;-50℃；引燃点：472℃。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毒理学资料</w:t>
            </w:r>
          </w:p>
        </w:tc>
        <w:tc>
          <w:tcPr>
            <w:tcW w:w="4353" w:type="pct"/>
            <w:gridSpan w:val="6"/>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有较强的麻醉作用。亚急性和慢性中毒,大鼠吸入11.5mg/m</w:t>
            </w:r>
            <w:r>
              <w:rPr>
                <w:rFonts w:eastAsia="宋体" w:cs="Times New Roman"/>
                <w:color w:val="000000" w:themeColor="text1"/>
                <w:sz w:val="21"/>
                <w:vertAlign w:val="superscript"/>
                <w14:textFill>
                  <w14:solidFill>
                    <w14:schemeClr w14:val="tx1"/>
                  </w14:solidFill>
                </w14:textFill>
              </w:rPr>
              <w:t>3</w:t>
            </w:r>
            <w:r>
              <w:rPr>
                <w:rFonts w:eastAsia="宋体" w:cs="Times New Roman"/>
                <w:color w:val="000000" w:themeColor="text1"/>
                <w:sz w:val="21"/>
                <w14:textFill>
                  <w14:solidFill>
                    <w14:schemeClr w14:val="tx1"/>
                  </w14:solidFill>
                </w14:textFill>
              </w:rPr>
              <w:t>,1年,生长发育与对照组有差别。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47"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eastAsia="宋体" w:cs="Times New Roman"/>
                <w:color w:val="000000" w:themeColor="text1"/>
                <w:sz w:val="21"/>
                <w:lang w:eastAsia="zh-CN"/>
                <w14:textFill>
                  <w14:solidFill>
                    <w14:schemeClr w14:val="tx1"/>
                  </w14:solidFill>
                </w14:textFill>
              </w:rPr>
              <w:t>有害燃烧产物</w:t>
            </w:r>
          </w:p>
        </w:tc>
        <w:tc>
          <w:tcPr>
            <w:tcW w:w="4353" w:type="pct"/>
            <w:gridSpan w:val="6"/>
            <w:noWrap w:val="0"/>
            <w:vAlign w:val="center"/>
          </w:tcPr>
          <w:p>
            <w:pPr>
              <w:keepNext w:val="0"/>
              <w:keepLines w:val="0"/>
              <w:suppressLineNumbers w:val="0"/>
              <w:spacing w:before="0" w:beforeAutospacing="0" w:after="0" w:afterAutospacing="0"/>
              <w:ind w:left="0" w:right="0"/>
              <w:jc w:val="left"/>
              <w:rPr>
                <w:rFonts w:hint="eastAsia" w:eastAsia="宋体" w:cs="Times New Roman"/>
                <w:color w:val="000000" w:themeColor="text1"/>
                <w:sz w:val="21"/>
                <w:lang w:eastAsia="zh-CN"/>
                <w14:textFill>
                  <w14:solidFill>
                    <w14:schemeClr w14:val="tx1"/>
                  </w14:solidFill>
                </w14:textFill>
              </w:rPr>
            </w:pPr>
            <w:r>
              <w:rPr>
                <w:rFonts w:hint="eastAsia" w:eastAsia="宋体" w:cs="Times New Roman"/>
                <w:color w:val="000000" w:themeColor="text1"/>
                <w:sz w:val="21"/>
                <w:lang w:eastAsia="zh-CN"/>
                <w14:textFill>
                  <w14:solidFill>
                    <w14:schemeClr w14:val="tx1"/>
                  </w14:solidFill>
                </w14:textFill>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4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泄漏应急处理措施</w:t>
            </w:r>
          </w:p>
        </w:tc>
        <w:tc>
          <w:tcPr>
            <w:tcW w:w="4353" w:type="pct"/>
            <w:gridSpan w:val="6"/>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迅速撤离泄漏污染区人员至上风处，并进行隔离，严格限制出入。切断火源。尽可能切断泄漏源，合理通风，加速扩散。喷雾状水稀释溶解。构筑围堤或挖坑收容产生的大量废水；如有可能将漏出气体引至空旷处烧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47" w:type="pct"/>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eastAsia="宋体" w:cs="Times New Roman"/>
                <w:color w:val="000000" w:themeColor="text1"/>
                <w:sz w:val="21"/>
                <w:lang w:eastAsia="zh-CN"/>
                <w14:textFill>
                  <w14:solidFill>
                    <w14:schemeClr w14:val="tx1"/>
                  </w14:solidFill>
                </w14:textFill>
              </w:rPr>
              <w:t>操作注意事项</w:t>
            </w:r>
          </w:p>
        </w:tc>
        <w:tc>
          <w:tcPr>
            <w:tcW w:w="4353" w:type="pct"/>
            <w:gridSpan w:val="6"/>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eastAsia="宋体" w:cs="Times New Roman"/>
                <w:color w:val="000000" w:themeColor="text1"/>
                <w:sz w:val="21"/>
                <w:lang w:eastAsia="zh-CN"/>
                <w14:textFill>
                  <w14:solidFill>
                    <w14:schemeClr w14:val="tx1"/>
                  </w14:solidFill>
                </w14:textFill>
              </w:rPr>
              <w:t>密闭操作，全面通风。操作人员必须经过专门培训，严格遵守操作规程。建议操作人员穿防静电工作服。远离火种、热源，工作场所严禁吸烟。使用防爆型的通风系统和设备。防止气体泄露到工作场所空气中。避免与氧化剂、卤素接触。在传送过程中，钢瓶和容器必须接地和跨接，防止产生静电。搬运时轻装轻卸，防止钢瓶及附件破损。配备相应品种和数量的消防器材及泄露应急处理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47"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储运注意</w:t>
            </w:r>
          </w:p>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事项</w:t>
            </w:r>
          </w:p>
        </w:tc>
        <w:tc>
          <w:tcPr>
            <w:tcW w:w="4353" w:type="pct"/>
            <w:gridSpan w:val="6"/>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远离火种、热源。防止阳光直射。罐储时应有防火防爆技术措施。运输时要轻装轻卸。</w:t>
            </w:r>
          </w:p>
        </w:tc>
      </w:tr>
    </w:tbl>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硫化氢</w:t>
      </w:r>
      <w:r>
        <w:rPr>
          <w:color w:val="000000" w:themeColor="text1"/>
          <w14:textFill>
            <w14:solidFill>
              <w14:schemeClr w14:val="tx1"/>
            </w14:solidFill>
          </w14:textFill>
        </w:rPr>
        <w:t>理化性质和危险特性</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5"/>
        <w:gridCol w:w="2269"/>
        <w:gridCol w:w="1328"/>
        <w:gridCol w:w="1173"/>
        <w:gridCol w:w="577"/>
        <w:gridCol w:w="3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restart"/>
            <w:tcBorders>
              <w:top w:val="single" w:color="000000" w:sz="12" w:space="0"/>
              <w:left w:val="nil"/>
              <w:bottom w:val="single" w:color="000000" w:sz="4" w:space="0"/>
            </w:tcBorders>
            <w:noWrap w:val="0"/>
            <w:vAlign w:val="top"/>
          </w:tcPr>
          <w:p>
            <w:pPr>
              <w:pStyle w:val="112"/>
              <w:keepNext w:val="0"/>
              <w:keepLines w:val="0"/>
              <w:suppressLineNumbers w:val="0"/>
              <w:spacing w:before="144" w:beforeAutospacing="0" w:after="0" w:afterAutospacing="0" w:line="232" w:lineRule="auto"/>
              <w:ind w:left="110" w:right="10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标识</w:t>
            </w:r>
          </w:p>
        </w:tc>
        <w:tc>
          <w:tcPr>
            <w:tcW w:w="0" w:type="auto"/>
            <w:gridSpan w:val="2"/>
            <w:tcBorders>
              <w:top w:val="single" w:color="000000" w:sz="12" w:space="0"/>
              <w:bottom w:val="single" w:color="000000" w:sz="4" w:space="0"/>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中文名： 硫化氢</w:t>
            </w:r>
          </w:p>
        </w:tc>
        <w:tc>
          <w:tcPr>
            <w:tcW w:w="0" w:type="auto"/>
            <w:gridSpan w:val="3"/>
            <w:tcBorders>
              <w:top w:val="single" w:color="000000" w:sz="12" w:space="0"/>
              <w:bottom w:val="single" w:color="000000" w:sz="4" w:space="0"/>
              <w:right w:val="nil"/>
            </w:tcBorders>
            <w:noWrap w:val="0"/>
            <w:vAlign w:val="top"/>
          </w:tcPr>
          <w:p>
            <w:pPr>
              <w:pStyle w:val="112"/>
              <w:keepNext w:val="0"/>
              <w:keepLines w:val="0"/>
              <w:suppressLineNumbers w:val="0"/>
              <w:spacing w:before="0" w:beforeAutospacing="0" w:after="0" w:afterAutospacing="0"/>
              <w:ind w:left="109"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英文名：</w:t>
            </w:r>
            <w:r>
              <w:rPr>
                <w:rFonts w:hint="default" w:ascii="Times New Roman" w:hAnsi="Times New Roman" w:eastAsia="Times New Roman" w:cs="Times New Roman"/>
                <w:color w:val="000000" w:themeColor="text1"/>
                <w:sz w:val="21"/>
                <w14:textFill>
                  <w14:solidFill>
                    <w14:schemeClr w14:val="tx1"/>
                  </w14:solidFill>
                </w14:textFill>
              </w:rPr>
              <w:t>hydrogen sulfide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0" w:beforeAutospacing="0" w:after="0" w:afterAutospacing="0" w:line="241" w:lineRule="exact"/>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position w:val="2"/>
                <w:sz w:val="21"/>
                <w14:textFill>
                  <w14:solidFill>
                    <w14:schemeClr w14:val="tx1"/>
                  </w14:solidFill>
                </w14:textFill>
              </w:rPr>
              <w:t xml:space="preserve">分子式： </w:t>
            </w:r>
            <w:r>
              <w:rPr>
                <w:rFonts w:hint="default" w:ascii="Times New Roman" w:hAnsi="Times New Roman" w:eastAsia="Times New Roman" w:cs="Times New Roman"/>
                <w:color w:val="000000" w:themeColor="text1"/>
                <w:position w:val="2"/>
                <w:sz w:val="21"/>
                <w14:textFill>
                  <w14:solidFill>
                    <w14:schemeClr w14:val="tx1"/>
                  </w14:solidFill>
                </w14:textFill>
              </w:rPr>
              <w:t>H</w:t>
            </w:r>
            <w:r>
              <w:rPr>
                <w:rFonts w:hint="default" w:ascii="Times New Roman" w:hAnsi="Times New Roman" w:eastAsia="Times New Roman" w:cs="Times New Roman"/>
                <w:color w:val="000000" w:themeColor="text1"/>
                <w:sz w:val="14"/>
                <w14:textFill>
                  <w14:solidFill>
                    <w14:schemeClr w14:val="tx1"/>
                  </w14:solidFill>
                </w14:textFill>
              </w:rPr>
              <w:t>2</w:t>
            </w:r>
            <w:r>
              <w:rPr>
                <w:rFonts w:hint="default" w:ascii="Times New Roman" w:hAnsi="Times New Roman" w:eastAsia="Times New Roman" w:cs="Times New Roman"/>
                <w:color w:val="000000" w:themeColor="text1"/>
                <w:position w:val="2"/>
                <w:sz w:val="21"/>
                <w14:textFill>
                  <w14:solidFill>
                    <w14:schemeClr w14:val="tx1"/>
                  </w14:solidFill>
                </w14:textFill>
              </w:rPr>
              <w:t>S</w:t>
            </w:r>
          </w:p>
        </w:tc>
        <w:tc>
          <w:tcPr>
            <w:tcW w:w="0" w:type="auto"/>
            <w:gridSpan w:val="3"/>
            <w:tcBorders>
              <w:top w:val="single" w:color="000000" w:sz="4" w:space="0"/>
              <w:bottom w:val="single" w:color="000000" w:sz="4" w:space="0"/>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分子量：</w:t>
            </w:r>
            <w:r>
              <w:rPr>
                <w:rFonts w:hint="default" w:ascii="Times New Roman" w:hAnsi="Times New Roman" w:eastAsia="Times New Roman" w:cs="Times New Roman"/>
                <w:color w:val="000000" w:themeColor="text1"/>
                <w:sz w:val="21"/>
                <w14:textFill>
                  <w14:solidFill>
                    <w14:schemeClr w14:val="tx1"/>
                  </w14:solidFill>
                </w14:textFill>
              </w:rPr>
              <w:t>34.08</w:t>
            </w:r>
          </w:p>
        </w:tc>
        <w:tc>
          <w:tcPr>
            <w:tcW w:w="0" w:type="auto"/>
            <w:tcBorders>
              <w:top w:val="single" w:color="000000" w:sz="4" w:space="0"/>
              <w:bottom w:val="single" w:color="000000" w:sz="4" w:space="0"/>
              <w:right w:val="nil"/>
            </w:tcBorders>
            <w:noWrap w:val="0"/>
            <w:vAlign w:val="top"/>
          </w:tcPr>
          <w:p>
            <w:pPr>
              <w:pStyle w:val="112"/>
              <w:keepNext w:val="0"/>
              <w:keepLines w:val="0"/>
              <w:suppressLineNumbers w:val="0"/>
              <w:spacing w:before="1" w:beforeAutospacing="0" w:after="0" w:afterAutospacing="0" w:line="240" w:lineRule="exact"/>
              <w:ind w:left="11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eastAsia="Times New Roman" w:cs="Times New Roman"/>
                <w:color w:val="000000" w:themeColor="text1"/>
                <w:sz w:val="21"/>
                <w14:textFill>
                  <w14:solidFill>
                    <w14:schemeClr w14:val="tx1"/>
                  </w14:solidFill>
                </w14:textFill>
              </w:rPr>
              <w:t xml:space="preserve">CAS </w:t>
            </w:r>
            <w:r>
              <w:rPr>
                <w:rFonts w:hint="default" w:ascii="Times New Roman" w:hAnsi="Times New Roman" w:cs="Times New Roman"/>
                <w:color w:val="000000" w:themeColor="text1"/>
                <w:sz w:val="21"/>
                <w14:textFill>
                  <w14:solidFill>
                    <w14:schemeClr w14:val="tx1"/>
                  </w14:solidFill>
                </w14:textFill>
              </w:rPr>
              <w:t>号：</w:t>
            </w:r>
            <w:r>
              <w:rPr>
                <w:rFonts w:hint="default" w:ascii="Times New Roman" w:hAnsi="Times New Roman" w:eastAsia="Times New Roman" w:cs="Times New Roman"/>
                <w:color w:val="000000" w:themeColor="text1"/>
                <w:sz w:val="21"/>
                <w14:textFill>
                  <w14:solidFill>
                    <w14:schemeClr w14:val="tx1"/>
                  </w14:solidFill>
                </w14:textFill>
              </w:rPr>
              <w:t>7783</w:t>
            </w:r>
            <w:r>
              <w:rPr>
                <w:rFonts w:hint="default" w:ascii="Times New Roman" w:hAnsi="Times New Roman" w:cs="Times New Roman"/>
                <w:color w:val="000000" w:themeColor="text1"/>
                <w:sz w:val="21"/>
                <w14:textFill>
                  <w14:solidFill>
                    <w14:schemeClr w14:val="tx1"/>
                  </w14:solidFill>
                </w14:textFill>
              </w:rPr>
              <w:t>－</w:t>
            </w:r>
            <w:r>
              <w:rPr>
                <w:rFonts w:hint="default" w:ascii="Times New Roman" w:hAnsi="Times New Roman" w:eastAsia="Times New Roman" w:cs="Times New Roman"/>
                <w:color w:val="000000" w:themeColor="text1"/>
                <w:sz w:val="21"/>
                <w14:textFill>
                  <w14:solidFill>
                    <w14:schemeClr w14:val="tx1"/>
                  </w14:solidFill>
                </w14:textFill>
              </w:rPr>
              <w:t>06</w:t>
            </w:r>
            <w:r>
              <w:rPr>
                <w:rFonts w:hint="default" w:ascii="Times New Roman" w:hAnsi="Times New Roman" w:cs="Times New Roman"/>
                <w:color w:val="000000" w:themeColor="text1"/>
                <w:sz w:val="21"/>
                <w14:textFill>
                  <w14:solidFill>
                    <w14:schemeClr w14:val="tx1"/>
                  </w14:solidFill>
                </w14:textFill>
              </w:rPr>
              <w:t>－</w:t>
            </w:r>
            <w:r>
              <w:rPr>
                <w:rFonts w:hint="default" w:ascii="Times New Roman" w:hAnsi="Times New Roman" w:eastAsia="Times New Roman" w:cs="Times New Roman"/>
                <w:color w:val="000000" w:themeColor="text1"/>
                <w:sz w:val="21"/>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危规号：</w:t>
            </w:r>
            <w:r>
              <w:rPr>
                <w:rFonts w:hint="default" w:ascii="Times New Roman" w:hAnsi="Times New Roman" w:eastAsia="Times New Roman" w:cs="Times New Roman"/>
                <w:color w:val="000000" w:themeColor="text1"/>
                <w:sz w:val="21"/>
                <w14:textFill>
                  <w14:solidFill>
                    <w14:schemeClr w14:val="tx1"/>
                  </w14:solidFill>
                </w14:textFill>
              </w:rPr>
              <w:t>21043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restart"/>
            <w:tcBorders>
              <w:top w:val="single" w:color="000000" w:sz="4" w:space="0"/>
              <w:left w:val="nil"/>
              <w:bottom w:val="single" w:color="000000" w:sz="4" w:space="0"/>
            </w:tcBorders>
            <w:noWrap w:val="0"/>
            <w:vAlign w:val="top"/>
          </w:tcPr>
          <w:p>
            <w:pPr>
              <w:pStyle w:val="112"/>
              <w:keepNext w:val="0"/>
              <w:keepLines w:val="0"/>
              <w:suppressLineNumbers w:val="0"/>
              <w:spacing w:before="156" w:beforeAutospacing="0" w:after="0" w:afterAutospacing="0" w:line="232" w:lineRule="auto"/>
              <w:ind w:left="110" w:right="10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理化性质</w:t>
            </w: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性状：无色有恶臭气体。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溶解性：溶于水、乙醇。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w w:val="100"/>
                <w:sz w:val="21"/>
                <w14:textFill>
                  <w14:solidFill>
                    <w14:schemeClr w14:val="tx1"/>
                  </w14:solidFill>
                </w14:textFill>
              </w:rPr>
              <w:t>熔点</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spacing w:val="-1"/>
                <w:w w:val="100"/>
                <w:sz w:val="21"/>
                <w14:textFill>
                  <w14:solidFill>
                    <w14:schemeClr w14:val="tx1"/>
                  </w14:solidFill>
                </w14:textFill>
              </w:rPr>
              <w:t>：－</w:t>
            </w:r>
            <w:r>
              <w:rPr>
                <w:rFonts w:hint="default" w:ascii="Times New Roman" w:hAnsi="Times New Roman" w:eastAsia="Times New Roman" w:cs="Times New Roman"/>
                <w:color w:val="000000" w:themeColor="text1"/>
                <w:spacing w:val="-3"/>
                <w:w w:val="100"/>
                <w:sz w:val="21"/>
                <w14:textFill>
                  <w14:solidFill>
                    <w14:schemeClr w14:val="tx1"/>
                  </w14:solidFill>
                </w14:textFill>
              </w:rPr>
              <w:t>8</w:t>
            </w:r>
            <w:r>
              <w:rPr>
                <w:rFonts w:hint="default" w:ascii="Times New Roman" w:hAnsi="Times New Roman" w:eastAsia="Times New Roman" w:cs="Times New Roman"/>
                <w:color w:val="000000" w:themeColor="text1"/>
                <w:w w:val="100"/>
                <w:sz w:val="21"/>
                <w14:textFill>
                  <w14:solidFill>
                    <w14:schemeClr w14:val="tx1"/>
                  </w14:solidFill>
                </w14:textFill>
              </w:rPr>
              <w:t>5.5</w:t>
            </w:r>
          </w:p>
        </w:tc>
        <w:tc>
          <w:tcPr>
            <w:tcW w:w="0" w:type="auto"/>
            <w:gridSpan w:val="2"/>
            <w:tcBorders>
              <w:top w:val="single" w:color="000000" w:sz="4" w:space="0"/>
              <w:bottom w:val="single" w:color="000000" w:sz="4" w:space="0"/>
            </w:tcBorders>
            <w:noWrap w:val="0"/>
            <w:vAlign w:val="top"/>
          </w:tcPr>
          <w:p>
            <w:pPr>
              <w:pStyle w:val="112"/>
              <w:keepNext w:val="0"/>
              <w:keepLines w:val="0"/>
              <w:suppressLineNumbers w:val="0"/>
              <w:spacing w:before="1" w:beforeAutospacing="0" w:after="0" w:afterAutospacing="0" w:line="240" w:lineRule="exact"/>
              <w:ind w:left="105"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w w:val="100"/>
                <w:sz w:val="21"/>
                <w14:textFill>
                  <w14:solidFill>
                    <w14:schemeClr w14:val="tx1"/>
                  </w14:solidFill>
                </w14:textFill>
              </w:rPr>
              <w:t>沸点</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spacing w:val="-1"/>
                <w:w w:val="100"/>
                <w:sz w:val="21"/>
                <w14:textFill>
                  <w14:solidFill>
                    <w14:schemeClr w14:val="tx1"/>
                  </w14:solidFill>
                </w14:textFill>
              </w:rPr>
              <w:t>：－</w:t>
            </w:r>
            <w:r>
              <w:rPr>
                <w:rFonts w:hint="default" w:ascii="Times New Roman" w:hAnsi="Times New Roman" w:eastAsia="Times New Roman" w:cs="Times New Roman"/>
                <w:color w:val="000000" w:themeColor="text1"/>
                <w:spacing w:val="-3"/>
                <w:w w:val="100"/>
                <w:sz w:val="21"/>
                <w14:textFill>
                  <w14:solidFill>
                    <w14:schemeClr w14:val="tx1"/>
                  </w14:solidFill>
                </w14:textFill>
              </w:rPr>
              <w:t>6</w:t>
            </w:r>
            <w:r>
              <w:rPr>
                <w:rFonts w:hint="default" w:ascii="Times New Roman" w:hAnsi="Times New Roman" w:eastAsia="Times New Roman" w:cs="Times New Roman"/>
                <w:color w:val="000000" w:themeColor="text1"/>
                <w:w w:val="100"/>
                <w:sz w:val="21"/>
                <w14:textFill>
                  <w14:solidFill>
                    <w14:schemeClr w14:val="tx1"/>
                  </w14:solidFill>
                </w14:textFill>
              </w:rPr>
              <w:t>0.4</w:t>
            </w:r>
          </w:p>
        </w:tc>
        <w:tc>
          <w:tcPr>
            <w:tcW w:w="0" w:type="auto"/>
            <w:gridSpan w:val="2"/>
            <w:tcBorders>
              <w:top w:val="single" w:color="000000" w:sz="4" w:space="0"/>
              <w:bottom w:val="single" w:color="000000" w:sz="4" w:space="0"/>
              <w:right w:val="nil"/>
            </w:tcBorders>
            <w:noWrap w:val="0"/>
            <w:vAlign w:val="top"/>
          </w:tcPr>
          <w:p>
            <w:pPr>
              <w:pStyle w:val="112"/>
              <w:keepNext w:val="0"/>
              <w:keepLines w:val="0"/>
              <w:suppressLineNumbers w:val="0"/>
              <w:spacing w:before="1" w:beforeAutospacing="0" w:after="0" w:afterAutospacing="0" w:line="240" w:lineRule="exact"/>
              <w:ind w:left="109"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相对密度</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水</w:t>
            </w:r>
            <w:r>
              <w:rPr>
                <w:rFonts w:hint="default" w:ascii="Times New Roman" w:hAnsi="Times New Roman" w:cs="Times New Roman"/>
                <w:color w:val="000000" w:themeColor="text1"/>
                <w:spacing w:val="-2"/>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1</w:t>
            </w:r>
            <w:r>
              <w:rPr>
                <w:rFonts w:hint="default" w:ascii="Times New Roman" w:hAnsi="Times New Roman" w:cs="Times New Roman"/>
                <w:color w:val="000000" w:themeColor="text1"/>
                <w:spacing w:val="-106"/>
                <w:w w:val="100"/>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临界温度</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10</w:t>
            </w:r>
            <w:r>
              <w:rPr>
                <w:rFonts w:hint="default" w:ascii="Times New Roman" w:hAnsi="Times New Roman" w:eastAsia="Times New Roman" w:cs="Times New Roman"/>
                <w:color w:val="000000" w:themeColor="text1"/>
                <w:spacing w:val="-3"/>
                <w:w w:val="100"/>
                <w:sz w:val="21"/>
                <w14:textFill>
                  <w14:solidFill>
                    <w14:schemeClr w14:val="tx1"/>
                  </w14:solidFill>
                </w14:textFill>
              </w:rPr>
              <w:t>0</w:t>
            </w:r>
            <w:r>
              <w:rPr>
                <w:rFonts w:hint="default" w:ascii="Times New Roman" w:hAnsi="Times New Roman" w:eastAsia="Times New Roman" w:cs="Times New Roman"/>
                <w:color w:val="000000" w:themeColor="text1"/>
                <w:w w:val="100"/>
                <w:sz w:val="21"/>
                <w14:textFill>
                  <w14:solidFill>
                    <w14:schemeClr w14:val="tx1"/>
                  </w14:solidFill>
                </w14:textFill>
              </w:rPr>
              <w:t>.4</w:t>
            </w:r>
          </w:p>
        </w:tc>
        <w:tc>
          <w:tcPr>
            <w:tcW w:w="0" w:type="auto"/>
            <w:gridSpan w:val="2"/>
            <w:tcBorders>
              <w:top w:val="single" w:color="000000" w:sz="4" w:space="0"/>
              <w:bottom w:val="single" w:color="000000" w:sz="4" w:space="0"/>
            </w:tcBorders>
            <w:noWrap w:val="0"/>
            <w:vAlign w:val="top"/>
          </w:tcPr>
          <w:p>
            <w:pPr>
              <w:pStyle w:val="112"/>
              <w:keepNext w:val="0"/>
              <w:keepLines w:val="0"/>
              <w:suppressLineNumbers w:val="0"/>
              <w:spacing w:before="0" w:beforeAutospacing="0" w:after="0" w:afterAutospacing="0"/>
              <w:ind w:left="105"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临界压力</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eastAsia="Times New Roman" w:cs="Times New Roman"/>
                <w:color w:val="000000" w:themeColor="text1"/>
                <w:spacing w:val="-3"/>
                <w:w w:val="100"/>
                <w:sz w:val="21"/>
                <w14:textFill>
                  <w14:solidFill>
                    <w14:schemeClr w14:val="tx1"/>
                  </w14:solidFill>
                </w14:textFill>
              </w:rPr>
              <w:t>M</w:t>
            </w:r>
            <w:r>
              <w:rPr>
                <w:rFonts w:hint="default" w:ascii="Times New Roman" w:hAnsi="Times New Roman" w:eastAsia="Times New Roman" w:cs="Times New Roman"/>
                <w:color w:val="000000" w:themeColor="text1"/>
                <w:spacing w:val="2"/>
                <w:w w:val="100"/>
                <w:sz w:val="21"/>
                <w14:textFill>
                  <w14:solidFill>
                    <w14:schemeClr w14:val="tx1"/>
                  </w14:solidFill>
                </w14:textFill>
              </w:rPr>
              <w:t>P</w:t>
            </w:r>
            <w:r>
              <w:rPr>
                <w:rFonts w:hint="default" w:ascii="Times New Roman" w:hAnsi="Times New Roman" w:eastAsia="Times New Roman" w:cs="Times New Roman"/>
                <w:color w:val="000000" w:themeColor="text1"/>
                <w:w w:val="100"/>
                <w:sz w:val="21"/>
                <w14:textFill>
                  <w14:solidFill>
                    <w14:schemeClr w14:val="tx1"/>
                  </w14:solidFill>
                </w14:textFill>
              </w:rPr>
              <w:t>a</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9</w:t>
            </w:r>
            <w:r>
              <w:rPr>
                <w:rFonts w:hint="default" w:ascii="Times New Roman" w:hAnsi="Times New Roman" w:eastAsia="Times New Roman" w:cs="Times New Roman"/>
                <w:color w:val="000000" w:themeColor="text1"/>
                <w:spacing w:val="-3"/>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01</w:t>
            </w:r>
          </w:p>
        </w:tc>
        <w:tc>
          <w:tcPr>
            <w:tcW w:w="0" w:type="auto"/>
            <w:gridSpan w:val="2"/>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109"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相对密度</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cs="Times New Roman"/>
                <w:color w:val="000000" w:themeColor="text1"/>
                <w:spacing w:val="-2"/>
                <w:w w:val="100"/>
                <w:sz w:val="21"/>
                <w14:textFill>
                  <w14:solidFill>
                    <w14:schemeClr w14:val="tx1"/>
                  </w14:solidFill>
                </w14:textFill>
              </w:rPr>
              <w:t>空气</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1</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1</w:t>
            </w:r>
            <w:r>
              <w:rPr>
                <w:rFonts w:hint="default" w:ascii="Times New Roman" w:hAnsi="Times New Roman" w:eastAsia="Times New Roman" w:cs="Times New Roman"/>
                <w:color w:val="000000" w:themeColor="text1"/>
                <w:spacing w:val="-3"/>
                <w:w w:val="100"/>
                <w:sz w:val="21"/>
                <w14:textFill>
                  <w14:solidFill>
                    <w14:schemeClr w14:val="tx1"/>
                  </w14:solidFill>
                </w14:textFill>
              </w:rPr>
              <w:t>.1</w:t>
            </w:r>
            <w:r>
              <w:rPr>
                <w:rFonts w:hint="default" w:ascii="Times New Roman" w:hAnsi="Times New Roman" w:eastAsia="Times New Roman" w:cs="Times New Roman"/>
                <w:color w:val="000000" w:themeColor="text1"/>
                <w:w w:val="100"/>
                <w:sz w:val="21"/>
                <w14:textFill>
                  <w14:solidFill>
                    <w14:schemeClr w14:val="tx1"/>
                  </w14:solidFill>
                </w14:textFill>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燃烧热（</w:t>
            </w:r>
            <w:r>
              <w:rPr>
                <w:rFonts w:hint="default" w:ascii="Times New Roman" w:hAnsi="Times New Roman" w:eastAsia="Times New Roman" w:cs="Times New Roman"/>
                <w:color w:val="000000" w:themeColor="text1"/>
                <w:spacing w:val="-4"/>
                <w:w w:val="100"/>
                <w:sz w:val="21"/>
                <w14:textFill>
                  <w14:solidFill>
                    <w14:schemeClr w14:val="tx1"/>
                  </w14:solidFill>
                </w14:textFill>
              </w:rPr>
              <w:t>K</w:t>
            </w:r>
            <w:r>
              <w:rPr>
                <w:rFonts w:hint="default" w:ascii="Times New Roman" w:hAnsi="Times New Roman" w:eastAsia="Times New Roman" w:cs="Times New Roman"/>
                <w:color w:val="000000" w:themeColor="text1"/>
                <w:spacing w:val="1"/>
                <w:w w:val="100"/>
                <w:sz w:val="21"/>
                <w14:textFill>
                  <w14:solidFill>
                    <w14:schemeClr w14:val="tx1"/>
                  </w14:solidFill>
                </w14:textFill>
              </w:rPr>
              <w:t>J</w:t>
            </w:r>
            <w:r>
              <w:rPr>
                <w:rFonts w:hint="default" w:ascii="Times New Roman" w:hAnsi="Times New Roman" w:eastAsia="Times New Roman" w:cs="Times New Roman"/>
                <w:color w:val="000000" w:themeColor="text1"/>
                <w:spacing w:val="-2"/>
                <w:w w:val="100"/>
                <w:sz w:val="21"/>
                <w14:textFill>
                  <w14:solidFill>
                    <w14:schemeClr w14:val="tx1"/>
                  </w14:solidFill>
                </w14:textFill>
              </w:rPr>
              <w:t>/</w:t>
            </w:r>
            <w:r>
              <w:rPr>
                <w:rFonts w:hint="default" w:ascii="Times New Roman" w:hAnsi="Times New Roman" w:eastAsia="Times New Roman" w:cs="Times New Roman"/>
                <w:color w:val="000000" w:themeColor="text1"/>
                <w:spacing w:val="-4"/>
                <w:w w:val="100"/>
                <w:sz w:val="21"/>
                <w14:textFill>
                  <w14:solidFill>
                    <w14:schemeClr w14:val="tx1"/>
                  </w14:solidFill>
                </w14:textFill>
              </w:rPr>
              <w:t>m</w:t>
            </w:r>
            <w:r>
              <w:rPr>
                <w:rFonts w:hint="default" w:ascii="Times New Roman" w:hAnsi="Times New Roman" w:eastAsia="Times New Roman" w:cs="Times New Roman"/>
                <w:color w:val="000000" w:themeColor="text1"/>
                <w:w w:val="100"/>
                <w:sz w:val="21"/>
                <w14:textFill>
                  <w14:solidFill>
                    <w14:schemeClr w14:val="tx1"/>
                  </w14:solidFill>
                </w14:textFill>
              </w:rPr>
              <w:t>o</w:t>
            </w:r>
            <w:r>
              <w:rPr>
                <w:rFonts w:hint="default" w:ascii="Times New Roman" w:hAnsi="Times New Roman" w:eastAsia="Times New Roman" w:cs="Times New Roman"/>
                <w:color w:val="000000" w:themeColor="text1"/>
                <w:spacing w:val="-1"/>
                <w:w w:val="100"/>
                <w:sz w:val="21"/>
                <w14:textFill>
                  <w14:solidFill>
                    <w14:schemeClr w14:val="tx1"/>
                  </w14:solidFill>
                </w14:textFill>
              </w:rPr>
              <w:t>l</w:t>
            </w:r>
            <w:r>
              <w:rPr>
                <w:rFonts w:hint="default" w:ascii="Times New Roman" w:hAnsi="Times New Roman" w:cs="Times New Roman"/>
                <w:color w:val="000000" w:themeColor="text1"/>
                <w:spacing w:val="-106"/>
                <w:w w:val="100"/>
                <w:sz w:val="21"/>
                <w14:textFill>
                  <w14:solidFill>
                    <w14:schemeClr w14:val="tx1"/>
                  </w14:solidFill>
                </w14:textFill>
              </w:rPr>
              <w:t>）：</w:t>
            </w:r>
          </w:p>
        </w:tc>
        <w:tc>
          <w:tcPr>
            <w:tcW w:w="0" w:type="auto"/>
            <w:gridSpan w:val="2"/>
            <w:tcBorders>
              <w:top w:val="single" w:color="000000" w:sz="4" w:space="0"/>
              <w:bottom w:val="single" w:color="000000" w:sz="4" w:space="0"/>
            </w:tcBorders>
            <w:noWrap w:val="0"/>
            <w:vAlign w:val="top"/>
          </w:tcPr>
          <w:p>
            <w:pPr>
              <w:pStyle w:val="112"/>
              <w:keepNext w:val="0"/>
              <w:keepLines w:val="0"/>
              <w:suppressLineNumbers w:val="0"/>
              <w:spacing w:before="1" w:beforeAutospacing="0" w:after="0" w:afterAutospacing="0" w:line="240" w:lineRule="exact"/>
              <w:ind w:left="105"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5"/>
                <w:w w:val="100"/>
                <w:sz w:val="21"/>
                <w14:textFill>
                  <w14:solidFill>
                    <w14:schemeClr w14:val="tx1"/>
                  </w14:solidFill>
                </w14:textFill>
              </w:rPr>
              <w:t>最小点火能</w:t>
            </w:r>
            <w:r>
              <w:rPr>
                <w:rFonts w:hint="default" w:ascii="Times New Roman" w:hAnsi="Times New Roman" w:cs="Times New Roman"/>
                <w:color w:val="000000" w:themeColor="text1"/>
                <w:spacing w:val="-1"/>
                <w:w w:val="100"/>
                <w:sz w:val="21"/>
                <w14:textFill>
                  <w14:solidFill>
                    <w14:schemeClr w14:val="tx1"/>
                  </w14:solidFill>
                </w14:textFill>
              </w:rPr>
              <w:t>（</w:t>
            </w:r>
            <w:r>
              <w:rPr>
                <w:rFonts w:hint="default" w:ascii="Times New Roman" w:hAnsi="Times New Roman" w:eastAsia="Times New Roman" w:cs="Times New Roman"/>
                <w:color w:val="000000" w:themeColor="text1"/>
                <w:spacing w:val="-4"/>
                <w:w w:val="100"/>
                <w:sz w:val="21"/>
                <w14:textFill>
                  <w14:solidFill>
                    <w14:schemeClr w14:val="tx1"/>
                  </w14:solidFill>
                </w14:textFill>
              </w:rPr>
              <w:t>m</w:t>
            </w:r>
            <w:r>
              <w:rPr>
                <w:rFonts w:hint="default" w:ascii="Times New Roman" w:hAnsi="Times New Roman" w:eastAsia="Times New Roman" w:cs="Times New Roman"/>
                <w:color w:val="000000" w:themeColor="text1"/>
                <w:spacing w:val="2"/>
                <w:w w:val="100"/>
                <w:sz w:val="21"/>
                <w14:textFill>
                  <w14:solidFill>
                    <w14:schemeClr w14:val="tx1"/>
                  </w14:solidFill>
                </w14:textFill>
              </w:rPr>
              <w:t>J</w:t>
            </w:r>
            <w:r>
              <w:rPr>
                <w:rFonts w:hint="default" w:ascii="Times New Roman" w:hAnsi="Times New Roman" w:cs="Times New Roman"/>
                <w:color w:val="000000" w:themeColor="text1"/>
                <w:spacing w:val="-106"/>
                <w:w w:val="100"/>
                <w:sz w:val="21"/>
                <w14:textFill>
                  <w14:solidFill>
                    <w14:schemeClr w14:val="tx1"/>
                  </w14:solidFill>
                </w14:textFill>
              </w:rPr>
              <w:t>）</w:t>
            </w:r>
            <w:r>
              <w:rPr>
                <w:rFonts w:hint="default" w:ascii="Times New Roman" w:hAnsi="Times New Roman" w:cs="Times New Roman"/>
                <w:color w:val="000000" w:themeColor="text1"/>
                <w:spacing w:val="-65"/>
                <w:w w:val="100"/>
                <w:sz w:val="21"/>
                <w14:textFill>
                  <w14:solidFill>
                    <w14:schemeClr w14:val="tx1"/>
                  </w14:solidFill>
                </w14:textFill>
              </w:rPr>
              <w:t>：</w:t>
            </w:r>
            <w:r>
              <w:rPr>
                <w:rFonts w:hint="default" w:ascii="Times New Roman" w:hAnsi="Times New Roman" w:eastAsia="Times New Roman" w:cs="Times New Roman"/>
                <w:color w:val="000000" w:themeColor="text1"/>
                <w:spacing w:val="-3"/>
                <w:w w:val="100"/>
                <w:sz w:val="21"/>
                <w14:textFill>
                  <w14:solidFill>
                    <w14:schemeClr w14:val="tx1"/>
                  </w14:solidFill>
                </w14:textFill>
              </w:rPr>
              <w:t>0</w:t>
            </w:r>
            <w:r>
              <w:rPr>
                <w:rFonts w:hint="default" w:ascii="Times New Roman" w:hAnsi="Times New Roman" w:eastAsia="Times New Roman" w:cs="Times New Roman"/>
                <w:color w:val="000000" w:themeColor="text1"/>
                <w:w w:val="100"/>
                <w:sz w:val="21"/>
                <w14:textFill>
                  <w14:solidFill>
                    <w14:schemeClr w14:val="tx1"/>
                  </w14:solidFill>
                </w14:textFill>
              </w:rPr>
              <w:t>.077</w:t>
            </w:r>
          </w:p>
        </w:tc>
        <w:tc>
          <w:tcPr>
            <w:tcW w:w="0" w:type="auto"/>
            <w:gridSpan w:val="2"/>
            <w:tcBorders>
              <w:top w:val="single" w:color="000000" w:sz="4" w:space="0"/>
              <w:bottom w:val="single" w:color="000000" w:sz="4" w:space="0"/>
              <w:right w:val="nil"/>
            </w:tcBorders>
            <w:noWrap w:val="0"/>
            <w:vAlign w:val="top"/>
          </w:tcPr>
          <w:p>
            <w:pPr>
              <w:pStyle w:val="112"/>
              <w:keepNext w:val="0"/>
              <w:keepLines w:val="0"/>
              <w:suppressLineNumbers w:val="0"/>
              <w:spacing w:before="1" w:beforeAutospacing="0" w:after="0" w:afterAutospacing="0" w:line="240" w:lineRule="exact"/>
              <w:ind w:left="109"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2"/>
                <w:w w:val="100"/>
                <w:sz w:val="21"/>
                <w14:textFill>
                  <w14:solidFill>
                    <w14:schemeClr w14:val="tx1"/>
                  </w14:solidFill>
                </w14:textFill>
              </w:rPr>
              <w:t>饱和蒸汽压</w:t>
            </w:r>
            <w:r>
              <w:rPr>
                <w:rFonts w:hint="default" w:ascii="Times New Roman" w:hAnsi="Times New Roman" w:cs="Times New Roman"/>
                <w:color w:val="000000" w:themeColor="text1"/>
                <w:spacing w:val="-1"/>
                <w:w w:val="100"/>
                <w:sz w:val="21"/>
                <w14:textFill>
                  <w14:solidFill>
                    <w14:schemeClr w14:val="tx1"/>
                  </w14:solidFill>
                </w14:textFill>
              </w:rPr>
              <w:t>（</w:t>
            </w:r>
            <w:r>
              <w:rPr>
                <w:rFonts w:hint="default" w:ascii="Times New Roman" w:hAnsi="Times New Roman" w:eastAsia="Times New Roman" w:cs="Times New Roman"/>
                <w:color w:val="000000" w:themeColor="text1"/>
                <w:spacing w:val="-4"/>
                <w:w w:val="100"/>
                <w:sz w:val="21"/>
                <w14:textFill>
                  <w14:solidFill>
                    <w14:schemeClr w14:val="tx1"/>
                  </w14:solidFill>
                </w14:textFill>
              </w:rPr>
              <w:t>K</w:t>
            </w:r>
            <w:r>
              <w:rPr>
                <w:rFonts w:hint="default" w:ascii="Times New Roman" w:hAnsi="Times New Roman" w:eastAsia="Times New Roman" w:cs="Times New Roman"/>
                <w:color w:val="000000" w:themeColor="text1"/>
                <w:spacing w:val="2"/>
                <w:w w:val="100"/>
                <w:sz w:val="21"/>
                <w14:textFill>
                  <w14:solidFill>
                    <w14:schemeClr w14:val="tx1"/>
                  </w14:solidFill>
                </w14:textFill>
              </w:rPr>
              <w:t>P</w:t>
            </w:r>
            <w:r>
              <w:rPr>
                <w:rFonts w:hint="default" w:ascii="Times New Roman" w:hAnsi="Times New Roman" w:eastAsia="Times New Roman" w:cs="Times New Roman"/>
                <w:color w:val="000000" w:themeColor="text1"/>
                <w:spacing w:val="-2"/>
                <w:w w:val="100"/>
                <w:sz w:val="21"/>
                <w14:textFill>
                  <w14:solidFill>
                    <w14:schemeClr w14:val="tx1"/>
                  </w14:solidFill>
                </w14:textFill>
              </w:rPr>
              <w:t>a</w:t>
            </w:r>
            <w:r>
              <w:rPr>
                <w:rFonts w:hint="default" w:ascii="Times New Roman" w:hAnsi="Times New Roman" w:cs="Times New Roman"/>
                <w:color w:val="000000" w:themeColor="text1"/>
                <w:spacing w:val="-106"/>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2</w:t>
            </w:r>
            <w:r>
              <w:rPr>
                <w:rFonts w:hint="default" w:ascii="Times New Roman" w:hAnsi="Times New Roman" w:eastAsia="Times New Roman" w:cs="Times New Roman"/>
                <w:color w:val="000000" w:themeColor="text1"/>
                <w:spacing w:val="-3"/>
                <w:w w:val="100"/>
                <w:sz w:val="21"/>
                <w14:textFill>
                  <w14:solidFill>
                    <w14:schemeClr w14:val="tx1"/>
                  </w14:solidFill>
                </w14:textFill>
              </w:rPr>
              <w:t>0</w:t>
            </w:r>
            <w:r>
              <w:rPr>
                <w:rFonts w:hint="default" w:ascii="Times New Roman" w:hAnsi="Times New Roman" w:eastAsia="Times New Roman" w:cs="Times New Roman"/>
                <w:color w:val="000000" w:themeColor="text1"/>
                <w:w w:val="100"/>
                <w:sz w:val="21"/>
                <w14:textFill>
                  <w14:solidFill>
                    <w14:schemeClr w14:val="tx1"/>
                  </w14:solidFill>
                </w14:textFill>
              </w:rPr>
              <w:t>26</w:t>
            </w:r>
            <w:r>
              <w:rPr>
                <w:rFonts w:hint="default" w:ascii="Times New Roman" w:hAnsi="Times New Roman" w:eastAsia="Times New Roman" w:cs="Times New Roman"/>
                <w:color w:val="000000" w:themeColor="text1"/>
                <w:spacing w:val="-3"/>
                <w:w w:val="100"/>
                <w:sz w:val="21"/>
                <w14:textFill>
                  <w14:solidFill>
                    <w14:schemeClr w14:val="tx1"/>
                  </w14:solidFill>
                </w14:textFill>
              </w:rPr>
              <w:t>.</w:t>
            </w:r>
            <w:r>
              <w:rPr>
                <w:rFonts w:hint="default" w:ascii="Times New Roman" w:hAnsi="Times New Roman" w:eastAsia="Times New Roman" w:cs="Times New Roman"/>
                <w:color w:val="000000" w:themeColor="text1"/>
                <w:spacing w:val="-1"/>
                <w:w w:val="100"/>
                <w:sz w:val="21"/>
                <w14:textFill>
                  <w14:solidFill>
                    <w14:schemeClr w14:val="tx1"/>
                  </w14:solidFill>
                </w14:textFill>
              </w:rPr>
              <w:t>5</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25</w:t>
            </w:r>
            <w:r>
              <w:rPr>
                <w:rFonts w:hint="default" w:ascii="Times New Roman" w:hAnsi="Times New Roman" w:eastAsia="Times New Roman" w:cs="Times New Roman"/>
                <w:color w:val="000000" w:themeColor="text1"/>
                <w:spacing w:val="-3"/>
                <w:w w:val="100"/>
                <w:sz w:val="21"/>
                <w14:textFill>
                  <w14:solidFill>
                    <w14:schemeClr w14:val="tx1"/>
                  </w14:solidFill>
                </w14:textFill>
              </w:rPr>
              <w:t>.</w:t>
            </w:r>
            <w:r>
              <w:rPr>
                <w:rFonts w:hint="default" w:ascii="Times New Roman" w:hAnsi="Times New Roman" w:eastAsia="Times New Roman" w:cs="Times New Roman"/>
                <w:color w:val="000000" w:themeColor="text1"/>
                <w:spacing w:val="-1"/>
                <w:w w:val="100"/>
                <w:sz w:val="21"/>
                <w14:textFill>
                  <w14:solidFill>
                    <w14:schemeClr w14:val="tx1"/>
                  </w14:solidFill>
                </w14:textFill>
              </w:rPr>
              <w:t>5</w:t>
            </w:r>
            <w:r>
              <w:rPr>
                <w:rFonts w:hint="default" w:ascii="Times New Roman" w:hAnsi="Times New Roman" w:cs="Times New Roman"/>
                <w:color w:val="000000" w:themeColor="text1"/>
                <w:spacing w:val="-3"/>
                <w:w w:val="100"/>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restart"/>
            <w:tcBorders>
              <w:top w:val="single" w:color="000000" w:sz="4" w:space="0"/>
              <w:left w:val="nil"/>
              <w:bottom w:val="single" w:color="000000" w:sz="4" w:space="0"/>
            </w:tcBorders>
            <w:noWrap w:val="0"/>
            <w:vAlign w:val="top"/>
          </w:tcPr>
          <w:p>
            <w:pPr>
              <w:pStyle w:val="112"/>
              <w:keepNext w:val="0"/>
              <w:keepLines w:val="0"/>
              <w:suppressLineNumbers w:val="0"/>
              <w:spacing w:before="0" w:beforeAutospacing="0" w:after="0" w:afterAutospacing="0" w:line="240" w:lineRule="auto"/>
              <w:ind w:left="0" w:right="0"/>
              <w:rPr>
                <w:rFonts w:hint="default"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spacing w:before="3" w:beforeAutospacing="0" w:after="0" w:afterAutospacing="0" w:line="240" w:lineRule="auto"/>
              <w:ind w:left="0" w:right="0"/>
              <w:rPr>
                <w:rFonts w:hint="default" w:ascii="Times New Roman" w:hAnsi="Times New Roman" w:cs="Times New Roman"/>
                <w:b/>
                <w:color w:val="000000" w:themeColor="text1"/>
                <w:sz w:val="23"/>
                <w14:textFill>
                  <w14:solidFill>
                    <w14:schemeClr w14:val="tx1"/>
                  </w14:solidFill>
                </w14:textFill>
              </w:rPr>
            </w:pPr>
          </w:p>
          <w:p>
            <w:pPr>
              <w:pStyle w:val="112"/>
              <w:keepNext w:val="0"/>
              <w:keepLines w:val="0"/>
              <w:suppressLineNumbers w:val="0"/>
              <w:spacing w:before="0" w:beforeAutospacing="0" w:after="0" w:afterAutospacing="0" w:line="232" w:lineRule="auto"/>
              <w:ind w:left="110" w:right="10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燃烧爆炸危险性</w:t>
            </w: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燃烧性：易燃</w:t>
            </w:r>
          </w:p>
        </w:tc>
        <w:tc>
          <w:tcPr>
            <w:tcW w:w="0" w:type="auto"/>
            <w:gridSpan w:val="4"/>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燃烧分解产物：氧化硫。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w w:val="100"/>
                <w:sz w:val="21"/>
                <w14:textFill>
                  <w14:solidFill>
                    <w14:schemeClr w14:val="tx1"/>
                  </w14:solidFill>
                </w14:textFill>
              </w:rPr>
              <w:t>闪点</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p>
        </w:tc>
        <w:tc>
          <w:tcPr>
            <w:tcW w:w="0" w:type="auto"/>
            <w:gridSpan w:val="4"/>
            <w:tcBorders>
              <w:top w:val="single" w:color="000000" w:sz="4" w:space="0"/>
              <w:bottom w:val="single" w:color="000000" w:sz="4" w:space="0"/>
              <w:right w:val="nil"/>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聚合危害：不聚合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爆炸下限</w:t>
            </w:r>
            <w:r>
              <w:rPr>
                <w:rFonts w:hint="default" w:ascii="Times New Roman" w:hAnsi="Times New Roman" w:cs="Times New Roman"/>
                <w:color w:val="000000" w:themeColor="text1"/>
                <w:spacing w:val="-3"/>
                <w:w w:val="100"/>
                <w:sz w:val="21"/>
                <w14:textFill>
                  <w14:solidFill>
                    <w14:schemeClr w14:val="tx1"/>
                  </w14:solidFill>
                </w14:textFill>
              </w:rPr>
              <w:t>（</w:t>
            </w:r>
            <w:r>
              <w:rPr>
                <w:rFonts w:hint="eastAsia" w:ascii="Times New Roman" w:hAnsi="Times New Roman" w:cs="Times New Roman"/>
                <w:color w:val="000000" w:themeColor="text1"/>
                <w:w w:val="100"/>
                <w:sz w:val="21"/>
                <w:lang w:val="en-US" w:eastAsia="zh-CN"/>
                <w14:textFill>
                  <w14:solidFill>
                    <w14:schemeClr w14:val="tx1"/>
                  </w14:solidFill>
                </w14:textFill>
              </w:rPr>
              <w:t>%</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4.0</w:t>
            </w:r>
          </w:p>
        </w:tc>
        <w:tc>
          <w:tcPr>
            <w:tcW w:w="0" w:type="auto"/>
            <w:gridSpan w:val="4"/>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稳定性：稳定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爆炸上限</w:t>
            </w:r>
            <w:r>
              <w:rPr>
                <w:rFonts w:hint="default" w:ascii="Times New Roman" w:hAnsi="Times New Roman" w:cs="Times New Roman"/>
                <w:color w:val="000000" w:themeColor="text1"/>
                <w:spacing w:val="-3"/>
                <w:w w:val="100"/>
                <w:sz w:val="21"/>
                <w14:textFill>
                  <w14:solidFill>
                    <w14:schemeClr w14:val="tx1"/>
                  </w14:solidFill>
                </w14:textFill>
              </w:rPr>
              <w:t>（</w:t>
            </w:r>
            <w:r>
              <w:rPr>
                <w:rFonts w:hint="eastAsia" w:ascii="Times New Roman" w:hAnsi="Times New Roman" w:cs="Times New Roman"/>
                <w:color w:val="000000" w:themeColor="text1"/>
                <w:w w:val="100"/>
                <w:sz w:val="21"/>
                <w:lang w:val="en-US" w:eastAsia="zh-CN"/>
                <w14:textFill>
                  <w14:solidFill>
                    <w14:schemeClr w14:val="tx1"/>
                  </w14:solidFill>
                </w14:textFill>
              </w:rPr>
              <w:t>%</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46</w:t>
            </w:r>
            <w:r>
              <w:rPr>
                <w:rFonts w:hint="default" w:ascii="Times New Roman" w:hAnsi="Times New Roman" w:eastAsia="Times New Roman" w:cs="Times New Roman"/>
                <w:color w:val="000000" w:themeColor="text1"/>
                <w:spacing w:val="-3"/>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0</w:t>
            </w:r>
          </w:p>
        </w:tc>
        <w:tc>
          <w:tcPr>
            <w:tcW w:w="0" w:type="auto"/>
            <w:gridSpan w:val="4"/>
            <w:tcBorders>
              <w:top w:val="single" w:color="000000" w:sz="4" w:space="0"/>
              <w:bottom w:val="single" w:color="000000" w:sz="4" w:space="0"/>
              <w:right w:val="nil"/>
            </w:tcBorders>
            <w:noWrap w:val="0"/>
            <w:vAlign w:val="top"/>
          </w:tcPr>
          <w:p>
            <w:pPr>
              <w:pStyle w:val="112"/>
              <w:keepNext w:val="0"/>
              <w:keepLines w:val="0"/>
              <w:suppressLineNumbers w:val="0"/>
              <w:spacing w:before="1" w:beforeAutospacing="0" w:after="0" w:afterAutospacing="0" w:line="240" w:lineRule="exact"/>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2"/>
                <w:w w:val="100"/>
                <w:sz w:val="21"/>
                <w14:textFill>
                  <w14:solidFill>
                    <w14:schemeClr w14:val="tx1"/>
                  </w14:solidFill>
                </w14:textFill>
              </w:rPr>
              <w:t>最大爆炸压力</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eastAsia="Times New Roman" w:cs="Times New Roman"/>
                <w:color w:val="000000" w:themeColor="text1"/>
                <w:spacing w:val="-3"/>
                <w:w w:val="100"/>
                <w:sz w:val="21"/>
                <w14:textFill>
                  <w14:solidFill>
                    <w14:schemeClr w14:val="tx1"/>
                  </w14:solidFill>
                </w14:textFill>
              </w:rPr>
              <w:t>M</w:t>
            </w:r>
            <w:r>
              <w:rPr>
                <w:rFonts w:hint="default" w:ascii="Times New Roman" w:hAnsi="Times New Roman" w:eastAsia="Times New Roman" w:cs="Times New Roman"/>
                <w:color w:val="000000" w:themeColor="text1"/>
                <w:spacing w:val="2"/>
                <w:w w:val="100"/>
                <w:sz w:val="21"/>
                <w14:textFill>
                  <w14:solidFill>
                    <w14:schemeClr w14:val="tx1"/>
                  </w14:solidFill>
                </w14:textFill>
              </w:rPr>
              <w:t>P</w:t>
            </w:r>
            <w:r>
              <w:rPr>
                <w:rFonts w:hint="default" w:ascii="Times New Roman" w:hAnsi="Times New Roman" w:eastAsia="Times New Roman" w:cs="Times New Roman"/>
                <w:color w:val="000000" w:themeColor="text1"/>
                <w:w w:val="100"/>
                <w:sz w:val="21"/>
                <w14:textFill>
                  <w14:solidFill>
                    <w14:schemeClr w14:val="tx1"/>
                  </w14:solidFill>
                </w14:textFill>
              </w:rPr>
              <w:t>a</w:t>
            </w:r>
            <w:r>
              <w:rPr>
                <w:rFonts w:hint="default" w:ascii="Times New Roman" w:hAnsi="Times New Roman" w:cs="Times New Roman"/>
                <w:color w:val="000000" w:themeColor="text1"/>
                <w:spacing w:val="-108"/>
                <w:w w:val="100"/>
                <w:sz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tcBorders>
              <w:top w:val="single" w:color="000000" w:sz="4" w:space="0"/>
              <w:bottom w:val="single" w:color="000000" w:sz="4" w:space="0"/>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eastAsia="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
                <w:w w:val="100"/>
                <w:sz w:val="21"/>
                <w14:textFill>
                  <w14:solidFill>
                    <w14:schemeClr w14:val="tx1"/>
                  </w14:solidFill>
                </w14:textFill>
              </w:rPr>
              <w:t>引燃温度</w:t>
            </w:r>
            <w:r>
              <w:rPr>
                <w:rFonts w:hint="default" w:ascii="Times New Roman" w:hAnsi="Times New Roman" w:cs="Times New Roman"/>
                <w:color w:val="000000" w:themeColor="text1"/>
                <w:spacing w:val="-3"/>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cs="Times New Roman"/>
                <w:color w:val="000000" w:themeColor="text1"/>
                <w:spacing w:val="-108"/>
                <w:w w:val="100"/>
                <w:sz w:val="21"/>
                <w14:textFill>
                  <w14:solidFill>
                    <w14:schemeClr w14:val="tx1"/>
                  </w14:solidFill>
                </w14:textFill>
              </w:rPr>
              <w:t>）</w:t>
            </w:r>
            <w:r>
              <w:rPr>
                <w:rFonts w:hint="default" w:ascii="Times New Roman" w:hAnsi="Times New Roman" w:cs="Times New Roman"/>
                <w:color w:val="000000" w:themeColor="text1"/>
                <w:w w:val="100"/>
                <w:sz w:val="21"/>
                <w14:textFill>
                  <w14:solidFill>
                    <w14:schemeClr w14:val="tx1"/>
                  </w14:solidFill>
                </w14:textFill>
              </w:rPr>
              <w:t>：</w:t>
            </w:r>
            <w:r>
              <w:rPr>
                <w:rFonts w:hint="default" w:ascii="Times New Roman" w:hAnsi="Times New Roman" w:eastAsia="Times New Roman" w:cs="Times New Roman"/>
                <w:color w:val="000000" w:themeColor="text1"/>
                <w:w w:val="100"/>
                <w:sz w:val="21"/>
                <w14:textFill>
                  <w14:solidFill>
                    <w14:schemeClr w14:val="tx1"/>
                  </w14:solidFill>
                </w14:textFill>
              </w:rPr>
              <w:t>260</w:t>
            </w:r>
          </w:p>
        </w:tc>
        <w:tc>
          <w:tcPr>
            <w:tcW w:w="0" w:type="auto"/>
            <w:gridSpan w:val="4"/>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ind w:left="0" w:right="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禁忌物：强氧化剂、碱类。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3" w:beforeAutospacing="0" w:after="0" w:afterAutospacing="0" w:line="260" w:lineRule="exact"/>
              <w:ind w:left="0" w:right="87"/>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危险特性：易燃，与空气混合能形成爆炸性混合物，遇明火、高热能引起燃烧爆炸。与浓硝酸、发烟硝酸或其它强氧化剂剧烈反应，发生爆炸。气体比空气重，能在较低处扩散到相当远的地方，遇明火会引起回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0" w:type="auto"/>
            <w:vMerge w:val="continue"/>
            <w:tcBorders>
              <w:top w:val="single" w:color="000000" w:sz="4" w:space="0"/>
              <w:left w:val="nil"/>
              <w:bottom w:val="single" w:color="000000" w:sz="4" w:space="0"/>
            </w:tcBorders>
            <w:noWrap w:val="0"/>
            <w:vAlign w:val="top"/>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
                <w:szCs w:val="2"/>
                <w14:textFill>
                  <w14:solidFill>
                    <w14:schemeClr w14:val="tx1"/>
                  </w14:solidFill>
                </w14:textFill>
              </w:rPr>
            </w:pP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line="260" w:lineRule="exact"/>
              <w:ind w:left="0" w:right="87"/>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灭火方法：消防人员须穿戴全身防火防毒服。切断气源。若不能立即切断气源，则不允许熄灭正在燃烧的气体。喷水冷却容器，可能的话将容器从火场移至空旷处。灭火剂：雾状水、抗溶性泡沫、干粉。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0" w:type="auto"/>
            <w:tcBorders>
              <w:top w:val="single" w:color="000000" w:sz="4" w:space="0"/>
              <w:left w:val="nil"/>
              <w:bottom w:val="single" w:color="000000" w:sz="4" w:space="0"/>
            </w:tcBorders>
            <w:noWrap w:val="0"/>
            <w:vAlign w:val="top"/>
          </w:tcPr>
          <w:p>
            <w:pPr>
              <w:pStyle w:val="112"/>
              <w:keepNext w:val="0"/>
              <w:keepLines w:val="0"/>
              <w:suppressLineNumbers w:val="0"/>
              <w:spacing w:before="0" w:beforeAutospacing="0" w:after="0" w:afterAutospacing="0" w:line="260" w:lineRule="exact"/>
              <w:ind w:left="110" w:right="10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毒性</w:t>
            </w: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line="272"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eastAsia="Times New Roman" w:cs="Times New Roman"/>
                <w:color w:val="000000" w:themeColor="text1"/>
                <w:position w:val="2"/>
                <w:sz w:val="21"/>
                <w14:textFill>
                  <w14:solidFill>
                    <w14:schemeClr w14:val="tx1"/>
                  </w14:solidFill>
                </w14:textFill>
              </w:rPr>
              <w:t>LC</w:t>
            </w:r>
            <w:r>
              <w:rPr>
                <w:rFonts w:hint="default" w:ascii="Times New Roman" w:hAnsi="Times New Roman" w:eastAsia="Times New Roman" w:cs="Times New Roman"/>
                <w:color w:val="000000" w:themeColor="text1"/>
                <w:sz w:val="14"/>
                <w14:textFill>
                  <w14:solidFill>
                    <w14:schemeClr w14:val="tx1"/>
                  </w14:solidFill>
                </w14:textFill>
              </w:rPr>
              <w:t>50</w:t>
            </w:r>
            <w:r>
              <w:rPr>
                <w:rFonts w:hint="default" w:ascii="Times New Roman" w:hAnsi="Times New Roman" w:cs="Times New Roman"/>
                <w:color w:val="000000" w:themeColor="text1"/>
                <w:position w:val="2"/>
                <w:sz w:val="21"/>
                <w14:textFill>
                  <w14:solidFill>
                    <w14:schemeClr w14:val="tx1"/>
                  </w14:solidFill>
                </w14:textFill>
              </w:rPr>
              <w:t>：</w:t>
            </w:r>
            <w:r>
              <w:rPr>
                <w:rFonts w:hint="default" w:ascii="Times New Roman" w:hAnsi="Times New Roman" w:eastAsia="Times New Roman" w:cs="Times New Roman"/>
                <w:color w:val="000000" w:themeColor="text1"/>
                <w:position w:val="2"/>
                <w:sz w:val="21"/>
                <w14:textFill>
                  <w14:solidFill>
                    <w14:schemeClr w14:val="tx1"/>
                  </w14:solidFill>
                </w14:textFill>
              </w:rPr>
              <w:t>618mg/m</w:t>
            </w:r>
            <w:r>
              <w:rPr>
                <w:rFonts w:hint="default" w:ascii="Times New Roman" w:hAnsi="Times New Roman" w:eastAsia="Times New Roman" w:cs="Times New Roman"/>
                <w:color w:val="000000" w:themeColor="text1"/>
                <w:position w:val="2"/>
                <w:sz w:val="21"/>
                <w:vertAlign w:val="superscript"/>
                <w14:textFill>
                  <w14:solidFill>
                    <w14:schemeClr w14:val="tx1"/>
                  </w14:solidFill>
                </w14:textFill>
              </w:rPr>
              <w:t>3</w:t>
            </w:r>
            <w:r>
              <w:rPr>
                <w:rFonts w:hint="default" w:ascii="Times New Roman" w:hAnsi="Times New Roman" w:cs="Times New Roman"/>
                <w:color w:val="000000" w:themeColor="text1"/>
                <w:position w:val="2"/>
                <w:sz w:val="21"/>
                <w:vertAlign w:val="baseline"/>
                <w14:textFill>
                  <w14:solidFill>
                    <w14:schemeClr w14:val="tx1"/>
                  </w14:solidFill>
                </w14:textFill>
              </w:rPr>
              <w:t>（大鼠吸入）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0" w:type="auto"/>
            <w:tcBorders>
              <w:top w:val="single" w:color="000000" w:sz="4" w:space="0"/>
              <w:left w:val="nil"/>
              <w:bottom w:val="single" w:color="000000" w:sz="4" w:space="0"/>
            </w:tcBorders>
            <w:noWrap w:val="0"/>
            <w:vAlign w:val="top"/>
          </w:tcPr>
          <w:p>
            <w:pPr>
              <w:pStyle w:val="112"/>
              <w:keepNext w:val="0"/>
              <w:keepLines w:val="0"/>
              <w:suppressLineNumbers w:val="0"/>
              <w:spacing w:before="133" w:beforeAutospacing="0" w:after="0" w:afterAutospacing="0" w:line="232" w:lineRule="auto"/>
              <w:ind w:left="110" w:right="10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对人体危害</w:t>
            </w: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line="262"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侵入途径： 吸入。</w:t>
            </w:r>
          </w:p>
          <w:p>
            <w:pPr>
              <w:pStyle w:val="112"/>
              <w:keepNext w:val="0"/>
              <w:keepLines w:val="0"/>
              <w:suppressLineNumbers w:val="0"/>
              <w:spacing w:before="1" w:beforeAutospacing="0" w:after="0" w:afterAutospacing="0" w:line="232" w:lineRule="auto"/>
              <w:ind w:left="0" w:right="-15"/>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3"/>
                <w:sz w:val="21"/>
                <w14:textFill>
                  <w14:solidFill>
                    <w14:schemeClr w14:val="tx1"/>
                  </w14:solidFill>
                </w14:textFill>
              </w:rPr>
              <w:t>健康危害：本品是强烈的神经毒物，对粘膜有强烈刺激作用。急性中毒：短期内吸入高浓度硫化氢后出现流泪、眼痛、眼内异物感、畏光、视物模糊、流涕、咽喉部灼热感、咳嗽、胸</w:t>
            </w:r>
            <w:r>
              <w:rPr>
                <w:rFonts w:hint="default" w:ascii="Times New Roman" w:hAnsi="Times New Roman" w:cs="Times New Roman"/>
                <w:color w:val="000000" w:themeColor="text1"/>
                <w:spacing w:val="-11"/>
                <w:sz w:val="21"/>
                <w14:textFill>
                  <w14:solidFill>
                    <w14:schemeClr w14:val="tx1"/>
                  </w14:solidFill>
                </w14:textFill>
              </w:rPr>
              <w:t>闷、头痛、头晕、乏力、意识模糊等。部分患者可有心肌损害。重者可出现老水肿、肺水肿。</w:t>
            </w:r>
            <w:r>
              <w:rPr>
                <w:rFonts w:hint="default" w:ascii="Times New Roman" w:hAnsi="Times New Roman" w:cs="Times New Roman"/>
                <w:color w:val="000000" w:themeColor="text1"/>
                <w:spacing w:val="-10"/>
                <w:sz w:val="21"/>
                <w14:textFill>
                  <w14:solidFill>
                    <w14:schemeClr w14:val="tx1"/>
                  </w14:solidFill>
                </w14:textFill>
              </w:rPr>
              <w:t>极高浓度</w:t>
            </w:r>
            <w:r>
              <w:rPr>
                <w:rFonts w:hint="default" w:ascii="Times New Roman" w:hAnsi="Times New Roman" w:cs="Times New Roman"/>
                <w:color w:val="000000" w:themeColor="text1"/>
                <w:sz w:val="21"/>
                <w14:textFill>
                  <w14:solidFill>
                    <w14:schemeClr w14:val="tx1"/>
                  </w14:solidFill>
                </w14:textFill>
              </w:rPr>
              <w:t>（</w:t>
            </w:r>
            <w:r>
              <w:rPr>
                <w:rFonts w:hint="default" w:ascii="Times New Roman" w:hAnsi="Times New Roman" w:eastAsia="Times New Roman" w:cs="Times New Roman"/>
                <w:color w:val="000000" w:themeColor="text1"/>
                <w:sz w:val="21"/>
                <w14:textFill>
                  <w14:solidFill>
                    <w14:schemeClr w14:val="tx1"/>
                  </w14:solidFill>
                </w14:textFill>
              </w:rPr>
              <w:t>1000mg/m</w:t>
            </w:r>
            <w:r>
              <w:rPr>
                <w:rFonts w:hint="default" w:ascii="Times New Roman" w:hAnsi="Times New Roman" w:eastAsia="Times New Roman" w:cs="Times New Roman"/>
                <w:color w:val="000000" w:themeColor="text1"/>
                <w:position w:val="7"/>
                <w:sz w:val="14"/>
                <w14:textFill>
                  <w14:solidFill>
                    <w14:schemeClr w14:val="tx1"/>
                  </w14:solidFill>
                </w14:textFill>
              </w:rPr>
              <w:t>3</w:t>
            </w:r>
            <w:r>
              <w:rPr>
                <w:rFonts w:hint="default" w:ascii="Times New Roman" w:hAnsi="Times New Roman" w:eastAsia="Times New Roman" w:cs="Times New Roman"/>
                <w:color w:val="000000" w:themeColor="text1"/>
                <w:spacing w:val="24"/>
                <w:position w:val="7"/>
                <w:sz w:val="14"/>
                <w14:textFill>
                  <w14:solidFill>
                    <w14:schemeClr w14:val="tx1"/>
                  </w14:solidFill>
                </w14:textFill>
              </w:rPr>
              <w:t xml:space="preserve"> </w:t>
            </w:r>
            <w:r>
              <w:rPr>
                <w:rFonts w:hint="default" w:ascii="Times New Roman" w:hAnsi="Times New Roman" w:cs="Times New Roman"/>
                <w:color w:val="000000" w:themeColor="text1"/>
                <w:sz w:val="21"/>
                <w14:textFill>
                  <w14:solidFill>
                    <w14:schemeClr w14:val="tx1"/>
                  </w14:solidFill>
                </w14:textFill>
              </w:rPr>
              <w:t>以上</w:t>
            </w:r>
            <w:r>
              <w:rPr>
                <w:rFonts w:hint="default" w:ascii="Times New Roman" w:hAnsi="Times New Roman" w:cs="Times New Roman"/>
                <w:color w:val="000000" w:themeColor="text1"/>
                <w:spacing w:val="-10"/>
                <w:sz w:val="21"/>
                <w14:textFill>
                  <w14:solidFill>
                    <w14:schemeClr w14:val="tx1"/>
                  </w14:solidFill>
                </w14:textFill>
              </w:rPr>
              <w:t>）</w:t>
            </w:r>
            <w:r>
              <w:rPr>
                <w:rFonts w:hint="default" w:ascii="Times New Roman" w:hAnsi="Times New Roman" w:cs="Times New Roman"/>
                <w:color w:val="000000" w:themeColor="text1"/>
                <w:spacing w:val="-5"/>
                <w:sz w:val="21"/>
                <w14:textFill>
                  <w14:solidFill>
                    <w14:schemeClr w14:val="tx1"/>
                  </w14:solidFill>
                </w14:textFill>
              </w:rPr>
              <w:t>时可在数秒钟内突然昏迷，呼吸和心跳骤停，发生闪电型死亡。</w:t>
            </w:r>
          </w:p>
          <w:p>
            <w:pPr>
              <w:pStyle w:val="112"/>
              <w:keepNext w:val="0"/>
              <w:keepLines w:val="0"/>
              <w:suppressLineNumbers w:val="0"/>
              <w:spacing w:before="0" w:beforeAutospacing="0" w:after="0" w:afterAutospacing="0" w:line="232"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高浓度接触眼结膜发生水肿和结膜溃疡。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0" w:type="auto"/>
            <w:tcBorders>
              <w:top w:val="single" w:color="000000" w:sz="4" w:space="0"/>
              <w:left w:val="nil"/>
              <w:bottom w:val="single" w:color="000000" w:sz="4" w:space="0"/>
            </w:tcBorders>
            <w:noWrap w:val="0"/>
            <w:vAlign w:val="top"/>
          </w:tcPr>
          <w:p>
            <w:pPr>
              <w:pStyle w:val="112"/>
              <w:keepNext w:val="0"/>
              <w:keepLines w:val="0"/>
              <w:suppressLineNumbers w:val="0"/>
              <w:spacing w:before="136" w:beforeAutospacing="0" w:after="0" w:afterAutospacing="0" w:line="230" w:lineRule="auto"/>
              <w:ind w:left="110" w:right="10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急救</w:t>
            </w: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line="263"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 xml:space="preserve">眼睛接触：立即提起眼睑，用大量流动清水或生理盐水彻底冲洗至少 </w:t>
            </w:r>
            <w:r>
              <w:rPr>
                <w:rFonts w:hint="default" w:ascii="Times New Roman" w:hAnsi="Times New Roman" w:eastAsia="Times New Roman" w:cs="Times New Roman"/>
                <w:color w:val="000000" w:themeColor="text1"/>
                <w:sz w:val="21"/>
                <w14:textFill>
                  <w14:solidFill>
                    <w14:schemeClr w14:val="tx1"/>
                  </w14:solidFill>
                </w14:textFill>
              </w:rPr>
              <w:t xml:space="preserve">15 </w:t>
            </w:r>
            <w:r>
              <w:rPr>
                <w:rFonts w:hint="default" w:ascii="Times New Roman" w:hAnsi="Times New Roman" w:cs="Times New Roman"/>
                <w:color w:val="000000" w:themeColor="text1"/>
                <w:sz w:val="21"/>
                <w14:textFill>
                  <w14:solidFill>
                    <w14:schemeClr w14:val="tx1"/>
                  </w14:solidFill>
                </w14:textFill>
              </w:rPr>
              <w:t>分钟。就医。</w:t>
            </w:r>
          </w:p>
          <w:p>
            <w:pPr>
              <w:pStyle w:val="112"/>
              <w:keepNext w:val="0"/>
              <w:keepLines w:val="0"/>
              <w:suppressLineNumbers w:val="0"/>
              <w:spacing w:before="0" w:beforeAutospacing="0" w:after="0" w:afterAutospacing="0" w:line="260"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吸入：迅速脱离现场至空气新鲜处，保持呼吸道通畅。如呼吸困难，给输氧。如呼吸停止，</w:t>
            </w:r>
          </w:p>
          <w:p>
            <w:pPr>
              <w:pStyle w:val="112"/>
              <w:keepNext w:val="0"/>
              <w:keepLines w:val="0"/>
              <w:suppressLineNumbers w:val="0"/>
              <w:spacing w:before="0" w:beforeAutospacing="0" w:after="0" w:afterAutospacing="0" w:line="236"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立即进行人工呼吸。就医。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0" w:type="auto"/>
            <w:tcBorders>
              <w:top w:val="single" w:color="000000" w:sz="4" w:space="0"/>
              <w:left w:val="nil"/>
              <w:bottom w:val="single" w:color="000000" w:sz="4" w:space="0"/>
            </w:tcBorders>
            <w:noWrap w:val="0"/>
            <w:vAlign w:val="top"/>
          </w:tcPr>
          <w:p>
            <w:pPr>
              <w:pStyle w:val="112"/>
              <w:keepNext w:val="0"/>
              <w:keepLines w:val="0"/>
              <w:suppressLineNumbers w:val="0"/>
              <w:spacing w:before="0" w:beforeAutospacing="0" w:after="0" w:afterAutospacing="0" w:line="240" w:lineRule="auto"/>
              <w:ind w:left="0" w:right="0"/>
              <w:rPr>
                <w:rFonts w:hint="default"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spacing w:before="0" w:beforeAutospacing="0" w:after="0" w:afterAutospacing="0" w:line="240" w:lineRule="auto"/>
              <w:ind w:left="0" w:right="0"/>
              <w:rPr>
                <w:rFonts w:hint="default"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spacing w:before="5" w:beforeAutospacing="0" w:after="0" w:afterAutospacing="0" w:line="240" w:lineRule="auto"/>
              <w:ind w:left="0" w:right="0"/>
              <w:rPr>
                <w:rFonts w:hint="default" w:ascii="Times New Roman" w:hAnsi="Times New Roman" w:cs="Times New Roman"/>
                <w:b/>
                <w:color w:val="000000" w:themeColor="text1"/>
                <w:sz w:val="21"/>
                <w14:textFill>
                  <w14:solidFill>
                    <w14:schemeClr w14:val="tx1"/>
                  </w14:solidFill>
                </w14:textFill>
              </w:rPr>
            </w:pPr>
          </w:p>
          <w:p>
            <w:pPr>
              <w:pStyle w:val="112"/>
              <w:keepNext w:val="0"/>
              <w:keepLines w:val="0"/>
              <w:suppressLineNumbers w:val="0"/>
              <w:spacing w:before="0" w:beforeAutospacing="0" w:after="0" w:afterAutospacing="0" w:line="230" w:lineRule="auto"/>
              <w:ind w:left="110" w:right="10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防护</w:t>
            </w: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0" w:beforeAutospacing="0" w:after="0" w:afterAutospacing="0" w:line="263"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工程防护：严加密闭，提供充分的局部排风和全面通风。提供安全淋浴和洗眼设备。</w:t>
            </w:r>
          </w:p>
          <w:p>
            <w:pPr>
              <w:pStyle w:val="112"/>
              <w:keepNext w:val="0"/>
              <w:keepLines w:val="0"/>
              <w:suppressLineNumbers w:val="0"/>
              <w:spacing w:before="1" w:beforeAutospacing="0" w:after="0" w:afterAutospacing="0" w:line="232" w:lineRule="auto"/>
              <w:ind w:left="0" w:right="-15"/>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13"/>
                <w:sz w:val="21"/>
                <w14:textFill>
                  <w14:solidFill>
                    <w14:schemeClr w14:val="tx1"/>
                  </w14:solidFill>
                </w14:textFill>
              </w:rPr>
              <w:t>呼吸系统防护：空气中浓度超标时，佩戴过滤式防毒面具</w:t>
            </w:r>
            <w:r>
              <w:rPr>
                <w:rFonts w:hint="default" w:ascii="Times New Roman" w:hAnsi="Times New Roman" w:cs="Times New Roman"/>
                <w:color w:val="000000" w:themeColor="text1"/>
                <w:spacing w:val="-3"/>
                <w:sz w:val="21"/>
                <w14:textFill>
                  <w14:solidFill>
                    <w14:schemeClr w14:val="tx1"/>
                  </w14:solidFill>
                </w14:textFill>
              </w:rPr>
              <w:t>（</w:t>
            </w:r>
            <w:r>
              <w:rPr>
                <w:rFonts w:hint="default" w:ascii="Times New Roman" w:hAnsi="Times New Roman" w:cs="Times New Roman"/>
                <w:color w:val="000000" w:themeColor="text1"/>
                <w:spacing w:val="-2"/>
                <w:sz w:val="21"/>
                <w14:textFill>
                  <w14:solidFill>
                    <w14:schemeClr w14:val="tx1"/>
                  </w14:solidFill>
                </w14:textFill>
              </w:rPr>
              <w:t>全面罩</w:t>
            </w:r>
            <w:r>
              <w:rPr>
                <w:rFonts w:hint="default" w:ascii="Times New Roman" w:hAnsi="Times New Roman" w:cs="Times New Roman"/>
                <w:color w:val="000000" w:themeColor="text1"/>
                <w:spacing w:val="-108"/>
                <w:sz w:val="21"/>
                <w14:textFill>
                  <w14:solidFill>
                    <w14:schemeClr w14:val="tx1"/>
                  </w14:solidFill>
                </w14:textFill>
              </w:rPr>
              <w:t>）</w:t>
            </w:r>
            <w:r>
              <w:rPr>
                <w:rFonts w:hint="default" w:ascii="Times New Roman" w:hAnsi="Times New Roman" w:cs="Times New Roman"/>
                <w:color w:val="000000" w:themeColor="text1"/>
                <w:spacing w:val="-8"/>
                <w:sz w:val="21"/>
                <w14:textFill>
                  <w14:solidFill>
                    <w14:schemeClr w14:val="tx1"/>
                  </w14:solidFill>
                </w14:textFill>
              </w:rPr>
              <w:t xml:space="preserve">。紧急事态抢救或撤离时， </w:t>
            </w:r>
            <w:r>
              <w:rPr>
                <w:rFonts w:hint="default" w:ascii="Times New Roman" w:hAnsi="Times New Roman" w:cs="Times New Roman"/>
                <w:color w:val="000000" w:themeColor="text1"/>
                <w:spacing w:val="-5"/>
                <w:sz w:val="21"/>
                <w14:textFill>
                  <w14:solidFill>
                    <w14:schemeClr w14:val="tx1"/>
                  </w14:solidFill>
                </w14:textFill>
              </w:rPr>
              <w:t>建议佩戴氧气呼吸器或空气呼吸器。</w:t>
            </w:r>
          </w:p>
          <w:p>
            <w:pPr>
              <w:pStyle w:val="112"/>
              <w:keepNext w:val="0"/>
              <w:keepLines w:val="0"/>
              <w:suppressLineNumbers w:val="0"/>
              <w:spacing w:before="1" w:beforeAutospacing="0" w:after="0" w:afterAutospacing="0" w:line="230" w:lineRule="auto"/>
              <w:ind w:left="0" w:right="5374"/>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眼睛防护：戴化学安全防护眼镜。身体防护：穿防静电工作服。</w:t>
            </w:r>
          </w:p>
          <w:p>
            <w:pPr>
              <w:pStyle w:val="112"/>
              <w:keepNext w:val="0"/>
              <w:keepLines w:val="0"/>
              <w:suppressLineNumbers w:val="0"/>
              <w:spacing w:before="0" w:beforeAutospacing="0" w:after="0" w:afterAutospacing="0" w:line="260"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手防护：戴化学品手套。</w:t>
            </w:r>
          </w:p>
          <w:p>
            <w:pPr>
              <w:pStyle w:val="112"/>
              <w:keepNext w:val="0"/>
              <w:keepLines w:val="0"/>
              <w:suppressLineNumbers w:val="0"/>
              <w:spacing w:before="0" w:beforeAutospacing="0" w:after="0" w:afterAutospacing="0" w:line="260"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其它：工作现场严禁吸烟、进食和饮水。工作毕，淋浴更衣。及时换洗工作服。作业人员应</w:t>
            </w:r>
          </w:p>
          <w:p>
            <w:pPr>
              <w:pStyle w:val="112"/>
              <w:keepNext w:val="0"/>
              <w:keepLines w:val="0"/>
              <w:suppressLineNumbers w:val="0"/>
              <w:spacing w:before="0" w:beforeAutospacing="0" w:after="0" w:afterAutospacing="0" w:line="238"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学会自救互救。进入罐、限制性空间或其它高浓度区作业，须有人监护。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0" w:type="auto"/>
            <w:tcBorders>
              <w:top w:val="single" w:color="000000" w:sz="4" w:space="0"/>
              <w:left w:val="nil"/>
              <w:bottom w:val="single" w:color="000000" w:sz="4" w:space="0"/>
            </w:tcBorders>
            <w:noWrap w:val="0"/>
            <w:vAlign w:val="top"/>
          </w:tcPr>
          <w:p>
            <w:pPr>
              <w:pStyle w:val="112"/>
              <w:keepNext w:val="0"/>
              <w:keepLines w:val="0"/>
              <w:suppressLineNumbers w:val="0"/>
              <w:spacing w:before="7" w:beforeAutospacing="0" w:after="0" w:afterAutospacing="0" w:line="240" w:lineRule="auto"/>
              <w:ind w:left="0" w:right="0"/>
              <w:rPr>
                <w:rFonts w:hint="default"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spacing w:before="1" w:beforeAutospacing="0" w:after="0" w:afterAutospacing="0" w:line="232" w:lineRule="auto"/>
              <w:ind w:left="110" w:right="10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泄漏处理</w:t>
            </w:r>
          </w:p>
        </w:tc>
        <w:tc>
          <w:tcPr>
            <w:tcW w:w="0" w:type="auto"/>
            <w:gridSpan w:val="5"/>
            <w:tcBorders>
              <w:top w:val="single" w:color="000000" w:sz="4" w:space="0"/>
              <w:bottom w:val="single" w:color="000000" w:sz="4" w:space="0"/>
              <w:right w:val="nil"/>
            </w:tcBorders>
            <w:noWrap w:val="0"/>
            <w:vAlign w:val="top"/>
          </w:tcPr>
          <w:p>
            <w:pPr>
              <w:pStyle w:val="112"/>
              <w:keepNext w:val="0"/>
              <w:keepLines w:val="0"/>
              <w:suppressLineNumbers w:val="0"/>
              <w:spacing w:before="5" w:beforeAutospacing="0" w:after="0" w:afterAutospacing="0" w:line="232" w:lineRule="auto"/>
              <w:ind w:left="0" w:right="-15"/>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8"/>
                <w:sz w:val="21"/>
                <w14:textFill>
                  <w14:solidFill>
                    <w14:schemeClr w14:val="tx1"/>
                  </w14:solidFill>
                </w14:textFill>
              </w:rPr>
              <w:t xml:space="preserve">迅速撤离泄漏污染区人员至上风处，并进行隔离，小泄漏时隔离 </w:t>
            </w:r>
            <w:r>
              <w:rPr>
                <w:rFonts w:hint="default" w:ascii="Times New Roman" w:hAnsi="Times New Roman" w:eastAsia="Times New Roman" w:cs="Times New Roman"/>
                <w:color w:val="000000" w:themeColor="text1"/>
                <w:spacing w:val="-7"/>
                <w:sz w:val="21"/>
                <w14:textFill>
                  <w14:solidFill>
                    <w14:schemeClr w14:val="tx1"/>
                  </w14:solidFill>
                </w14:textFill>
              </w:rPr>
              <w:t>150m</w:t>
            </w:r>
            <w:r>
              <w:rPr>
                <w:rFonts w:hint="default" w:ascii="Times New Roman" w:hAnsi="Times New Roman" w:cs="Times New Roman"/>
                <w:color w:val="000000" w:themeColor="text1"/>
                <w:spacing w:val="-8"/>
                <w:sz w:val="21"/>
                <w14:textFill>
                  <w14:solidFill>
                    <w14:schemeClr w14:val="tx1"/>
                  </w14:solidFill>
                </w14:textFill>
              </w:rPr>
              <w:t xml:space="preserve">，大泄漏时隔离 </w:t>
            </w:r>
            <w:r>
              <w:rPr>
                <w:rFonts w:hint="default" w:ascii="Times New Roman" w:hAnsi="Times New Roman" w:eastAsia="Times New Roman" w:cs="Times New Roman"/>
                <w:color w:val="000000" w:themeColor="text1"/>
                <w:sz w:val="21"/>
                <w14:textFill>
                  <w14:solidFill>
                    <w14:schemeClr w14:val="tx1"/>
                  </w14:solidFill>
                </w14:textFill>
              </w:rPr>
              <w:t>300m</w:t>
            </w:r>
            <w:r>
              <w:rPr>
                <w:rFonts w:hint="default" w:ascii="Times New Roman" w:hAnsi="Times New Roman" w:cs="Times New Roman"/>
                <w:color w:val="000000" w:themeColor="text1"/>
                <w:sz w:val="21"/>
                <w14:textFill>
                  <w14:solidFill>
                    <w14:schemeClr w14:val="tx1"/>
                  </w14:solidFill>
                </w14:textFill>
              </w:rPr>
              <w:t xml:space="preserve">， </w:t>
            </w:r>
            <w:r>
              <w:rPr>
                <w:rFonts w:hint="default" w:ascii="Times New Roman" w:hAnsi="Times New Roman" w:cs="Times New Roman"/>
                <w:color w:val="000000" w:themeColor="text1"/>
                <w:spacing w:val="-3"/>
                <w:sz w:val="21"/>
                <w14:textFill>
                  <w14:solidFill>
                    <w14:schemeClr w14:val="tx1"/>
                  </w14:solidFill>
                </w14:textFill>
              </w:rPr>
              <w:t>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w:t>
            </w:r>
          </w:p>
          <w:p>
            <w:pPr>
              <w:pStyle w:val="112"/>
              <w:keepNext w:val="0"/>
              <w:keepLines w:val="0"/>
              <w:suppressLineNumbers w:val="0"/>
              <w:spacing w:before="0" w:beforeAutospacing="0" w:after="0" w:afterAutospacing="0" w:line="230"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修复、检验后再用。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1" w:hRule="atLeast"/>
        </w:trPr>
        <w:tc>
          <w:tcPr>
            <w:tcW w:w="0" w:type="auto"/>
            <w:tcBorders>
              <w:top w:val="single" w:color="000000" w:sz="4" w:space="0"/>
              <w:left w:val="nil"/>
              <w:bottom w:val="single" w:color="000000" w:sz="12" w:space="0"/>
            </w:tcBorders>
            <w:noWrap w:val="0"/>
            <w:vAlign w:val="top"/>
          </w:tcPr>
          <w:p>
            <w:pPr>
              <w:pStyle w:val="112"/>
              <w:keepNext w:val="0"/>
              <w:keepLines w:val="0"/>
              <w:suppressLineNumbers w:val="0"/>
              <w:spacing w:before="0" w:beforeAutospacing="0" w:after="0" w:afterAutospacing="0" w:line="240" w:lineRule="auto"/>
              <w:ind w:left="0" w:right="0"/>
              <w:rPr>
                <w:rFonts w:hint="default"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spacing w:before="0" w:beforeAutospacing="0" w:after="0" w:afterAutospacing="0" w:line="240" w:lineRule="auto"/>
              <w:ind w:left="0" w:right="0"/>
              <w:rPr>
                <w:rFonts w:hint="default" w:ascii="Times New Roman" w:hAnsi="Times New Roman" w:cs="Times New Roman"/>
                <w:b/>
                <w:color w:val="000000" w:themeColor="text1"/>
                <w:sz w:val="20"/>
                <w14:textFill>
                  <w14:solidFill>
                    <w14:schemeClr w14:val="tx1"/>
                  </w14:solidFill>
                </w14:textFill>
              </w:rPr>
            </w:pPr>
          </w:p>
          <w:p>
            <w:pPr>
              <w:pStyle w:val="112"/>
              <w:keepNext w:val="0"/>
              <w:keepLines w:val="0"/>
              <w:suppressLineNumbers w:val="0"/>
              <w:spacing w:before="145" w:beforeAutospacing="0" w:after="0" w:afterAutospacing="0" w:line="230" w:lineRule="auto"/>
              <w:ind w:left="110" w:right="100"/>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贮运</w:t>
            </w:r>
          </w:p>
        </w:tc>
        <w:tc>
          <w:tcPr>
            <w:tcW w:w="0" w:type="auto"/>
            <w:gridSpan w:val="5"/>
            <w:tcBorders>
              <w:top w:val="single" w:color="000000" w:sz="4" w:space="0"/>
              <w:bottom w:val="single" w:color="000000" w:sz="12" w:space="0"/>
              <w:right w:val="nil"/>
            </w:tcBorders>
            <w:noWrap w:val="0"/>
            <w:vAlign w:val="top"/>
          </w:tcPr>
          <w:p>
            <w:pPr>
              <w:pStyle w:val="112"/>
              <w:keepNext w:val="0"/>
              <w:keepLines w:val="0"/>
              <w:suppressLineNumbers w:val="0"/>
              <w:tabs>
                <w:tab w:val="left" w:pos="1997"/>
              </w:tabs>
              <w:spacing w:before="7" w:beforeAutospacing="0" w:after="0" w:afterAutospacing="0" w:line="230" w:lineRule="auto"/>
              <w:ind w:left="0" w:right="3447"/>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包装</w:t>
            </w:r>
            <w:r>
              <w:rPr>
                <w:rFonts w:hint="default" w:ascii="Times New Roman" w:hAnsi="Times New Roman" w:cs="Times New Roman"/>
                <w:color w:val="000000" w:themeColor="text1"/>
                <w:spacing w:val="-3"/>
                <w:sz w:val="21"/>
                <w14:textFill>
                  <w14:solidFill>
                    <w14:schemeClr w14:val="tx1"/>
                  </w14:solidFill>
                </w14:textFill>
              </w:rPr>
              <w:t>标</w:t>
            </w:r>
            <w:r>
              <w:rPr>
                <w:rFonts w:hint="default" w:ascii="Times New Roman" w:hAnsi="Times New Roman" w:cs="Times New Roman"/>
                <w:color w:val="000000" w:themeColor="text1"/>
                <w:sz w:val="21"/>
                <w14:textFill>
                  <w14:solidFill>
                    <w14:schemeClr w14:val="tx1"/>
                  </w14:solidFill>
                </w14:textFill>
              </w:rPr>
              <w:t>志：</w:t>
            </w:r>
            <w:r>
              <w:rPr>
                <w:rFonts w:hint="default" w:ascii="Times New Roman" w:hAnsi="Times New Roman" w:eastAsia="Times New Roman" w:cs="Times New Roman"/>
                <w:color w:val="000000" w:themeColor="text1"/>
                <w:sz w:val="21"/>
                <w14:textFill>
                  <w14:solidFill>
                    <w14:schemeClr w14:val="tx1"/>
                  </w14:solidFill>
                </w14:textFill>
              </w:rPr>
              <w:t>4</w:t>
            </w:r>
            <w:r>
              <w:rPr>
                <w:rFonts w:hint="default" w:ascii="Times New Roman" w:hAnsi="Times New Roman" w:eastAsia="Times New Roman" w:cs="Times New Roman"/>
                <w:color w:val="000000" w:themeColor="text1"/>
                <w:sz w:val="21"/>
                <w14:textFill>
                  <w14:solidFill>
                    <w14:schemeClr w14:val="tx1"/>
                  </w14:solidFill>
                </w14:textFill>
              </w:rPr>
              <w:tab/>
            </w:r>
            <w:r>
              <w:rPr>
                <w:rFonts w:hint="default" w:ascii="Times New Roman" w:hAnsi="Times New Roman" w:eastAsia="Times New Roman" w:cs="Times New Roman"/>
                <w:color w:val="000000" w:themeColor="text1"/>
                <w:sz w:val="21"/>
                <w14:textFill>
                  <w14:solidFill>
                    <w14:schemeClr w14:val="tx1"/>
                  </w14:solidFill>
                </w14:textFill>
              </w:rPr>
              <w:t>UN</w:t>
            </w:r>
            <w:r>
              <w:rPr>
                <w:rFonts w:hint="default" w:ascii="Times New Roman" w:hAnsi="Times New Roman" w:eastAsia="Times New Roman" w:cs="Times New Roman"/>
                <w:color w:val="000000" w:themeColor="text1"/>
                <w:spacing w:val="1"/>
                <w:sz w:val="21"/>
                <w14:textFill>
                  <w14:solidFill>
                    <w14:schemeClr w14:val="tx1"/>
                  </w14:solidFill>
                </w14:textFill>
              </w:rPr>
              <w:t xml:space="preserve"> </w:t>
            </w:r>
            <w:r>
              <w:rPr>
                <w:rFonts w:hint="default" w:ascii="Times New Roman" w:hAnsi="Times New Roman" w:cs="Times New Roman"/>
                <w:color w:val="000000" w:themeColor="text1"/>
                <w:spacing w:val="-3"/>
                <w:sz w:val="21"/>
                <w14:textFill>
                  <w14:solidFill>
                    <w14:schemeClr w14:val="tx1"/>
                  </w14:solidFill>
                </w14:textFill>
              </w:rPr>
              <w:t>编</w:t>
            </w:r>
            <w:r>
              <w:rPr>
                <w:rFonts w:hint="default" w:ascii="Times New Roman" w:hAnsi="Times New Roman" w:cs="Times New Roman"/>
                <w:color w:val="000000" w:themeColor="text1"/>
                <w:sz w:val="21"/>
                <w14:textFill>
                  <w14:solidFill>
                    <w14:schemeClr w14:val="tx1"/>
                  </w14:solidFill>
                </w14:textFill>
              </w:rPr>
              <w:t>号：</w:t>
            </w:r>
            <w:r>
              <w:rPr>
                <w:rFonts w:hint="default" w:ascii="Times New Roman" w:hAnsi="Times New Roman" w:cs="Times New Roman"/>
                <w:color w:val="000000" w:themeColor="text1"/>
                <w:spacing w:val="2"/>
                <w:sz w:val="21"/>
                <w14:textFill>
                  <w14:solidFill>
                    <w14:schemeClr w14:val="tx1"/>
                  </w14:solidFill>
                </w14:textFill>
              </w:rPr>
              <w:t xml:space="preserve"> </w:t>
            </w:r>
            <w:r>
              <w:rPr>
                <w:rFonts w:hint="default" w:ascii="Times New Roman" w:hAnsi="Times New Roman" w:eastAsia="Times New Roman" w:cs="Times New Roman"/>
                <w:color w:val="000000" w:themeColor="text1"/>
                <w:sz w:val="21"/>
                <w14:textFill>
                  <w14:solidFill>
                    <w14:schemeClr w14:val="tx1"/>
                  </w14:solidFill>
                </w14:textFill>
              </w:rPr>
              <w:t xml:space="preserve">1053  </w:t>
            </w:r>
            <w:r>
              <w:rPr>
                <w:rFonts w:hint="default" w:ascii="Times New Roman" w:hAnsi="Times New Roman" w:eastAsia="Times New Roman" w:cs="Times New Roman"/>
                <w:color w:val="000000" w:themeColor="text1"/>
                <w:spacing w:val="5"/>
                <w:sz w:val="21"/>
                <w14:textFill>
                  <w14:solidFill>
                    <w14:schemeClr w14:val="tx1"/>
                  </w14:solidFill>
                </w14:textFill>
              </w:rPr>
              <w:t xml:space="preserve"> </w:t>
            </w:r>
            <w:r>
              <w:rPr>
                <w:rFonts w:hint="default" w:ascii="Times New Roman" w:hAnsi="Times New Roman" w:cs="Times New Roman"/>
                <w:color w:val="000000" w:themeColor="text1"/>
                <w:sz w:val="21"/>
                <w14:textFill>
                  <w14:solidFill>
                    <w14:schemeClr w14:val="tx1"/>
                  </w14:solidFill>
                </w14:textFill>
              </w:rPr>
              <w:t>包</w:t>
            </w:r>
            <w:r>
              <w:rPr>
                <w:rFonts w:hint="default" w:ascii="Times New Roman" w:hAnsi="Times New Roman" w:cs="Times New Roman"/>
                <w:color w:val="000000" w:themeColor="text1"/>
                <w:spacing w:val="-3"/>
                <w:sz w:val="21"/>
                <w14:textFill>
                  <w14:solidFill>
                    <w14:schemeClr w14:val="tx1"/>
                  </w14:solidFill>
                </w14:textFill>
              </w:rPr>
              <w:t>装</w:t>
            </w:r>
            <w:r>
              <w:rPr>
                <w:rFonts w:hint="default" w:ascii="Times New Roman" w:hAnsi="Times New Roman" w:cs="Times New Roman"/>
                <w:color w:val="000000" w:themeColor="text1"/>
                <w:sz w:val="21"/>
                <w14:textFill>
                  <w14:solidFill>
                    <w14:schemeClr w14:val="tx1"/>
                  </w14:solidFill>
                </w14:textFill>
              </w:rPr>
              <w:t>分</w:t>
            </w:r>
            <w:r>
              <w:rPr>
                <w:rFonts w:hint="default" w:ascii="Times New Roman" w:hAnsi="Times New Roman" w:cs="Times New Roman"/>
                <w:color w:val="000000" w:themeColor="text1"/>
                <w:spacing w:val="-3"/>
                <w:sz w:val="21"/>
                <w14:textFill>
                  <w14:solidFill>
                    <w14:schemeClr w14:val="tx1"/>
                  </w14:solidFill>
                </w14:textFill>
              </w:rPr>
              <w:t>类</w:t>
            </w:r>
            <w:r>
              <w:rPr>
                <w:rFonts w:hint="default" w:ascii="Times New Roman" w:hAnsi="Times New Roman" w:cs="Times New Roman"/>
                <w:color w:val="000000" w:themeColor="text1"/>
                <w:spacing w:val="-8"/>
                <w:sz w:val="21"/>
                <w14:textFill>
                  <w14:solidFill>
                    <w14:schemeClr w14:val="tx1"/>
                  </w14:solidFill>
                </w14:textFill>
              </w:rPr>
              <w:t xml:space="preserve">：Ⅱ </w:t>
            </w:r>
            <w:r>
              <w:rPr>
                <w:rFonts w:hint="default" w:ascii="Times New Roman" w:hAnsi="Times New Roman" w:cs="Times New Roman"/>
                <w:color w:val="000000" w:themeColor="text1"/>
                <w:sz w:val="21"/>
                <w14:textFill>
                  <w14:solidFill>
                    <w14:schemeClr w14:val="tx1"/>
                  </w14:solidFill>
                </w14:textFill>
              </w:rPr>
              <w:t>包装</w:t>
            </w:r>
            <w:r>
              <w:rPr>
                <w:rFonts w:hint="default" w:ascii="Times New Roman" w:hAnsi="Times New Roman" w:cs="Times New Roman"/>
                <w:color w:val="000000" w:themeColor="text1"/>
                <w:spacing w:val="-3"/>
                <w:sz w:val="21"/>
                <w14:textFill>
                  <w14:solidFill>
                    <w14:schemeClr w14:val="tx1"/>
                  </w14:solidFill>
                </w14:textFill>
              </w:rPr>
              <w:t>方</w:t>
            </w:r>
            <w:r>
              <w:rPr>
                <w:rFonts w:hint="default" w:ascii="Times New Roman" w:hAnsi="Times New Roman" w:cs="Times New Roman"/>
                <w:color w:val="000000" w:themeColor="text1"/>
                <w:sz w:val="21"/>
                <w14:textFill>
                  <w14:solidFill>
                    <w14:schemeClr w14:val="tx1"/>
                  </w14:solidFill>
                </w14:textFill>
              </w:rPr>
              <w:t>法</w:t>
            </w:r>
            <w:r>
              <w:rPr>
                <w:rFonts w:hint="default" w:ascii="Times New Roman" w:hAnsi="Times New Roman" w:cs="Times New Roman"/>
                <w:color w:val="000000" w:themeColor="text1"/>
                <w:spacing w:val="-3"/>
                <w:sz w:val="21"/>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钢</w:t>
            </w:r>
            <w:r>
              <w:rPr>
                <w:rFonts w:hint="default" w:ascii="Times New Roman" w:hAnsi="Times New Roman" w:cs="Times New Roman"/>
                <w:color w:val="000000" w:themeColor="text1"/>
                <w:spacing w:val="-3"/>
                <w:sz w:val="21"/>
                <w14:textFill>
                  <w14:solidFill>
                    <w14:schemeClr w14:val="tx1"/>
                  </w14:solidFill>
                </w14:textFill>
              </w:rPr>
              <w:t>制</w:t>
            </w:r>
            <w:r>
              <w:rPr>
                <w:rFonts w:hint="default" w:ascii="Times New Roman" w:hAnsi="Times New Roman" w:cs="Times New Roman"/>
                <w:color w:val="000000" w:themeColor="text1"/>
                <w:sz w:val="21"/>
                <w14:textFill>
                  <w14:solidFill>
                    <w14:schemeClr w14:val="tx1"/>
                  </w14:solidFill>
                </w14:textFill>
              </w:rPr>
              <w:t>气</w:t>
            </w:r>
            <w:r>
              <w:rPr>
                <w:rFonts w:hint="default" w:ascii="Times New Roman" w:hAnsi="Times New Roman" w:cs="Times New Roman"/>
                <w:color w:val="000000" w:themeColor="text1"/>
                <w:spacing w:val="-3"/>
                <w:sz w:val="21"/>
                <w14:textFill>
                  <w14:solidFill>
                    <w14:schemeClr w14:val="tx1"/>
                  </w14:solidFill>
                </w14:textFill>
              </w:rPr>
              <w:t>瓶</w:t>
            </w:r>
            <w:r>
              <w:rPr>
                <w:rFonts w:hint="default" w:ascii="Times New Roman" w:hAnsi="Times New Roman" w:cs="Times New Roman"/>
                <w:color w:val="000000" w:themeColor="text1"/>
                <w:sz w:val="21"/>
                <w14:textFill>
                  <w14:solidFill>
                    <w14:schemeClr w14:val="tx1"/>
                  </w14:solidFill>
                </w14:textFill>
              </w:rPr>
              <w:t>。</w:t>
            </w:r>
          </w:p>
          <w:p>
            <w:pPr>
              <w:pStyle w:val="112"/>
              <w:keepNext w:val="0"/>
              <w:keepLines w:val="0"/>
              <w:suppressLineNumbers w:val="0"/>
              <w:spacing w:before="2" w:beforeAutospacing="0" w:after="0" w:afterAutospacing="0" w:line="232" w:lineRule="auto"/>
              <w:ind w:left="0" w:right="87"/>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pacing w:val="-5"/>
                <w:sz w:val="21"/>
                <w14:textFill>
                  <w14:solidFill>
                    <w14:schemeClr w14:val="tx1"/>
                  </w14:solidFill>
                </w14:textFill>
              </w:rPr>
              <w:t xml:space="preserve">储运条件：易燃有毒的压缩气体。储存于阴凉、通风仓间内。仓内温度不宜超过 </w:t>
            </w:r>
            <w:r>
              <w:rPr>
                <w:rFonts w:hint="default" w:ascii="Times New Roman" w:hAnsi="Times New Roman" w:eastAsia="Times New Roman" w:cs="Times New Roman"/>
                <w:color w:val="000000" w:themeColor="text1"/>
                <w:sz w:val="21"/>
                <w14:textFill>
                  <w14:solidFill>
                    <w14:schemeClr w14:val="tx1"/>
                  </w14:solidFill>
                </w14:textFill>
              </w:rPr>
              <w:t>30</w:t>
            </w:r>
            <w:r>
              <w:rPr>
                <w:rFonts w:hint="default" w:ascii="Times New Roman" w:hAnsi="Times New Roman" w:cs="Times New Roman"/>
                <w:color w:val="000000" w:themeColor="text1"/>
                <w:spacing w:val="-2"/>
                <w:sz w:val="21"/>
                <w14:textFill>
                  <w14:solidFill>
                    <w14:schemeClr w14:val="tx1"/>
                  </w14:solidFill>
                </w14:textFill>
              </w:rPr>
              <w:t>℃。远离</w:t>
            </w:r>
            <w:r>
              <w:rPr>
                <w:rFonts w:hint="default" w:ascii="Times New Roman" w:hAnsi="Times New Roman" w:cs="Times New Roman"/>
                <w:color w:val="000000" w:themeColor="text1"/>
                <w:spacing w:val="-4"/>
                <w:sz w:val="21"/>
                <w14:textFill>
                  <w14:solidFill>
                    <w14:schemeClr w14:val="tx1"/>
                  </w14:solidFill>
                </w14:textFill>
              </w:rPr>
              <w:t>火种、热源。防止阳光直射。保持容器密封。配备相应品种和数量的消防器材。禁止使用易产生火花的机械设备和工具。验收时要注意品名，注意验瓶日期，先进仓的先发用。平时要注意检查容器是否有泄漏现象。搬运时轻装轻卸，防止钢瓶及附件破损。运输按规定路线行</w:t>
            </w:r>
          </w:p>
          <w:p>
            <w:pPr>
              <w:pStyle w:val="112"/>
              <w:keepNext w:val="0"/>
              <w:keepLines w:val="0"/>
              <w:suppressLineNumbers w:val="0"/>
              <w:spacing w:before="0" w:beforeAutospacing="0" w:after="0" w:afterAutospacing="0" w:line="232" w:lineRule="exact"/>
              <w:ind w:left="0" w:right="0"/>
              <w:jc w:val="both"/>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驶，勿在居民区和人口稠密区停留。</w:t>
            </w:r>
          </w:p>
        </w:tc>
      </w:tr>
    </w:tbl>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b/>
          <w:bCs w:val="0"/>
          <w:color w:val="000000" w:themeColor="text1"/>
          <w14:textFill>
            <w14:solidFill>
              <w14:schemeClr w14:val="tx1"/>
            </w14:solidFill>
          </w14:textFill>
        </w:rPr>
        <w:t xml:space="preserve"> CO</w:t>
      </w:r>
      <w:r>
        <w:rPr>
          <w:color w:val="000000" w:themeColor="text1"/>
          <w14:textFill>
            <w14:solidFill>
              <w14:schemeClr w14:val="tx1"/>
            </w14:solidFill>
          </w14:textFill>
        </w:rPr>
        <w:t>理化性质和危险特性</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28"/>
        <w:gridCol w:w="1150"/>
        <w:gridCol w:w="145"/>
        <w:gridCol w:w="1437"/>
        <w:gridCol w:w="143"/>
        <w:gridCol w:w="1061"/>
        <w:gridCol w:w="378"/>
        <w:gridCol w:w="863"/>
        <w:gridCol w:w="307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restar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化学品名称</w:t>
            </w:r>
          </w:p>
        </w:tc>
        <w:tc>
          <w:tcPr>
            <w:tcW w:w="2167" w:type="pct"/>
            <w:gridSpan w:val="5"/>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化学品中文名称：</w:t>
            </w:r>
            <w:r>
              <w:rPr>
                <w:rFonts w:ascii="Times New Roman" w:hAnsi="Times New Roman" w:eastAsia="宋体" w:cs="Times New Roman"/>
                <w:color w:val="000000" w:themeColor="text1"/>
                <w:spacing w:val="10"/>
                <w:sz w:val="21"/>
                <w:szCs w:val="21"/>
                <w14:textFill>
                  <w14:solidFill>
                    <w14:schemeClr w14:val="tx1"/>
                  </w14:solidFill>
                </w14:textFill>
              </w:rPr>
              <w:t>一氧化碳</w:t>
            </w:r>
          </w:p>
        </w:tc>
        <w:tc>
          <w:tcPr>
            <w:tcW w:w="2377" w:type="pct"/>
            <w:gridSpan w:val="3"/>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化学品俗称：无资料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2167" w:type="pct"/>
            <w:gridSpan w:val="5"/>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化学品英文名称：Carbon monoxide</w:t>
            </w:r>
          </w:p>
        </w:tc>
        <w:tc>
          <w:tcPr>
            <w:tcW w:w="2377" w:type="pct"/>
            <w:gridSpan w:val="3"/>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英文名称：无资料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1504" w:type="pct"/>
            <w:gridSpan w:val="3"/>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CAS号：630-08-0</w:t>
            </w:r>
          </w:p>
        </w:tc>
        <w:tc>
          <w:tcPr>
            <w:tcW w:w="1346" w:type="pct"/>
            <w:gridSpan w:val="4"/>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UN编号：1016</w:t>
            </w:r>
          </w:p>
        </w:tc>
        <w:tc>
          <w:tcPr>
            <w:tcW w:w="169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危险货物号：21005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restar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理化特性</w:t>
            </w:r>
          </w:p>
        </w:tc>
        <w:tc>
          <w:tcPr>
            <w:tcW w:w="4544" w:type="pct"/>
            <w:gridSpan w:val="8"/>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外观与性状：</w:t>
            </w:r>
            <w:r>
              <w:rPr>
                <w:rFonts w:ascii="Times New Roman" w:hAnsi="Times New Roman" w:eastAsia="宋体" w:cs="Times New Roman"/>
                <w:color w:val="000000" w:themeColor="text1"/>
                <w:spacing w:val="10"/>
                <w:sz w:val="21"/>
                <w:szCs w:val="21"/>
                <w14:textFill>
                  <w14:solidFill>
                    <w14:schemeClr w14:val="tx1"/>
                  </w14:solidFill>
                </w14:textFill>
              </w:rPr>
              <w:t>无色、无臭、无刺激性的气体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1583" w:type="pct"/>
            <w:gridSpan w:val="4"/>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分子式：CO</w:t>
            </w:r>
          </w:p>
        </w:tc>
        <w:tc>
          <w:tcPr>
            <w:tcW w:w="1267" w:type="pct"/>
            <w:gridSpan w:val="3"/>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溶点：-199.1℃</w:t>
            </w:r>
          </w:p>
        </w:tc>
        <w:tc>
          <w:tcPr>
            <w:tcW w:w="169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相对密度(水=1)：0.79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1583" w:type="pct"/>
            <w:gridSpan w:val="4"/>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分子量：28.01</w:t>
            </w:r>
          </w:p>
        </w:tc>
        <w:tc>
          <w:tcPr>
            <w:tcW w:w="1267" w:type="pct"/>
            <w:gridSpan w:val="3"/>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沸点：-191.4℃</w:t>
            </w:r>
          </w:p>
        </w:tc>
        <w:tc>
          <w:tcPr>
            <w:tcW w:w="169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相对蒸汽密度(空气=1)：0.97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1583" w:type="pct"/>
            <w:gridSpan w:val="4"/>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饱和蒸气压：309kPa(-180℃)</w:t>
            </w:r>
          </w:p>
        </w:tc>
        <w:tc>
          <w:tcPr>
            <w:tcW w:w="2960" w:type="pct"/>
            <w:gridSpan w:val="4"/>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溶解性：溶于水、乙醇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713" w:type="pct"/>
            <w:gridSpan w:val="2"/>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化学性质</w:t>
            </w:r>
          </w:p>
        </w:tc>
        <w:tc>
          <w:tcPr>
            <w:tcW w:w="3830" w:type="pct"/>
            <w:gridSpan w:val="6"/>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可燃性、还原性、毒性、极弱的氧化性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restar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危险性概述</w:t>
            </w:r>
          </w:p>
        </w:tc>
        <w:tc>
          <w:tcPr>
            <w:tcW w:w="2375" w:type="pct"/>
            <w:gridSpan w:val="6"/>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健康危险性类别：LD50：无资料</w:t>
            </w:r>
          </w:p>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LC50：2069mg/m</w:t>
            </w:r>
            <w:r>
              <w:rPr>
                <w:rFonts w:ascii="Times New Roman" w:hAnsi="Times New Roman" w:eastAsia="宋体" w:cs="Times New Roman"/>
                <w:color w:val="000000" w:themeColor="text1"/>
                <w:sz w:val="21"/>
                <w:szCs w:val="21"/>
                <w:vertAlign w:val="superscript"/>
                <w14:textFill>
                  <w14:solidFill>
                    <w14:schemeClr w14:val="tx1"/>
                  </w14:solidFill>
                </w14:textFill>
              </w:rPr>
              <w:t>3</w:t>
            </w:r>
            <w:r>
              <w:rPr>
                <w:rFonts w:ascii="Times New Roman" w:hAnsi="Times New Roman" w:eastAsia="宋体" w:cs="Times New Roman"/>
                <w:color w:val="000000" w:themeColor="text1"/>
                <w:sz w:val="21"/>
                <w:szCs w:val="21"/>
                <w14:textFill>
                  <w14:solidFill>
                    <w14:schemeClr w14:val="tx1"/>
                  </w14:solidFill>
                </w14:textFill>
              </w:rPr>
              <w:t>，4小时(大鼠吸入)</w:t>
            </w:r>
          </w:p>
        </w:tc>
        <w:tc>
          <w:tcPr>
            <w:tcW w:w="2169" w:type="pct"/>
            <w:gridSpan w:val="2"/>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侵入途径：接触、吸入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63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健康危害</w:t>
            </w:r>
          </w:p>
        </w:tc>
        <w:tc>
          <w:tcPr>
            <w:tcW w:w="3910" w:type="pct"/>
            <w:gridSpan w:val="7"/>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一氧化碳在血中与血红蛋白结合而造成组织缺氧。急性中毒：轻度中毒者出现头痛、头晕、耳鸣、心悸、恶心、呕吐、无力，血液碳氧血红蛋白浓度可高于10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；中度中毒者除上述症状外，还有皮肤粘膜呈樱红色、脉快、烦躁、步态不稳、浅至中度昏迷，血液碳氧血红蛋白浓度可高于30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；重度患者深度昏迷、瞳孔缩小、肌张力增强、频繁抽搐、大小便失禁、休克、肺水肿、严重心肌损害等，血液碳氧血红蛋白可高于50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。部分患者昏迷苏醒后，约经2~60天的症状缓解期后，又可能出现迟发性脑病，以意识精神障碍、锥体系或锥体外系损害为主。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63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环境危害</w:t>
            </w:r>
          </w:p>
        </w:tc>
        <w:tc>
          <w:tcPr>
            <w:tcW w:w="3910" w:type="pct"/>
            <w:gridSpan w:val="7"/>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对大气可造成严重污染</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6"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p>
        </w:tc>
        <w:tc>
          <w:tcPr>
            <w:tcW w:w="63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燃烧危害</w:t>
            </w:r>
          </w:p>
        </w:tc>
        <w:tc>
          <w:tcPr>
            <w:tcW w:w="3910" w:type="pct"/>
            <w:gridSpan w:val="7"/>
            <w:noWrap w:val="0"/>
            <w:tcMar>
              <w:left w:w="28" w:type="dxa"/>
              <w:right w:w="28" w:type="dxa"/>
            </w:tcMar>
            <w:vAlign w:val="center"/>
          </w:tcPr>
          <w:p>
            <w:pPr>
              <w:keepNext w:val="0"/>
              <w:keepLines w:val="0"/>
              <w:suppressLineNumbers w:val="0"/>
              <w:adjustRightInd w:val="0"/>
              <w:snapToGrid w:val="0"/>
              <w:spacing w:before="0" w:beforeAutospacing="0" w:after="0" w:afterAutospacing="0" w:line="260" w:lineRule="exact"/>
              <w:ind w:left="0" w:right="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是一种易燃易爆气体。与空气混合能形成爆炸性混合物，遇明火、高热能引起燃烧爆炸</w:t>
            </w:r>
          </w:p>
        </w:tc>
      </w:tr>
    </w:tbl>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氨</w:t>
      </w:r>
      <w:r>
        <w:rPr>
          <w:color w:val="000000" w:themeColor="text1"/>
          <w14:textFill>
            <w14:solidFill>
              <w14:schemeClr w14:val="tx1"/>
            </w14:solidFill>
          </w14:textFill>
        </w:rPr>
        <w:t>理化性质和危险特性</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478"/>
        <w:gridCol w:w="1969"/>
        <w:gridCol w:w="2311"/>
        <w:gridCol w:w="2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restart"/>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标识</w:t>
            </w:r>
          </w:p>
        </w:tc>
        <w:tc>
          <w:tcPr>
            <w:tcW w:w="3447"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英文名：ammonia</w:t>
            </w:r>
          </w:p>
        </w:tc>
        <w:tc>
          <w:tcPr>
            <w:tcW w:w="4622"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危险性类别：第2.3类有毒气体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3447"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分子式：NH</w:t>
            </w:r>
            <w:r>
              <w:rPr>
                <w:rFonts w:hint="eastAsia"/>
                <w:b w:val="0"/>
                <w:bCs/>
                <w:color w:val="000000" w:themeColor="text1"/>
                <w:sz w:val="21"/>
                <w:szCs w:val="21"/>
                <w:vertAlign w:val="subscript"/>
                <w:lang w:val="en-US" w:eastAsia="zh-CN"/>
                <w14:textFill>
                  <w14:solidFill>
                    <w14:schemeClr w14:val="tx1"/>
                  </w14:solidFill>
                </w14:textFill>
              </w:rPr>
              <w:t>3</w:t>
            </w:r>
          </w:p>
        </w:tc>
        <w:tc>
          <w:tcPr>
            <w:tcW w:w="4622"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CAS号：7664-41-7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3447"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分子量：17.03</w:t>
            </w:r>
          </w:p>
        </w:tc>
        <w:tc>
          <w:tcPr>
            <w:tcW w:w="4622"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国际编号：23003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restart"/>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理化性质</w:t>
            </w: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外观与性状</w:t>
            </w:r>
          </w:p>
        </w:tc>
        <w:tc>
          <w:tcPr>
            <w:tcW w:w="6591" w:type="dxa"/>
            <w:gridSpan w:val="3"/>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在大气中，无色有刺激性恶臭的气味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熔点</w:t>
            </w:r>
          </w:p>
        </w:tc>
        <w:tc>
          <w:tcPr>
            <w:tcW w:w="1969"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-77.7℃</w:t>
            </w:r>
          </w:p>
        </w:tc>
        <w:tc>
          <w:tcPr>
            <w:tcW w:w="2311"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相对密度（水</w:t>
            </w:r>
            <w:r>
              <w:rPr>
                <w:rFonts w:cs="Calibri"/>
                <w:b w:val="0"/>
                <w:bCs/>
                <w:color w:val="000000" w:themeColor="text1"/>
                <w:sz w:val="21"/>
                <w:szCs w:val="21"/>
                <w14:textFill>
                  <w14:solidFill>
                    <w14:schemeClr w14:val="tx1"/>
                  </w14:solidFill>
                </w14:textFill>
              </w:rPr>
              <w:t>=</w:t>
            </w:r>
            <w:r>
              <w:rPr>
                <w:rFonts w:hint="eastAsia" w:cs="Calibri"/>
                <w:b w:val="0"/>
                <w:bCs/>
                <w:color w:val="000000" w:themeColor="text1"/>
                <w:sz w:val="21"/>
                <w:szCs w:val="21"/>
                <w:lang w:val="en-US" w:eastAsia="zh-CN"/>
                <w14:textFill>
                  <w14:solidFill>
                    <w14:schemeClr w14:val="tx1"/>
                  </w14:solidFill>
                </w14:textFill>
              </w:rPr>
              <w:t>1</w:t>
            </w:r>
            <w:r>
              <w:rPr>
                <w:rFonts w:hint="eastAsia"/>
                <w:b w:val="0"/>
                <w:bCs/>
                <w:color w:val="000000" w:themeColor="text1"/>
                <w:sz w:val="21"/>
                <w:szCs w:val="21"/>
                <w:vertAlign w:val="baseline"/>
                <w:lang w:val="en-US" w:eastAsia="zh-CN"/>
                <w14:textFill>
                  <w14:solidFill>
                    <w14:schemeClr w14:val="tx1"/>
                  </w14:solidFill>
                </w14:textFill>
              </w:rPr>
              <w:t>）</w:t>
            </w:r>
          </w:p>
        </w:tc>
        <w:tc>
          <w:tcPr>
            <w:tcW w:w="2311"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0.82（-79℃）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沸点</w:t>
            </w:r>
          </w:p>
        </w:tc>
        <w:tc>
          <w:tcPr>
            <w:tcW w:w="1969"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-35.5℃</w:t>
            </w:r>
          </w:p>
        </w:tc>
        <w:tc>
          <w:tcPr>
            <w:tcW w:w="2311"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相对密度（空气</w:t>
            </w:r>
            <w:r>
              <w:rPr>
                <w:rFonts w:cs="Calibri"/>
                <w:b w:val="0"/>
                <w:bCs/>
                <w:color w:val="000000" w:themeColor="text1"/>
                <w:sz w:val="21"/>
                <w:szCs w:val="21"/>
                <w14:textFill>
                  <w14:solidFill>
                    <w14:schemeClr w14:val="tx1"/>
                  </w14:solidFill>
                </w14:textFill>
              </w:rPr>
              <w:t>=</w:t>
            </w:r>
            <w:r>
              <w:rPr>
                <w:rFonts w:hint="eastAsia" w:cs="Calibri"/>
                <w:b w:val="0"/>
                <w:bCs/>
                <w:color w:val="000000" w:themeColor="text1"/>
                <w:sz w:val="21"/>
                <w:szCs w:val="21"/>
                <w:lang w:val="en-US" w:eastAsia="zh-CN"/>
                <w14:textFill>
                  <w14:solidFill>
                    <w14:schemeClr w14:val="tx1"/>
                  </w14:solidFill>
                </w14:textFill>
              </w:rPr>
              <w:t>1</w:t>
            </w:r>
            <w:r>
              <w:rPr>
                <w:rFonts w:hint="eastAsia"/>
                <w:b w:val="0"/>
                <w:bCs/>
                <w:color w:val="000000" w:themeColor="text1"/>
                <w:sz w:val="21"/>
                <w:szCs w:val="21"/>
                <w:vertAlign w:val="baseline"/>
                <w:lang w:val="en-US" w:eastAsia="zh-CN"/>
                <w14:textFill>
                  <w14:solidFill>
                    <w14:schemeClr w14:val="tx1"/>
                  </w14:solidFill>
                </w14:textFill>
              </w:rPr>
              <w:t>）</w:t>
            </w:r>
          </w:p>
        </w:tc>
        <w:tc>
          <w:tcPr>
            <w:tcW w:w="2311"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蒸气压</w:t>
            </w:r>
          </w:p>
        </w:tc>
        <w:tc>
          <w:tcPr>
            <w:tcW w:w="1969"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506.62kPa（4.7℃）</w:t>
            </w:r>
          </w:p>
        </w:tc>
        <w:tc>
          <w:tcPr>
            <w:tcW w:w="2311"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溶解性</w:t>
            </w:r>
          </w:p>
        </w:tc>
        <w:tc>
          <w:tcPr>
            <w:tcW w:w="2311"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易溶于水、乙醇、乙醚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主要用途</w:t>
            </w:r>
          </w:p>
        </w:tc>
        <w:tc>
          <w:tcPr>
            <w:tcW w:w="6591" w:type="dxa"/>
            <w:gridSpan w:val="3"/>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用作制冷剂及制取铵盐和氮肥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restart"/>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健康危害</w:t>
            </w: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侵入途径</w:t>
            </w:r>
          </w:p>
        </w:tc>
        <w:tc>
          <w:tcPr>
            <w:tcW w:w="6591" w:type="dxa"/>
            <w:gridSpan w:val="3"/>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健康危害</w:t>
            </w:r>
          </w:p>
        </w:tc>
        <w:tc>
          <w:tcPr>
            <w:tcW w:w="6591" w:type="dxa"/>
            <w:gridSpan w:val="3"/>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低浓度氨对粘膜有刺激作用，高浓度可造成组织溶解坏死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restart"/>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燃烧爆炸危险特性</w:t>
            </w:r>
          </w:p>
        </w:tc>
        <w:tc>
          <w:tcPr>
            <w:tcW w:w="1478"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危险特性</w:t>
            </w:r>
          </w:p>
        </w:tc>
        <w:tc>
          <w:tcPr>
            <w:tcW w:w="6591" w:type="dxa"/>
            <w:gridSpan w:val="3"/>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与空气混合，含氨量为15.7%~27.4%时，遇到电焊、气割、气焊、电器线路短路等产生的明火、高能热，在密闭空间内有爆炸、开裂的危险。与氟、氯等接触会发生剧烈化学反应。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vMerge w:val="continue"/>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p>
        </w:tc>
        <w:tc>
          <w:tcPr>
            <w:tcW w:w="3447"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燃烧（分解）产物</w:t>
            </w:r>
          </w:p>
        </w:tc>
        <w:tc>
          <w:tcPr>
            <w:tcW w:w="4622" w:type="dxa"/>
            <w:gridSpan w:val="2"/>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氧化氮、氨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毒理学资料及环境行为</w:t>
            </w:r>
          </w:p>
        </w:tc>
        <w:tc>
          <w:tcPr>
            <w:tcW w:w="8069" w:type="dxa"/>
            <w:gridSpan w:val="4"/>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毒性：属低毒类。 急性毒性：LD</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50</w:t>
            </w:r>
            <w:r>
              <w:rPr>
                <w:rFonts w:hint="eastAsia" w:ascii="Times New Roman" w:hAnsi="Times New Roman" w:cs="Times New Roman"/>
                <w:b w:val="0"/>
                <w:bCs/>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350mg/kg(大鼠经口)；LC</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50</w:t>
            </w:r>
            <w:r>
              <w:rPr>
                <w:rFonts w:hint="eastAsia" w:ascii="Times New Roman" w:hAnsi="Times New Roman" w:cs="Times New Roman"/>
                <w:b w:val="0"/>
                <w:bCs/>
                <w:color w:val="000000" w:themeColor="text1"/>
                <w:sz w:val="21"/>
                <w:szCs w:val="21"/>
                <w:vertAlign w:val="baseli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1390mg/m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，4小时，(大鼠吸入)。 刺激性：家兔经眼：100ppm，重度刺激。 亚急性慢性毒性：大鼠，20mg/m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，24小时/天，84天，或5～6小时/天，7个月，出现神经系统功能紊乱，血胆碱酯酶活 性抑制等。 致突变性：微生物致突变性：大肠杆菌1500ppm(3小时)。细胞遗传学分析：大鼠吸入19800µg/m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，16周。 污染来源：在石油精炼、氮肥工业、合成纤维、鞣皮、人造冰、油漆、塑料、树脂、染料、医药以及制造氰化物和有机 腈的生产中都有氨的使用和排放，氨系用氢和氮在触媒作用下合成，为制取各种含氨产品的主要原料。 危险特性：与空气混合能形成爆炸性混合物。遇明火、高热能引起燃烧爆炸。与氟、氯等接触会发生剧烈的化学反应。 若遇高热，容器内压增大，有开裂和爆炸的危险。 燃烧(分解)产物：氧化氮、氨。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泄露应急处理</w:t>
            </w:r>
          </w:p>
        </w:tc>
        <w:tc>
          <w:tcPr>
            <w:tcW w:w="8069" w:type="dxa"/>
            <w:gridSpan w:val="4"/>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迅速撤离泄露污染区人员至上风处。并立即进行隔离150米，严格限制出入，切断火源。建议应急处理人员戴自给正压式呼吸器，穿防毒服。尽可能切断泄露源。合理通风，加速扩散。高浓度泄露区，喷含盐酸的雾状水中和、稀释、溶解。构筑围堤或挖坑收容产生的大量废水。储罐区最好设稀酸喷洒设施。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vertAlign w:val="baseline"/>
                <w:lang w:val="en-US" w:eastAsia="zh-CN"/>
                <w14:textFill>
                  <w14:solidFill>
                    <w14:schemeClr w14:val="tx1"/>
                  </w14:solidFill>
                </w14:textFill>
              </w:rPr>
            </w:pP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急救措施</w:t>
            </w:r>
          </w:p>
        </w:tc>
        <w:tc>
          <w:tcPr>
            <w:tcW w:w="8069" w:type="dxa"/>
            <w:gridSpan w:val="4"/>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皮肤接触：立即脱去污染的衣着，应用2%硼酸液或大量清水彻底冲洗；就医。眼睛接触：立即提起眼脸，用大量流动清水或生理盐水特低冲洗至少15min；就医。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eastAsia="宋体" w:cs="Calibri"/>
                <w:b w:val="0"/>
                <w:bCs/>
                <w:color w:val="000000" w:themeColor="text1"/>
                <w:sz w:val="21"/>
                <w:szCs w:val="21"/>
                <w:lang w:val="en-US" w:eastAsia="zh-CN"/>
                <w14:textFill>
                  <w14:solidFill>
                    <w14:schemeClr w14:val="tx1"/>
                  </w14:solidFill>
                </w14:textFill>
              </w:rPr>
            </w:pPr>
            <w:r>
              <w:rPr>
                <w:rFonts w:hint="eastAsia" w:eastAsia="宋体" w:cs="Calibri"/>
                <w:b w:val="0"/>
                <w:bCs/>
                <w:color w:val="000000" w:themeColor="text1"/>
                <w:sz w:val="21"/>
                <w:szCs w:val="21"/>
                <w:vertAlign w:val="baseline"/>
                <w:lang w:val="en-US" w:eastAsia="zh-CN"/>
                <w14:textFill>
                  <w14:solidFill>
                    <w14:schemeClr w14:val="tx1"/>
                  </w14:solidFill>
                </w14:textFill>
              </w:rPr>
              <w:t>吸入：迅速脱离现场至空气新鲜处，保持呼吸道通畅，如呼吸困难，给输氧，如呼吸停止，立即进行人工呼吸；就医。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消防措施</w:t>
            </w:r>
          </w:p>
        </w:tc>
        <w:tc>
          <w:tcPr>
            <w:tcW w:w="8069" w:type="dxa"/>
            <w:gridSpan w:val="4"/>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有害燃烧产物：氧化氮、氨。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eastAsia="宋体" w:cs="Calibri"/>
                <w:b w:val="0"/>
                <w:bCs/>
                <w:color w:val="000000" w:themeColor="text1"/>
                <w:sz w:val="21"/>
                <w:szCs w:val="21"/>
                <w:lang w:val="en-US" w:eastAsia="zh-CN"/>
                <w14:textFill>
                  <w14:solidFill>
                    <w14:schemeClr w14:val="tx1"/>
                  </w14:solidFill>
                </w14:textFill>
              </w:rPr>
            </w:pPr>
            <w:r>
              <w:rPr>
                <w:rFonts w:hint="eastAsia" w:eastAsia="宋体" w:cs="Calibri"/>
                <w:b w:val="0"/>
                <w:bCs/>
                <w:color w:val="000000" w:themeColor="text1"/>
                <w:sz w:val="21"/>
                <w:szCs w:val="21"/>
                <w:lang w:val="en-US" w:eastAsia="zh-CN"/>
                <w14:textFill>
                  <w14:solidFill>
                    <w14:schemeClr w14:val="tx1"/>
                  </w14:solidFill>
                </w14:textFill>
              </w:rPr>
              <w:t>灭火方法：消防人员必须穿全身防火防毒服，在上风向灭火，切断气源；若不能切断气源，则不允许熄灭泄漏处的火焰，喷水冷却容器，可能的话将容器从火场移至空旷处。</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leftChars="0" w:right="0" w:firstLine="0" w:firstLineChars="0"/>
              <w:jc w:val="left"/>
              <w:textAlignment w:val="auto"/>
              <w:rPr>
                <w:rFonts w:hint="default"/>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灭火剂：雾状水、抗溶性泡沫、二氧化碳、砂土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3"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eastAsia="宋体"/>
                <w:b w:val="0"/>
                <w:bCs/>
                <w:color w:val="000000" w:themeColor="text1"/>
                <w:sz w:val="21"/>
                <w:szCs w:val="21"/>
                <w:vertAlign w:val="baseline"/>
                <w:lang w:val="en-US" w:eastAsia="zh-CN"/>
                <w14:textFill>
                  <w14:solidFill>
                    <w14:schemeClr w14:val="tx1"/>
                  </w14:solidFill>
                </w14:textFill>
              </w:rPr>
            </w:pPr>
            <w:r>
              <w:rPr>
                <w:rFonts w:hint="eastAsia"/>
                <w:b w:val="0"/>
                <w:bCs/>
                <w:color w:val="000000" w:themeColor="text1"/>
                <w:sz w:val="21"/>
                <w:szCs w:val="21"/>
                <w:vertAlign w:val="baseline"/>
                <w:lang w:val="en-US" w:eastAsia="zh-CN"/>
                <w14:textFill>
                  <w14:solidFill>
                    <w14:schemeClr w14:val="tx1"/>
                  </w14:solidFill>
                </w14:textFill>
              </w:rPr>
              <w:t>接触控制/个体防护</w:t>
            </w:r>
          </w:p>
        </w:tc>
        <w:tc>
          <w:tcPr>
            <w:tcW w:w="8069" w:type="dxa"/>
            <w:gridSpan w:val="4"/>
            <w:tcBorders>
              <w:tl2br w:val="nil"/>
              <w:tr2bl w:val="nil"/>
            </w:tcBorders>
            <w:noWrap w:val="0"/>
            <w:vAlign w:val="top"/>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最高容许浓度：中国MAC（mg/m</w:t>
            </w:r>
            <w:r>
              <w:rPr>
                <w:rFonts w:hint="eastAsia"/>
                <w:b w:val="0"/>
                <w:bCs/>
                <w:color w:val="000000" w:themeColor="text1"/>
                <w:sz w:val="21"/>
                <w:szCs w:val="21"/>
                <w:vertAlign w:val="superscript"/>
                <w:lang w:val="en-US" w:eastAsia="zh-CN"/>
                <w14:textFill>
                  <w14:solidFill>
                    <w14:schemeClr w14:val="tx1"/>
                  </w14:solidFill>
                </w14:textFill>
              </w:rPr>
              <w:t>3</w:t>
            </w:r>
            <w:r>
              <w:rPr>
                <w:rFonts w:hint="eastAsia"/>
                <w:b w:val="0"/>
                <w:bCs/>
                <w:color w:val="000000" w:themeColor="text1"/>
                <w:sz w:val="21"/>
                <w:szCs w:val="21"/>
                <w:lang w:val="en-US" w:eastAsia="zh-CN"/>
                <w14:textFill>
                  <w14:solidFill>
                    <w14:schemeClr w14:val="tx1"/>
                  </w14:solidFill>
                </w14:textFill>
              </w:rPr>
              <w:t>）：30  前苏联MAC（mg/m</w:t>
            </w:r>
            <w:r>
              <w:rPr>
                <w:rFonts w:hint="eastAsia"/>
                <w:b w:val="0"/>
                <w:bCs/>
                <w:color w:val="000000" w:themeColor="text1"/>
                <w:sz w:val="21"/>
                <w:szCs w:val="21"/>
                <w:vertAlign w:val="superscript"/>
                <w:lang w:val="en-US" w:eastAsia="zh-CN"/>
                <w14:textFill>
                  <w14:solidFill>
                    <w14:schemeClr w14:val="tx1"/>
                  </w14:solidFill>
                </w14:textFill>
              </w:rPr>
              <w:t>3</w:t>
            </w:r>
            <w:r>
              <w:rPr>
                <w:rFonts w:hint="eastAsia"/>
                <w:b w:val="0"/>
                <w:bCs/>
                <w:color w:val="000000" w:themeColor="text1"/>
                <w:sz w:val="21"/>
                <w:szCs w:val="21"/>
                <w:lang w:val="en-US" w:eastAsia="zh-CN"/>
                <w14:textFill>
                  <w14:solidFill>
                    <w14:schemeClr w14:val="tx1"/>
                  </w14:solidFill>
                </w14:textFill>
              </w:rPr>
              <w:t>）：20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eastAsia="宋体" w:cs="Calibri"/>
                <w:b w:val="0"/>
                <w:bCs/>
                <w:color w:val="000000" w:themeColor="text1"/>
                <w:sz w:val="21"/>
                <w:szCs w:val="21"/>
                <w:lang w:val="en-US" w:eastAsia="zh-CN"/>
                <w14:textFill>
                  <w14:solidFill>
                    <w14:schemeClr w14:val="tx1"/>
                  </w14:solidFill>
                </w14:textFill>
              </w:rPr>
            </w:pPr>
            <w:r>
              <w:rPr>
                <w:rFonts w:hint="eastAsia" w:eastAsia="宋体" w:cs="Calibri"/>
                <w:b w:val="0"/>
                <w:bCs/>
                <w:color w:val="000000" w:themeColor="text1"/>
                <w:sz w:val="21"/>
                <w:szCs w:val="21"/>
                <w:lang w:val="en-US" w:eastAsia="zh-CN"/>
                <w14:textFill>
                  <w14:solidFill>
                    <w14:schemeClr w14:val="tx1"/>
                  </w14:solidFill>
                </w14:textFill>
              </w:rPr>
              <w:t>工程控制：严加密闭，提供充分的局部排风和全面通风，提供安全淋浴和洗眼设备。</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监测方法：纳氏试剂比色法。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eastAsia="宋体" w:cs="Calibri"/>
                <w:b w:val="0"/>
                <w:bCs/>
                <w:color w:val="000000" w:themeColor="text1"/>
                <w:sz w:val="21"/>
                <w:szCs w:val="21"/>
                <w:lang w:val="en-US" w:eastAsia="zh-CN"/>
                <w14:textFill>
                  <w14:solidFill>
                    <w14:schemeClr w14:val="tx1"/>
                  </w14:solidFill>
                </w14:textFill>
              </w:rPr>
            </w:pPr>
            <w:r>
              <w:rPr>
                <w:rFonts w:hint="eastAsia" w:eastAsia="宋体" w:cs="Calibri"/>
                <w:b w:val="0"/>
                <w:bCs/>
                <w:color w:val="000000" w:themeColor="text1"/>
                <w:sz w:val="21"/>
                <w:szCs w:val="21"/>
                <w:lang w:val="en-US" w:eastAsia="zh-CN"/>
                <w14:textFill>
                  <w14:solidFill>
                    <w14:schemeClr w14:val="tx1"/>
                  </w14:solidFill>
                </w14:textFill>
              </w:rPr>
              <w:t>呼吸系统防护：空气中浓度超标时，建议佩戴过滤防毒面具（半面罩）。紧急事态抢救或撤离时，必须佩戴空气呼吸器。</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眼睛防护：带化学安全防护眼睛。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eastAsia="宋体" w:cs="Calibri"/>
                <w:b w:val="0"/>
                <w:bCs/>
                <w:color w:val="000000" w:themeColor="text1"/>
                <w:sz w:val="21"/>
                <w:szCs w:val="21"/>
                <w:lang w:val="en-US" w:eastAsia="zh-CN"/>
                <w14:textFill>
                  <w14:solidFill>
                    <w14:schemeClr w14:val="tx1"/>
                  </w14:solidFill>
                </w14:textFill>
              </w:rPr>
            </w:pPr>
            <w:r>
              <w:rPr>
                <w:rFonts w:hint="eastAsia" w:eastAsia="宋体" w:cs="Calibri"/>
                <w:b w:val="0"/>
                <w:bCs/>
                <w:color w:val="000000" w:themeColor="text1"/>
                <w:sz w:val="21"/>
                <w:szCs w:val="21"/>
                <w:lang w:val="en-US" w:eastAsia="zh-CN"/>
                <w14:textFill>
                  <w14:solidFill>
                    <w14:schemeClr w14:val="tx1"/>
                  </w14:solidFill>
                </w14:textFill>
              </w:rPr>
              <w:t>身体防护：穿防静电工作服。</w:t>
            </w:r>
          </w:p>
          <w:p>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b w:val="0"/>
                <w:bCs/>
                <w:color w:val="000000" w:themeColor="text1"/>
                <w:sz w:val="21"/>
                <w:szCs w:val="21"/>
                <w:lang w:val="en-US" w:eastAsia="zh-CN"/>
                <w14:textFill>
                  <w14:solidFill>
                    <w14:schemeClr w14:val="tx1"/>
                  </w14:solidFill>
                </w14:textFill>
              </w:rPr>
            </w:pPr>
            <w:r>
              <w:rPr>
                <w:rFonts w:hint="eastAsia"/>
                <w:b w:val="0"/>
                <w:bCs/>
                <w:color w:val="000000" w:themeColor="text1"/>
                <w:sz w:val="21"/>
                <w:szCs w:val="21"/>
                <w:lang w:val="en-US" w:eastAsia="zh-CN"/>
                <w14:textFill>
                  <w14:solidFill>
                    <w14:schemeClr w14:val="tx1"/>
                  </w14:solidFill>
                </w14:textFill>
              </w:rPr>
              <w:t>手防护：戴橡胶手套。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left"/>
              <w:textAlignment w:val="auto"/>
              <w:rPr>
                <w:rFonts w:hint="default" w:eastAsia="宋体" w:cs="Calibri"/>
                <w:b w:val="0"/>
                <w:bCs/>
                <w:color w:val="000000" w:themeColor="text1"/>
                <w:sz w:val="21"/>
                <w:szCs w:val="21"/>
                <w:lang w:val="en-US" w:eastAsia="zh-CN"/>
                <w14:textFill>
                  <w14:solidFill>
                    <w14:schemeClr w14:val="tx1"/>
                  </w14:solidFill>
                </w14:textFill>
              </w:rPr>
            </w:pPr>
            <w:r>
              <w:rPr>
                <w:rFonts w:hint="eastAsia" w:eastAsia="宋体" w:cs="Calibri"/>
                <w:b w:val="0"/>
                <w:bCs/>
                <w:color w:val="000000" w:themeColor="text1"/>
                <w:sz w:val="21"/>
                <w:szCs w:val="21"/>
                <w:lang w:val="en-US" w:eastAsia="zh-CN"/>
                <w14:textFill>
                  <w14:solidFill>
                    <w14:schemeClr w14:val="tx1"/>
                  </w14:solidFill>
                </w14:textFill>
              </w:rPr>
              <w:t>其他防护：工作现场禁止吸烟、进食和饮水。工作完毕，淋浴更衣。保持良好的卫生习惯。</w:t>
            </w:r>
          </w:p>
        </w:tc>
      </w:tr>
    </w:tbl>
    <w:p>
      <w:pPr>
        <w:keepNext/>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2、环境敏感目标调查</w:t>
      </w:r>
    </w:p>
    <w:p>
      <w:pPr>
        <w:keepNext/>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本项目环境风险主要为大气环境风险，其评价范围为项目边界相距5km内的圆形区域，本项目环境风险评价范围内环境敏感目标见下表所示，分布情况见附图。</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环境风险敏感目标一栏表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579"/>
        <w:gridCol w:w="2085"/>
        <w:gridCol w:w="1211"/>
        <w:gridCol w:w="1350"/>
        <w:gridCol w:w="1229"/>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类别</w:t>
            </w:r>
          </w:p>
        </w:tc>
        <w:tc>
          <w:tcPr>
            <w:tcW w:w="4765" w:type="pct"/>
            <w:gridSpan w:val="6"/>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4765" w:type="pct"/>
            <w:gridSpan w:val="6"/>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厂址周边5km范围内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大气环境</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序号</w:t>
            </w:r>
          </w:p>
        </w:tc>
        <w:tc>
          <w:tcPr>
            <w:tcW w:w="112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敏感目标名称</w:t>
            </w:r>
          </w:p>
        </w:tc>
        <w:tc>
          <w:tcPr>
            <w:tcW w:w="65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相对方位</w:t>
            </w:r>
          </w:p>
        </w:tc>
        <w:tc>
          <w:tcPr>
            <w:tcW w:w="73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距离/m</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属性</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人口数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老屋地居民点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1200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黄金坳居民点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1490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新条</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2140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丁家居民点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东北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2500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象形湾居民点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东北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2550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拓木岭居民点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东</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1730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青坡社区居民点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2190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别家垄居民点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2008</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镇龙村居民点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1308</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金盆二区居民点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1300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皮匠坡居民点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1213</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老屋地居民点</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1200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岳化工矿区巴陵石化岳化医院</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2120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医院</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岳化二小</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2991</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学校</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炼油部办公楼</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西面</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455</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办公楼</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巴陵石化云溪社区</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西面</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1220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居民区</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岳化一中</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西南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bCs/>
                <w:color w:val="000000" w:themeColor="text1"/>
                <w:sz w:val="21"/>
                <w14:textFill>
                  <w14:solidFill>
                    <w14:schemeClr w14:val="tx1"/>
                  </w14:solidFill>
                </w14:textFill>
              </w:rPr>
              <w:t>1540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学校</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18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南冲岭</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4943</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19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长冲源</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4811</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茶港铺</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4643</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邓家冲老屋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4716</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介家冲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4157</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刘家坳</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4603</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新桥</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4865</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杜马野</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2940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下清溪村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3282</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天子山</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3929</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清溪</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4082</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冷家冲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4146</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吴松冲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4916</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上清溪村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4488</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32</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毛园屋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东南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4677</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33</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石相冲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4463</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34</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黄杨冲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3244</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35</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八一村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3369</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36</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李家老屋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3940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37</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春山坡</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4725</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38</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老马冲</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4486</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39</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土公塘</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3470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40</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团结村</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3950</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85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41</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lang w:eastAsia="zh-CN"/>
                <w14:textFill>
                  <w14:solidFill>
                    <w14:schemeClr w14:val="tx1"/>
                  </w14:solidFill>
                </w14:textFill>
              </w:rPr>
            </w:pPr>
            <w:r>
              <w:rPr>
                <w:rFonts w:hint="default" w:ascii="Times New Roman" w:hAnsi="Times New Roman" w:cs="Times New Roman"/>
                <w:color w:val="000000" w:themeColor="text1"/>
                <w:sz w:val="21"/>
                <w:lang w:eastAsia="zh-CN"/>
                <w14:textFill>
                  <w14:solidFill>
                    <w14:schemeClr w14:val="tx1"/>
                  </w14:solidFill>
                </w14:textFill>
              </w:rPr>
              <w:t>上四屋</w:t>
            </w:r>
          </w:p>
        </w:tc>
        <w:tc>
          <w:tcPr>
            <w:tcW w:w="6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eastAsia="zh-CN"/>
                <w14:textFill>
                  <w14:solidFill>
                    <w14:schemeClr w14:val="tx1"/>
                  </w14:solidFill>
                </w14:textFill>
              </w:rPr>
            </w:pPr>
            <w:r>
              <w:rPr>
                <w:rFonts w:hint="default" w:ascii="Times New Roman" w:hAnsi="Times New Roman" w:cs="Times New Roman"/>
                <w:bCs/>
                <w:color w:val="000000" w:themeColor="text1"/>
                <w:sz w:val="21"/>
                <w:lang w:eastAsia="zh-CN"/>
                <w14:textFill>
                  <w14:solidFill>
                    <w14:schemeClr w14:val="tx1"/>
                  </w14:solidFill>
                </w14:textFill>
              </w:rPr>
              <w:t>西南</w:t>
            </w:r>
          </w:p>
        </w:tc>
        <w:tc>
          <w:tcPr>
            <w:tcW w:w="73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lang w:val="en-US" w:eastAsia="zh-CN"/>
                <w14:textFill>
                  <w14:solidFill>
                    <w14:schemeClr w14:val="tx1"/>
                  </w14:solidFill>
                </w14:textFill>
              </w:rPr>
            </w:pPr>
            <w:r>
              <w:rPr>
                <w:rFonts w:hint="default" w:ascii="Times New Roman" w:hAnsi="Times New Roman" w:cs="Times New Roman"/>
                <w:bCs/>
                <w:color w:val="000000" w:themeColor="text1"/>
                <w:sz w:val="21"/>
                <w:lang w:val="en-US" w:eastAsia="zh-CN"/>
                <w14:textFill>
                  <w14:solidFill>
                    <w14:schemeClr w14:val="tx1"/>
                  </w14:solidFill>
                </w14:textFill>
              </w:rPr>
              <w:t>3081</w:t>
            </w:r>
          </w:p>
        </w:tc>
        <w:tc>
          <w:tcPr>
            <w:tcW w:w="664"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eastAsia="zh-CN"/>
                <w14:textFill>
                  <w14:solidFill>
                    <w14:schemeClr w14:val="tx1"/>
                  </w14:solidFill>
                </w14:textFill>
              </w:rPr>
            </w:pPr>
            <w:r>
              <w:rPr>
                <w:rFonts w:hint="default" w:ascii="Times New Roman" w:hAnsi="Times New Roman" w:cs="Times New Roman"/>
                <w:color w:val="000000" w:themeColor="text1"/>
                <w:kern w:val="0"/>
                <w:sz w:val="21"/>
                <w:lang w:eastAsia="zh-CN"/>
                <w14:textFill>
                  <w14:solidFill>
                    <w14:schemeClr w14:val="tx1"/>
                  </w14:solidFill>
                </w14:textFill>
              </w:rPr>
              <w:t>村庄</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lang w:val="en-US" w:eastAsia="zh-CN"/>
                <w14:textFill>
                  <w14:solidFill>
                    <w14:schemeClr w14:val="tx1"/>
                  </w14:solidFill>
                </w14:textFill>
              </w:rPr>
            </w:pPr>
            <w:r>
              <w:rPr>
                <w:rFonts w:hint="default" w:ascii="Times New Roman" w:hAnsi="Times New Roman" w:cs="Times New Roman"/>
                <w:color w:val="000000" w:themeColor="text1"/>
                <w:kern w:val="0"/>
                <w:sz w:val="21"/>
                <w:lang w:val="en-US" w:eastAsia="zh-CN"/>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4032" w:type="pct"/>
            <w:gridSpan w:val="5"/>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厂址周边500m范围内人口小计</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约500人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4" w:type="pct"/>
            <w:vMerge w:val="continue"/>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14:textFill>
                  <w14:solidFill>
                    <w14:schemeClr w14:val="tx1"/>
                  </w14:solidFill>
                </w14:textFill>
              </w:rPr>
            </w:pPr>
          </w:p>
        </w:tc>
        <w:tc>
          <w:tcPr>
            <w:tcW w:w="4032" w:type="pct"/>
            <w:gridSpan w:val="5"/>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厂址周边5km范围内人口小计</w:t>
            </w:r>
          </w:p>
        </w:tc>
        <w:tc>
          <w:tcPr>
            <w:tcW w:w="73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14:textFill>
                  <w14:solidFill>
                    <w14:schemeClr w14:val="tx1"/>
                  </w14:solidFill>
                </w14:textFill>
              </w:rPr>
            </w:pPr>
            <w:r>
              <w:rPr>
                <w:rFonts w:hint="default" w:ascii="Times New Roman" w:hAnsi="Times New Roman" w:eastAsia="宋体" w:cs="Times New Roman"/>
                <w:color w:val="000000" w:themeColor="text1"/>
                <w:kern w:val="0"/>
                <w:sz w:val="21"/>
                <w14:textFill>
                  <w14:solidFill>
                    <w14:schemeClr w14:val="tx1"/>
                  </w14:solidFill>
                </w14:textFill>
              </w:rPr>
              <w:t>约8.8万人</w:t>
            </w:r>
          </w:p>
        </w:tc>
      </w:tr>
    </w:tbl>
    <w:p>
      <w:pPr>
        <w:pStyle w:val="14"/>
        <w:spacing w:line="240" w:lineRule="auto"/>
        <w:rPr>
          <w:color w:val="000000" w:themeColor="text1"/>
          <w14:textFill>
            <w14:solidFill>
              <w14:schemeClr w14:val="tx1"/>
            </w14:solidFill>
          </w14:textFill>
        </w:rPr>
      </w:pPr>
    </w:p>
    <w:p>
      <w:pPr>
        <w:pStyle w:val="4"/>
        <w:rPr>
          <w:color w:val="000000" w:themeColor="text1"/>
          <w14:textFill>
            <w14:solidFill>
              <w14:schemeClr w14:val="tx1"/>
            </w14:solidFill>
          </w14:textFill>
        </w:rPr>
      </w:pPr>
      <w:bookmarkStart w:id="507" w:name="_Toc27655"/>
      <w:r>
        <w:rPr>
          <w:color w:val="000000" w:themeColor="text1"/>
          <w14:textFill>
            <w14:solidFill>
              <w14:schemeClr w14:val="tx1"/>
            </w14:solidFill>
          </w14:textFill>
        </w:rPr>
        <w:t>环境风险潜势初判</w:t>
      </w:r>
      <w:bookmarkEnd w:id="507"/>
    </w:p>
    <w:p>
      <w:pPr>
        <w:adjustRightInd w:val="0"/>
        <w:spacing w:line="360" w:lineRule="auto"/>
        <w:ind w:firstLine="480" w:firstLineChars="200"/>
        <w:outlineLvl w:val="3"/>
        <w:rPr>
          <w:b/>
          <w:bCs/>
          <w:color w:val="000000" w:themeColor="text1"/>
          <w14:textFill>
            <w14:solidFill>
              <w14:schemeClr w14:val="tx1"/>
            </w14:solidFill>
          </w14:textFill>
        </w:rPr>
      </w:pPr>
      <w:r>
        <w:rPr>
          <w:color w:val="000000" w:themeColor="text1"/>
          <w14:textFill>
            <w14:solidFill>
              <w14:schemeClr w14:val="tx1"/>
            </w14:solidFill>
          </w14:textFill>
        </w:rPr>
        <w:t>1、</w:t>
      </w:r>
      <w:r>
        <w:rPr>
          <w:b/>
          <w:bCs/>
          <w:color w:val="000000" w:themeColor="text1"/>
          <w14:textFill>
            <w14:solidFill>
              <w14:schemeClr w14:val="tx1"/>
            </w14:solidFill>
          </w14:textFill>
        </w:rPr>
        <w:t>项目危险物质及工艺系统危险性（P）的分级</w:t>
      </w:r>
    </w:p>
    <w:p>
      <w:pPr>
        <w:pStyle w:val="40"/>
        <w:adjustRightInd w:val="0"/>
        <w:spacing w:after="0" w:line="360" w:lineRule="auto"/>
        <w:ind w:firstLine="504" w:firstLineChars="200"/>
        <w:rPr>
          <w:rFonts w:hint="default" w:ascii="Times New Roman" w:hAnsi="Times New Roman" w:cs="Times New Roman"/>
          <w:color w:val="000000" w:themeColor="text1"/>
          <w:spacing w:val="6"/>
          <w14:textFill>
            <w14:solidFill>
              <w14:schemeClr w14:val="tx1"/>
            </w14:solidFill>
          </w14:textFill>
        </w:rPr>
      </w:pPr>
      <w:r>
        <w:rPr>
          <w:rFonts w:hint="default" w:ascii="Times New Roman" w:hAnsi="Times New Roman" w:cs="Times New Roman"/>
          <w:color w:val="000000" w:themeColor="text1"/>
          <w:spacing w:val="6"/>
          <w14:textFill>
            <w14:solidFill>
              <w14:schemeClr w14:val="tx1"/>
            </w14:solidFill>
          </w14:textFill>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pPr>
        <w:pStyle w:val="40"/>
        <w:adjustRightInd w:val="0"/>
        <w:spacing w:after="0" w:line="360" w:lineRule="auto"/>
        <w:ind w:firstLine="504" w:firstLineChars="200"/>
        <w:rPr>
          <w:rFonts w:hint="default" w:ascii="Times New Roman" w:hAnsi="Times New Roman" w:cs="Times New Roman"/>
          <w:color w:val="000000" w:themeColor="text1"/>
          <w:spacing w:val="6"/>
          <w14:textFill>
            <w14:solidFill>
              <w14:schemeClr w14:val="tx1"/>
            </w14:solidFill>
          </w14:textFill>
        </w:rPr>
      </w:pPr>
      <w:r>
        <w:rPr>
          <w:rFonts w:hint="default" w:ascii="Times New Roman" w:hAnsi="Times New Roman" w:cs="Times New Roman"/>
          <w:color w:val="000000" w:themeColor="text1"/>
          <w:spacing w:val="6"/>
          <w14:textFill>
            <w14:solidFill>
              <w14:schemeClr w14:val="tx1"/>
            </w14:solidFill>
          </w14:textFill>
        </w:rPr>
        <w:t>（1）危险物质数量与临界量比值（Q）</w:t>
      </w:r>
    </w:p>
    <w:p>
      <w:pPr>
        <w:adjustRightInd w:val="0"/>
        <w:spacing w:line="360" w:lineRule="auto"/>
        <w:ind w:firstLine="504" w:firstLineChars="200"/>
        <w:rPr>
          <w:rFonts w:hint="default" w:ascii="Times New Roman" w:hAnsi="Times New Roman" w:cs="Times New Roman"/>
          <w:color w:val="000000" w:themeColor="text1"/>
          <w:spacing w:val="6"/>
          <w14:textFill>
            <w14:solidFill>
              <w14:schemeClr w14:val="tx1"/>
            </w14:solidFill>
          </w14:textFill>
        </w:rPr>
      </w:pPr>
      <w:r>
        <w:rPr>
          <w:rFonts w:hint="default" w:ascii="Times New Roman" w:hAnsi="Times New Roman" w:cs="Times New Roman"/>
          <w:color w:val="000000" w:themeColor="text1"/>
          <w:spacing w:val="6"/>
          <w14:textFill>
            <w14:solidFill>
              <w14:schemeClr w14:val="tx1"/>
            </w14:solidFill>
          </w14:textFill>
        </w:rPr>
        <w:t>本项目所在厂区所涉及的各种危险物质在厂界内的最大存在总量与其在风险导则附录B中对应临界量的比值Q，详见下表所示。</w:t>
      </w:r>
    </w:p>
    <w:p>
      <w:pPr>
        <w:jc w:val="center"/>
        <w:rPr>
          <w:b/>
          <w:color w:val="000000" w:themeColor="text1"/>
          <w14:textFill>
            <w14:solidFill>
              <w14:schemeClr w14:val="tx1"/>
            </w14:solidFill>
          </w14:textFill>
        </w:rPr>
      </w:pPr>
      <w:r>
        <w:rPr>
          <w:b/>
          <w:color w:val="000000" w:themeColor="text1"/>
          <w:spacing w:val="6"/>
          <w14:textFill>
            <w14:solidFill>
              <w14:schemeClr w14:val="tx1"/>
            </w14:solidFill>
          </w14:textFill>
        </w:rPr>
        <w:t>表</w:t>
      </w:r>
      <w:r>
        <w:rPr>
          <w:b/>
          <w:color w:val="000000" w:themeColor="text1"/>
          <w:spacing w:val="6"/>
          <w14:textFill>
            <w14:solidFill>
              <w14:schemeClr w14:val="tx1"/>
            </w14:solidFill>
          </w14:textFill>
        </w:rPr>
        <w:fldChar w:fldCharType="begin"/>
      </w:r>
      <w:r>
        <w:rPr>
          <w:b/>
          <w:color w:val="000000" w:themeColor="text1"/>
          <w:spacing w:val="6"/>
          <w14:textFill>
            <w14:solidFill>
              <w14:schemeClr w14:val="tx1"/>
            </w14:solidFill>
          </w14:textFill>
        </w:rPr>
        <w:instrText xml:space="preserve"> STYLEREF 2 \s </w:instrText>
      </w:r>
      <w:r>
        <w:rPr>
          <w:b/>
          <w:color w:val="000000" w:themeColor="text1"/>
          <w:spacing w:val="6"/>
          <w14:textFill>
            <w14:solidFill>
              <w14:schemeClr w14:val="tx1"/>
            </w14:solidFill>
          </w14:textFill>
        </w:rPr>
        <w:fldChar w:fldCharType="separate"/>
      </w:r>
      <w:r>
        <w:rPr>
          <w:b/>
          <w:color w:val="000000" w:themeColor="text1"/>
          <w:spacing w:val="6"/>
          <w14:textFill>
            <w14:solidFill>
              <w14:schemeClr w14:val="tx1"/>
            </w14:solidFill>
          </w14:textFill>
        </w:rPr>
        <w:t>9</w:t>
      </w:r>
      <w:r>
        <w:rPr>
          <w:rFonts w:hint="eastAsia"/>
          <w:b/>
          <w:color w:val="000000" w:themeColor="text1"/>
          <w:spacing w:val="6"/>
          <w:lang w:val="en-US" w:eastAsia="zh-CN"/>
          <w14:textFill>
            <w14:solidFill>
              <w14:schemeClr w14:val="tx1"/>
            </w14:solidFill>
          </w14:textFill>
        </w:rPr>
        <w:t>.</w:t>
      </w:r>
      <w:r>
        <w:rPr>
          <w:b/>
          <w:color w:val="000000" w:themeColor="text1"/>
          <w:spacing w:val="6"/>
          <w14:textFill>
            <w14:solidFill>
              <w14:schemeClr w14:val="tx1"/>
            </w14:solidFill>
          </w14:textFill>
        </w:rPr>
        <w:t>2</w:t>
      </w:r>
      <w:r>
        <w:rPr>
          <w:b/>
          <w:color w:val="000000" w:themeColor="text1"/>
          <w:spacing w:val="6"/>
          <w14:textFill>
            <w14:solidFill>
              <w14:schemeClr w14:val="tx1"/>
            </w14:solidFill>
          </w14:textFill>
        </w:rPr>
        <w:fldChar w:fldCharType="end"/>
      </w:r>
      <w:r>
        <w:rPr>
          <w:b/>
          <w:color w:val="000000" w:themeColor="text1"/>
          <w:spacing w:val="6"/>
          <w14:textFill>
            <w14:solidFill>
              <w14:schemeClr w14:val="tx1"/>
            </w14:solidFill>
          </w14:textFill>
        </w:rPr>
        <w:noBreakHyphen/>
      </w:r>
      <w:r>
        <w:rPr>
          <w:b/>
          <w:color w:val="000000" w:themeColor="text1"/>
          <w:spacing w:val="6"/>
          <w14:textFill>
            <w14:solidFill>
              <w14:schemeClr w14:val="tx1"/>
            </w14:solidFill>
          </w14:textFill>
        </w:rPr>
        <w:fldChar w:fldCharType="begin"/>
      </w:r>
      <w:r>
        <w:rPr>
          <w:b/>
          <w:color w:val="000000" w:themeColor="text1"/>
          <w:spacing w:val="6"/>
          <w14:textFill>
            <w14:solidFill>
              <w14:schemeClr w14:val="tx1"/>
            </w14:solidFill>
          </w14:textFill>
        </w:rPr>
        <w:instrText xml:space="preserve"> SEQ 表 \* ARABIC \s 2 </w:instrText>
      </w:r>
      <w:r>
        <w:rPr>
          <w:b/>
          <w:color w:val="000000" w:themeColor="text1"/>
          <w:spacing w:val="6"/>
          <w14:textFill>
            <w14:solidFill>
              <w14:schemeClr w14:val="tx1"/>
            </w14:solidFill>
          </w14:textFill>
        </w:rPr>
        <w:fldChar w:fldCharType="separate"/>
      </w:r>
      <w:r>
        <w:rPr>
          <w:b/>
          <w:color w:val="000000" w:themeColor="text1"/>
          <w:spacing w:val="6"/>
          <w14:textFill>
            <w14:solidFill>
              <w14:schemeClr w14:val="tx1"/>
            </w14:solidFill>
          </w14:textFill>
        </w:rPr>
        <w:t>1</w:t>
      </w:r>
      <w:r>
        <w:rPr>
          <w:b/>
          <w:color w:val="000000" w:themeColor="text1"/>
          <w:spacing w:val="6"/>
          <w14:textFill>
            <w14:solidFill>
              <w14:schemeClr w14:val="tx1"/>
            </w14:solidFill>
          </w14:textFill>
        </w:rPr>
        <w:fldChar w:fldCharType="end"/>
      </w:r>
      <w:r>
        <w:rPr>
          <w:b/>
          <w:color w:val="000000" w:themeColor="text1"/>
          <w14:textFill>
            <w14:solidFill>
              <w14:schemeClr w14:val="tx1"/>
            </w14:solidFill>
          </w14:textFill>
        </w:rPr>
        <w:t xml:space="preserve">  项目危险物质与临界量比值Q计算结果</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
        <w:gridCol w:w="2397"/>
        <w:gridCol w:w="1346"/>
        <w:gridCol w:w="1919"/>
        <w:gridCol w:w="1466"/>
        <w:gridCol w:w="1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12"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序号</w:t>
            </w:r>
          </w:p>
        </w:tc>
        <w:tc>
          <w:tcPr>
            <w:tcW w:w="1297" w:type="pct"/>
            <w:tcBorders>
              <w:top w:val="single" w:color="000000" w:sz="12"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危险物质名称</w:t>
            </w:r>
          </w:p>
        </w:tc>
        <w:tc>
          <w:tcPr>
            <w:tcW w:w="728" w:type="pct"/>
            <w:tcBorders>
              <w:top w:val="single" w:color="000000" w:sz="12"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CAS号</w:t>
            </w:r>
          </w:p>
        </w:tc>
        <w:tc>
          <w:tcPr>
            <w:tcW w:w="1038" w:type="pct"/>
            <w:tcBorders>
              <w:top w:val="single" w:color="000000" w:sz="12"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最大量 q（t）</w:t>
            </w:r>
          </w:p>
        </w:tc>
        <w:tc>
          <w:tcPr>
            <w:tcW w:w="793" w:type="pct"/>
            <w:tcBorders>
              <w:top w:val="single" w:color="000000" w:sz="12"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临界量 Q（t）</w:t>
            </w:r>
          </w:p>
        </w:tc>
        <w:tc>
          <w:tcPr>
            <w:tcW w:w="792" w:type="pct"/>
            <w:tcBorders>
              <w:top w:val="single" w:color="000000" w:sz="12"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q/Q</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1297"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石脑油</w:t>
            </w:r>
          </w:p>
        </w:tc>
        <w:tc>
          <w:tcPr>
            <w:tcW w:w="72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74</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2500</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0.0296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1297"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直馏柴油</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50</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2500</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1297"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溶剂油</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2500</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w:t>
            </w:r>
          </w:p>
        </w:tc>
        <w:tc>
          <w:tcPr>
            <w:tcW w:w="1297"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14:textFill>
                  <w14:solidFill>
                    <w14:schemeClr w14:val="tx1"/>
                  </w14:solidFill>
                </w14:textFill>
              </w:rPr>
              <w:t>（烷基苯料）航煤组分油</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30</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2500</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w:t>
            </w:r>
          </w:p>
        </w:tc>
        <w:tc>
          <w:tcPr>
            <w:tcW w:w="1297"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氢气</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0.00014(在线量)</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hint="default" w:eastAsia="宋体" w:cs="Times New Roman"/>
                <w:color w:val="000000" w:themeColor="text1"/>
                <w:sz w:val="21"/>
                <w:lang w:val="en-US" w:eastAsia="zh-CN"/>
                <w14:textFill>
                  <w14:solidFill>
                    <w14:schemeClr w14:val="tx1"/>
                  </w14:solidFill>
                </w14:textFill>
              </w:rPr>
            </w:pPr>
            <w:r>
              <w:rPr>
                <w:rFonts w:hint="eastAsia" w:eastAsia="宋体" w:cs="Times New Roman"/>
                <w:color w:val="000000" w:themeColor="text1"/>
                <w:sz w:val="21"/>
                <w:lang w:val="en-US" w:eastAsia="zh-CN"/>
                <w14:textFill>
                  <w14:solidFill>
                    <w14:schemeClr w14:val="tx1"/>
                  </w14:solidFill>
                </w14:textFill>
              </w:rPr>
              <w:t>0.000028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6</w:t>
            </w:r>
          </w:p>
        </w:tc>
        <w:tc>
          <w:tcPr>
            <w:tcW w:w="1297"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200#溶剂油</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24</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2500</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0.0096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7</w:t>
            </w:r>
          </w:p>
        </w:tc>
        <w:tc>
          <w:tcPr>
            <w:tcW w:w="1297"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3#粗白油</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56</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2500</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0.0224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14:textFill>
                  <w14:solidFill>
                    <w14:schemeClr w14:val="tx1"/>
                  </w14:solidFill>
                </w14:textFill>
              </w:rPr>
            </w:pPr>
            <w:r>
              <w:rPr>
                <w:rFonts w:hint="eastAsia" w:eastAsia="宋体" w:cs="Times New Roman"/>
                <w:color w:val="000000" w:themeColor="text1"/>
                <w:sz w:val="21"/>
                <w14:textFill>
                  <w14:solidFill>
                    <w14:schemeClr w14:val="tx1"/>
                  </w14:solidFill>
                </w14:textFill>
              </w:rPr>
              <w:t>8</w:t>
            </w:r>
          </w:p>
        </w:tc>
        <w:tc>
          <w:tcPr>
            <w:tcW w:w="1297"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硫化氢</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0.0024</w:t>
            </w:r>
            <w:r>
              <w:rPr>
                <w:rFonts w:hint="eastAsia" w:cs="Times New Roman"/>
                <w:color w:val="000000" w:themeColor="text1"/>
                <w:sz w:val="21"/>
                <w:lang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在线量</w:t>
            </w:r>
            <w:r>
              <w:rPr>
                <w:rFonts w:hint="eastAsia" w:cs="Times New Roman"/>
                <w:color w:val="000000" w:themeColor="text1"/>
                <w:sz w:val="21"/>
                <w:lang w:eastAsia="zh-CN"/>
                <w14:textFill>
                  <w14:solidFill>
                    <w14:schemeClr w14:val="tx1"/>
                  </w14:solidFill>
                </w14:textFill>
              </w:rPr>
              <w:t>）</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14:textFill>
                  <w14:solidFill>
                    <w14:schemeClr w14:val="tx1"/>
                  </w14:solidFill>
                </w14:textFill>
              </w:rPr>
            </w:pPr>
            <w:r>
              <w:rPr>
                <w:rFonts w:hint="eastAsia" w:eastAsia="宋体" w:cs="Times New Roman"/>
                <w:color w:val="000000" w:themeColor="text1"/>
                <w:sz w:val="21"/>
                <w14:textFill>
                  <w14:solidFill>
                    <w14:schemeClr w14:val="tx1"/>
                  </w14:solidFill>
                </w14:textFill>
              </w:rPr>
              <w:t>5</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hint="default"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0.00048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14:textFill>
                  <w14:solidFill>
                    <w14:schemeClr w14:val="tx1"/>
                  </w14:solidFill>
                </w14:textFill>
              </w:rPr>
            </w:pPr>
            <w:r>
              <w:rPr>
                <w:rFonts w:hint="eastAsia" w:eastAsia="宋体" w:cs="Times New Roman"/>
                <w:color w:val="000000" w:themeColor="text1"/>
                <w:sz w:val="21"/>
                <w14:textFill>
                  <w14:solidFill>
                    <w14:schemeClr w14:val="tx1"/>
                  </w14:solidFill>
                </w14:textFill>
              </w:rPr>
              <w:t>9</w:t>
            </w:r>
          </w:p>
        </w:tc>
        <w:tc>
          <w:tcPr>
            <w:tcW w:w="1297" w:type="pct"/>
            <w:tcBorders>
              <w:top w:val="single" w:color="000000" w:sz="4" w:space="0"/>
              <w:left w:val="nil"/>
              <w:bottom w:val="single" w:color="000000" w:sz="4" w:space="0"/>
              <w:right w:val="single" w:color="000000" w:sz="4" w:space="0"/>
            </w:tcBorders>
            <w:noWrap w:val="0"/>
            <w:vAlign w:val="center"/>
          </w:tcPr>
          <w:p>
            <w:pPr>
              <w:pStyle w:val="68"/>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氨</w:t>
            </w:r>
          </w:p>
        </w:tc>
        <w:tc>
          <w:tcPr>
            <w:tcW w:w="728" w:type="pct"/>
            <w:tcBorders>
              <w:top w:val="single" w:color="000000" w:sz="4" w:space="0"/>
              <w:left w:val="nil"/>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eastAsia="宋体" w:cs="Times New Roman"/>
                <w:b/>
                <w:bCs/>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c>
          <w:tcPr>
            <w:tcW w:w="1038"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lang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0.0012</w:t>
            </w:r>
            <w:r>
              <w:rPr>
                <w:rFonts w:hint="eastAsia" w:cs="Times New Roman"/>
                <w:color w:val="000000" w:themeColor="text1"/>
                <w:sz w:val="21"/>
                <w:lang w:eastAsia="zh-CN"/>
                <w14:textFill>
                  <w14:solidFill>
                    <w14:schemeClr w14:val="tx1"/>
                  </w14:solidFill>
                </w14:textFill>
              </w:rPr>
              <w:t>（</w:t>
            </w:r>
            <w:r>
              <w:rPr>
                <w:rFonts w:hint="eastAsia" w:cs="Times New Roman"/>
                <w:color w:val="000000" w:themeColor="text1"/>
                <w:sz w:val="21"/>
                <w:lang w:val="en-US" w:eastAsia="zh-CN"/>
                <w14:textFill>
                  <w14:solidFill>
                    <w14:schemeClr w14:val="tx1"/>
                  </w14:solidFill>
                </w14:textFill>
              </w:rPr>
              <w:t>在线量</w:t>
            </w:r>
            <w:r>
              <w:rPr>
                <w:rFonts w:hint="eastAsia" w:cs="Times New Roman"/>
                <w:color w:val="000000" w:themeColor="text1"/>
                <w:sz w:val="21"/>
                <w:lang w:eastAsia="zh-CN"/>
                <w14:textFill>
                  <w14:solidFill>
                    <w14:schemeClr w14:val="tx1"/>
                  </w14:solidFill>
                </w14:textFill>
              </w:rPr>
              <w:t>）</w:t>
            </w:r>
          </w:p>
        </w:tc>
        <w:tc>
          <w:tcPr>
            <w:tcW w:w="793" w:type="pct"/>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s="Times New Roman"/>
                <w:color w:val="000000" w:themeColor="text1"/>
                <w:sz w:val="21"/>
                <w14:textFill>
                  <w14:solidFill>
                    <w14:schemeClr w14:val="tx1"/>
                  </w14:solidFill>
                </w14:textFill>
              </w:rPr>
            </w:pPr>
            <w:r>
              <w:rPr>
                <w:rFonts w:hint="eastAsia" w:eastAsia="宋体" w:cs="Times New Roman"/>
                <w:color w:val="000000" w:themeColor="text1"/>
                <w:sz w:val="21"/>
                <w14:textFill>
                  <w14:solidFill>
                    <w14:schemeClr w14:val="tx1"/>
                  </w14:solidFill>
                </w14:textFill>
              </w:rPr>
              <w:t>2</w:t>
            </w:r>
          </w:p>
        </w:tc>
        <w:tc>
          <w:tcPr>
            <w:tcW w:w="792" w:type="pct"/>
            <w:tcBorders>
              <w:top w:val="single" w:color="000000" w:sz="4" w:space="0"/>
              <w:left w:val="nil"/>
              <w:bottom w:val="single" w:color="000000" w:sz="4" w:space="0"/>
              <w:right w:val="nil"/>
            </w:tcBorders>
            <w:noWrap w:val="0"/>
            <w:vAlign w:val="center"/>
          </w:tcPr>
          <w:p>
            <w:pPr>
              <w:keepNext w:val="0"/>
              <w:keepLines w:val="0"/>
              <w:suppressLineNumbers w:val="0"/>
              <w:spacing w:before="0" w:beforeAutospacing="0" w:after="0" w:afterAutospacing="0"/>
              <w:ind w:left="0" w:right="0"/>
              <w:jc w:val="center"/>
              <w:textAlignment w:val="center"/>
              <w:rPr>
                <w:rFonts w:hint="default" w:eastAsia="宋体" w:cs="Times New Roman"/>
                <w:color w:val="000000" w:themeColor="text1"/>
                <w:sz w:val="21"/>
                <w:lang w:val="en-US" w:eastAsia="zh-CN"/>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0.0006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52" w:type="pct"/>
            <w:tcBorders>
              <w:top w:val="single" w:color="000000" w:sz="4" w:space="0"/>
              <w:left w:val="nil"/>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c>
          <w:tcPr>
            <w:tcW w:w="3856" w:type="pct"/>
            <w:gridSpan w:val="4"/>
            <w:tcBorders>
              <w:top w:val="single" w:color="000000" w:sz="4" w:space="0"/>
              <w:left w:val="nil"/>
              <w:bottom w:val="single" w:color="000000"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合计（Q）</w:t>
            </w:r>
          </w:p>
        </w:tc>
        <w:tc>
          <w:tcPr>
            <w:tcW w:w="792" w:type="pct"/>
            <w:tcBorders>
              <w:top w:val="single" w:color="000000" w:sz="4" w:space="0"/>
              <w:left w:val="nil"/>
              <w:bottom w:val="single" w:color="000000" w:sz="12" w:space="0"/>
              <w:right w:val="nil"/>
            </w:tcBorders>
            <w:noWrap w:val="0"/>
            <w:vAlign w:val="center"/>
          </w:tcPr>
          <w:p>
            <w:pPr>
              <w:keepNext w:val="0"/>
              <w:keepLines w:val="0"/>
              <w:suppressLineNumbers w:val="0"/>
              <w:spacing w:before="0" w:beforeAutospacing="0" w:after="0" w:afterAutospacing="0"/>
              <w:ind w:left="0" w:right="0"/>
              <w:jc w:val="center"/>
              <w:rPr>
                <w:rFonts w:hint="default" w:eastAsia="宋体" w:cs="Times New Roman"/>
                <w:b/>
                <w:bCs/>
                <w:color w:val="000000" w:themeColor="text1"/>
                <w:sz w:val="21"/>
                <w:lang w:val="en-US" w:eastAsia="zh-CN"/>
                <w14:textFill>
                  <w14:solidFill>
                    <w14:schemeClr w14:val="tx1"/>
                  </w14:solidFill>
                </w14:textFill>
              </w:rPr>
            </w:pPr>
            <w:r>
              <w:rPr>
                <w:rFonts w:hint="eastAsia" w:cs="Times New Roman"/>
                <w:b/>
                <w:bCs/>
                <w:color w:val="000000" w:themeColor="text1"/>
                <w:sz w:val="21"/>
                <w:lang w:val="en-US" w:eastAsia="zh-CN"/>
                <w14:textFill>
                  <w14:solidFill>
                    <w14:schemeClr w14:val="tx1"/>
                  </w14:solidFill>
                </w14:textFill>
              </w:rPr>
              <w:t>0.095508</w:t>
            </w:r>
          </w:p>
        </w:tc>
      </w:tr>
    </w:tbl>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由上表可知，项目危险物质数量与临界量比值Q=</w:t>
      </w:r>
      <w:r>
        <w:rPr>
          <w:rFonts w:hint="eastAsia" w:cs="Times New Roman"/>
          <w:color w:val="000000" w:themeColor="text1"/>
          <w:lang w:val="en-US" w:eastAsia="zh-CN"/>
          <w14:textFill>
            <w14:solidFill>
              <w14:schemeClr w14:val="tx1"/>
            </w14:solidFill>
          </w14:textFill>
        </w:rPr>
        <w:t>0.095508</w:t>
      </w:r>
      <w:r>
        <w:rPr>
          <w:rFonts w:hint="default" w:ascii="Times New Roman" w:hAnsi="Times New Roman" w:cs="Times New Roman"/>
          <w:color w:val="000000" w:themeColor="text1"/>
          <w14:textFill>
            <w14:solidFill>
              <w14:schemeClr w14:val="tx1"/>
            </w14:solidFill>
          </w14:textFill>
        </w:rPr>
        <w:t>。</w:t>
      </w:r>
    </w:p>
    <w:p>
      <w:pPr>
        <w:keepNext/>
        <w:ind w:firstLine="482" w:firstLineChars="200"/>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2</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项目环境风险评价工作等级划分</w:t>
      </w:r>
    </w:p>
    <w:tbl>
      <w:tblPr>
        <w:tblStyle w:val="4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18"/>
        <w:gridCol w:w="1882"/>
        <w:gridCol w:w="1880"/>
        <w:gridCol w:w="1880"/>
        <w:gridCol w:w="18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0"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环境风险潜势</w:t>
            </w:r>
          </w:p>
        </w:tc>
        <w:tc>
          <w:tcPr>
            <w:tcW w:w="1018"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Ⅳ、Ⅳ</w:t>
            </w:r>
            <w:r>
              <w:rPr>
                <w:rFonts w:eastAsia="宋体" w:cs="Times New Roman"/>
                <w:color w:val="000000" w:themeColor="text1"/>
                <w:sz w:val="21"/>
                <w:vertAlign w:val="superscript"/>
                <w14:textFill>
                  <w14:solidFill>
                    <w14:schemeClr w14:val="tx1"/>
                  </w14:solidFill>
                </w14:textFill>
              </w:rPr>
              <w:t>+</w:t>
            </w:r>
          </w:p>
        </w:tc>
        <w:tc>
          <w:tcPr>
            <w:tcW w:w="1017"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Ⅲ</w:t>
            </w:r>
          </w:p>
        </w:tc>
        <w:tc>
          <w:tcPr>
            <w:tcW w:w="1017"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Ⅱ</w:t>
            </w:r>
          </w:p>
        </w:tc>
        <w:tc>
          <w:tcPr>
            <w:tcW w:w="1017"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30" w:type="pct"/>
            <w:tcBorders>
              <w:tl2br w:val="nil"/>
              <w:tr2bl w:val="nil"/>
            </w:tcBorders>
            <w:shd w:val="clear" w:color="auto" w:fill="auto"/>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评价工作等级</w:t>
            </w:r>
          </w:p>
        </w:tc>
        <w:tc>
          <w:tcPr>
            <w:tcW w:w="1018" w:type="pct"/>
            <w:tcBorders>
              <w:tl2br w:val="nil"/>
              <w:tr2bl w:val="nil"/>
            </w:tcBorders>
            <w:shd w:val="clear" w:color="auto" w:fill="FFFFFF"/>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一</w:t>
            </w:r>
          </w:p>
        </w:tc>
        <w:tc>
          <w:tcPr>
            <w:tcW w:w="1017"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二</w:t>
            </w:r>
          </w:p>
        </w:tc>
        <w:tc>
          <w:tcPr>
            <w:tcW w:w="1017"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三</w:t>
            </w:r>
          </w:p>
        </w:tc>
        <w:tc>
          <w:tcPr>
            <w:tcW w:w="1017" w:type="pct"/>
            <w:tcBorders>
              <w:tl2br w:val="nil"/>
              <w:tr2bl w:val="nil"/>
            </w:tcBorders>
            <w:noWrap w:val="0"/>
            <w:vAlign w:val="center"/>
          </w:tcPr>
          <w:p>
            <w:pPr>
              <w:keepNext w:val="0"/>
              <w:keepLines w:val="0"/>
              <w:suppressLineNumbers w:val="0"/>
              <w:spacing w:before="0" w:beforeAutospacing="0" w:after="0" w:afterAutospacing="0" w:line="360" w:lineRule="auto"/>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简单分析</w:t>
            </w:r>
            <w:r>
              <w:rPr>
                <w:rFonts w:eastAsia="宋体" w:cs="Times New Roman"/>
                <w:color w:val="000000" w:themeColor="text1"/>
                <w:sz w:val="21"/>
                <w:vertAlign w:val="superscript"/>
                <w14:textFill>
                  <w14:solidFill>
                    <w14:schemeClr w14:val="tx1"/>
                  </w14:solidFill>
                </w14:textFill>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suppressLineNumbers w:val="0"/>
              <w:spacing w:before="0" w:beforeAutospacing="0" w:after="0" w:afterAutospacing="0" w:line="360" w:lineRule="auto"/>
              <w:ind w:left="0" w:right="0"/>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a是相对于详细评价工作内容而言，在描述危险物质、环境影响途径、环境危害后果、风险防范措施等方面给出定性的说明。</w:t>
            </w:r>
          </w:p>
        </w:tc>
      </w:tr>
    </w:tbl>
    <w:p>
      <w:pPr>
        <w:autoSpaceDE w:val="0"/>
        <w:autoSpaceDN w:val="0"/>
        <w:adjustRightInd w:val="0"/>
        <w:spacing w:line="360" w:lineRule="auto"/>
        <w:ind w:firstLine="472" w:firstLineChars="200"/>
        <w:jc w:val="left"/>
        <w:rPr>
          <w:rFonts w:hint="default"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pacing w:val="-2"/>
          <w:szCs w:val="24"/>
          <w:lang w:val="en-US" w:eastAsia="zh-CN"/>
          <w14:textFill>
            <w14:solidFill>
              <w14:schemeClr w14:val="tx1"/>
            </w14:solidFill>
          </w14:textFill>
        </w:rPr>
        <w:t>根据计算本项目危险物质数量与临界量比值为</w:t>
      </w:r>
      <w:r>
        <w:rPr>
          <w:rFonts w:hint="default" w:ascii="Times New Roman" w:hAnsi="Times New Roman" w:cs="Times New Roman"/>
          <w:color w:val="000000" w:themeColor="text1"/>
          <w14:textFill>
            <w14:solidFill>
              <w14:schemeClr w14:val="tx1"/>
            </w14:solidFill>
          </w14:textFill>
        </w:rPr>
        <w:t>Q=</w:t>
      </w:r>
      <w:r>
        <w:rPr>
          <w:rFonts w:hint="eastAsia" w:cs="Times New Roman"/>
          <w:color w:val="000000" w:themeColor="text1"/>
          <w:lang w:val="en-US" w:eastAsia="zh-CN"/>
          <w14:textFill>
            <w14:solidFill>
              <w14:schemeClr w14:val="tx1"/>
            </w14:solidFill>
          </w14:textFill>
        </w:rPr>
        <w:t>0.095508，</w:t>
      </w:r>
      <w:r>
        <w:rPr>
          <w:rFonts w:hint="default" w:ascii="Times New Roman" w:hAnsi="Times New Roman" w:cs="Times New Roman"/>
          <w:color w:val="000000" w:themeColor="text1"/>
          <w:spacing w:val="-2"/>
          <w:szCs w:val="24"/>
          <w14:textFill>
            <w14:solidFill>
              <w14:schemeClr w14:val="tx1"/>
            </w14:solidFill>
          </w14:textFill>
        </w:rPr>
        <w:t>依据《建设项目环境风险评价技术导则》（HJ169-2018），</w:t>
      </w:r>
      <w:r>
        <w:rPr>
          <w:rFonts w:hint="eastAsia" w:cs="Times New Roman"/>
          <w:color w:val="000000" w:themeColor="text1"/>
          <w:spacing w:val="-2"/>
          <w:szCs w:val="24"/>
          <w:lang w:val="en-US" w:eastAsia="zh-CN"/>
          <w14:textFill>
            <w14:solidFill>
              <w14:schemeClr w14:val="tx1"/>
            </w14:solidFill>
          </w14:textFill>
        </w:rPr>
        <w:t>当Q≤1时，本项目环境风险潜势</w:t>
      </w:r>
      <w:r>
        <w:rPr>
          <w:rFonts w:hint="default" w:ascii="Times New Roman" w:hAnsi="Times New Roman" w:cs="Times New Roman"/>
          <w:color w:val="000000" w:themeColor="text1"/>
          <w:spacing w:val="-2"/>
          <w:szCs w:val="24"/>
          <w14:textFill>
            <w14:solidFill>
              <w14:schemeClr w14:val="tx1"/>
            </w14:solidFill>
          </w14:textFill>
        </w:rPr>
        <w:t>Ⅰ，因此本项目风险评价等级为</w:t>
      </w:r>
      <w:r>
        <w:rPr>
          <w:rFonts w:hint="default" w:ascii="Times New Roman" w:hAnsi="Times New Roman" w:cs="Times New Roman"/>
          <w:b w:val="0"/>
          <w:color w:val="000000" w:themeColor="text1"/>
          <w:sz w:val="24"/>
          <w:szCs w:val="24"/>
          <w14:textFill>
            <w14:solidFill>
              <w14:schemeClr w14:val="tx1"/>
            </w14:solidFill>
          </w14:textFill>
        </w:rPr>
        <w:t>简单分析</w:t>
      </w:r>
      <w:r>
        <w:rPr>
          <w:rFonts w:hint="default" w:ascii="Times New Roman" w:hAnsi="Times New Roman" w:cs="Times New Roman"/>
          <w:b w:val="0"/>
          <w:color w:val="000000" w:themeColor="text1"/>
          <w:sz w:val="24"/>
          <w:szCs w:val="24"/>
          <w:vertAlign w:val="superscript"/>
          <w14:textFill>
            <w14:solidFill>
              <w14:schemeClr w14:val="tx1"/>
            </w14:solidFill>
          </w14:textFill>
        </w:rPr>
        <w:t>a</w:t>
      </w:r>
      <w:r>
        <w:rPr>
          <w:rFonts w:hint="default" w:ascii="Times New Roman" w:hAnsi="Times New Roman" w:cs="Times New Roman"/>
          <w:color w:val="000000" w:themeColor="text1"/>
          <w:spacing w:val="-2"/>
          <w:szCs w:val="24"/>
          <w14:textFill>
            <w14:solidFill>
              <w14:schemeClr w14:val="tx1"/>
            </w14:solidFill>
          </w14:textFill>
        </w:rPr>
        <w:t>。</w:t>
      </w:r>
    </w:p>
    <w:p>
      <w:pPr>
        <w:pStyle w:val="4"/>
        <w:rPr>
          <w:color w:val="000000" w:themeColor="text1"/>
          <w14:textFill>
            <w14:solidFill>
              <w14:schemeClr w14:val="tx1"/>
            </w14:solidFill>
          </w14:textFill>
        </w:rPr>
      </w:pPr>
      <w:bookmarkStart w:id="508" w:name="_Toc25194"/>
      <w:r>
        <w:rPr>
          <w:rFonts w:hint="eastAsia"/>
          <w:color w:val="000000" w:themeColor="text1"/>
          <w14:textFill>
            <w14:solidFill>
              <w14:schemeClr w14:val="tx1"/>
            </w14:solidFill>
          </w14:textFill>
        </w:rPr>
        <w:t>环境风险识别</w:t>
      </w:r>
      <w:bookmarkEnd w:id="50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45"/>
          <w:rFonts w:hint="eastAsia"/>
          <w:b w:val="0"/>
          <w:bCs/>
          <w:color w:val="000000" w:themeColor="text1"/>
          <w:sz w:val="24"/>
          <w:szCs w:val="24"/>
          <w:lang w:eastAsia="zh-CN"/>
          <w14:textFill>
            <w14:solidFill>
              <w14:schemeClr w14:val="tx1"/>
            </w14:solidFill>
          </w14:textFill>
        </w:rPr>
      </w:pPr>
      <w:r>
        <w:rPr>
          <w:rStyle w:val="45"/>
          <w:rFonts w:hint="eastAsia"/>
          <w:b w:val="0"/>
          <w:bCs/>
          <w:color w:val="000000" w:themeColor="text1"/>
          <w:sz w:val="24"/>
          <w:szCs w:val="24"/>
          <w:lang w:eastAsia="zh-CN"/>
          <w14:textFill>
            <w14:solidFill>
              <w14:schemeClr w14:val="tx1"/>
            </w14:solidFill>
          </w14:textFill>
        </w:rPr>
        <w:t>风险识别主要包括物质危险性识别、生产系统危险性识别和危险物质向环境转移的途径识别。</w:t>
      </w:r>
    </w:p>
    <w:p>
      <w:pPr>
        <w:pStyle w:val="5"/>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物质危险性识别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本项目原料、辅助材料、产品、火灾和爆炸伴生</w:t>
      </w:r>
      <w:r>
        <w:rPr>
          <w:rFonts w:hint="eastAsia"/>
          <w:color w:val="000000" w:themeColor="text1"/>
          <w:lang w:val="en-US" w:eastAsia="zh-CN"/>
          <w14:textFill>
            <w14:solidFill>
              <w14:schemeClr w14:val="tx1"/>
            </w14:solidFill>
          </w14:textFill>
        </w:rPr>
        <w:t>/次生污染物涉及的物料种类较小，本项目主要涉及的危险物质有：柴油、石脑油、氢气、白油、干气（甲烷）、干气（乙烷）等。其主要的理化性质详见章节9.1.危险性统计列表详见表9.3-1。</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危险物质特性</w:t>
      </w:r>
    </w:p>
    <w:tbl>
      <w:tblPr>
        <w:tblStyle w:val="209"/>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19"/>
        <w:gridCol w:w="821"/>
        <w:gridCol w:w="1028"/>
        <w:gridCol w:w="730"/>
        <w:gridCol w:w="923"/>
        <w:gridCol w:w="763"/>
        <w:gridCol w:w="1131"/>
        <w:gridCol w:w="1702"/>
        <w:gridCol w:w="116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tcBorders>
              <w:top w:val="single" w:color="000000" w:sz="12" w:space="0"/>
              <w:left w:val="nil"/>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物质名称</w:t>
            </w:r>
          </w:p>
        </w:tc>
        <w:tc>
          <w:tcPr>
            <w:tcW w:w="458"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相态</w:t>
            </w:r>
          </w:p>
        </w:tc>
        <w:tc>
          <w:tcPr>
            <w:tcW w:w="572"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闪点(℃)</w:t>
            </w:r>
          </w:p>
        </w:tc>
        <w:tc>
          <w:tcPr>
            <w:tcW w:w="408"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熔点(℃)</w:t>
            </w:r>
          </w:p>
        </w:tc>
        <w:tc>
          <w:tcPr>
            <w:tcW w:w="514"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沸点(℃)</w:t>
            </w:r>
          </w:p>
        </w:tc>
        <w:tc>
          <w:tcPr>
            <w:tcW w:w="426"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自燃点(℃)</w:t>
            </w:r>
          </w:p>
        </w:tc>
        <w:tc>
          <w:tcPr>
            <w:tcW w:w="628"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爆炸极限(%)</w:t>
            </w:r>
          </w:p>
        </w:tc>
        <w:tc>
          <w:tcPr>
            <w:tcW w:w="942"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危险性类别</w:t>
            </w:r>
          </w:p>
        </w:tc>
        <w:tc>
          <w:tcPr>
            <w:tcW w:w="590"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LC</w:t>
            </w:r>
            <w:r>
              <w:rPr>
                <w:rFonts w:hint="default" w:ascii="Times New Roman" w:hAnsi="Times New Roman" w:cs="Times New Roman"/>
                <w:color w:val="000000" w:themeColor="text1"/>
                <w:sz w:val="21"/>
                <w:szCs w:val="21"/>
                <w:u w:val="none" w:color="auto"/>
                <w:vertAlign w:val="subscript"/>
                <w14:textFill>
                  <w14:solidFill>
                    <w14:schemeClr w14:val="tx1"/>
                  </w14:solidFill>
                </w14:textFill>
              </w:rPr>
              <w:t>50</w:t>
            </w:r>
            <w:r>
              <w:rPr>
                <w:rFonts w:hint="default" w:ascii="Times New Roman" w:hAnsi="Times New Roman" w:cs="Times New Roman"/>
                <w:color w:val="000000" w:themeColor="text1"/>
                <w:sz w:val="21"/>
                <w:szCs w:val="21"/>
                <w:u w:val="none" w:color="auto"/>
                <w14:textFill>
                  <w14:solidFill>
                    <w14:schemeClr w14:val="tx1"/>
                  </w14:solidFill>
                </w14:textFill>
              </w:rPr>
              <w:t>(mg/m</w:t>
            </w:r>
            <w:r>
              <w:rPr>
                <w:rFonts w:hint="default" w:ascii="Times New Roman" w:hAnsi="Times New Roman" w:cs="Times New Roman"/>
                <w:color w:val="000000" w:themeColor="text1"/>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sz w:val="21"/>
                <w:szCs w:val="21"/>
                <w:u w:val="none" w:color="auto"/>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石脑油</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液态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-72</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t>20-160</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350</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8.7</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易燃液体,类别3</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柴油</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液态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38</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pacing w:val="-1"/>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3"/>
                <w:sz w:val="21"/>
                <w:szCs w:val="21"/>
                <w14:textFill>
                  <w14:solidFill>
                    <w14:schemeClr w14:val="tx1"/>
                  </w14:solidFill>
                </w14:textFill>
              </w:rPr>
              <w:t>18</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282－338</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257</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0.6~6.5</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可燃液体</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5000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白油料</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液态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120</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330~420</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易燃液体,类别3</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6"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t>氢气</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气态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无意义</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pacing w:val="-1"/>
                <w:sz w:val="21"/>
                <w:szCs w:val="21"/>
                <w:lang w:val="en-US" w:eastAsia="zh-CN"/>
                <w14:textFill>
                  <w14:solidFill>
                    <w14:schemeClr w14:val="tx1"/>
                  </w14:solidFill>
                </w14:textFill>
              </w:rPr>
              <w:t>-259.2</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pacing w:val="-1"/>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3"/>
                <w:sz w:val="21"/>
                <w:szCs w:val="21"/>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52.8</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4.1~74.1</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易燃气体，</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2.1类</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t>干气（甲烷）</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气态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86.65</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91</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-161.48</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5</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易燃气体，</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2.1类</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t>干气（乙烷）</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气态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-50</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-183.3</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-88.6</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3.0~16</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易燃气体，</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2.1类</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t>硫化氢</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气态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166.4</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.5</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-59.55</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260</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4.3</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eastAsia" w:ascii="Times New Roman" w:hAnsi="Times New Roman" w:eastAsia="宋体" w:cs="Times New Roman"/>
                <w:color w:val="000000" w:themeColor="text1"/>
                <w:sz w:val="21"/>
                <w:szCs w:val="21"/>
                <w:u w:val="none" w:color="auto"/>
                <w:lang w:eastAsia="zh-CN"/>
                <w14:textFill>
                  <w14:solidFill>
                    <w14:schemeClr w14:val="tx1"/>
                  </w14:solidFill>
                </w14:textFill>
              </w:rPr>
            </w:pPr>
            <w:r>
              <w:rPr>
                <w:rFonts w:hint="eastAsia" w:cs="Times New Roman"/>
                <w:color w:val="000000" w:themeColor="text1"/>
                <w:sz w:val="21"/>
                <w:szCs w:val="21"/>
                <w:u w:val="none" w:color="auto"/>
                <w:lang w:eastAsia="zh-CN"/>
                <w14:textFill>
                  <w14:solidFill>
                    <w14:schemeClr w14:val="tx1"/>
                  </w14:solidFill>
                </w14:textFill>
              </w:rPr>
              <w:t>有毒气体</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618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t>氨</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气态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-54</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-77.7</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-35.5</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651.1</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15-28</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有毒气体，</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2.3类</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1390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457"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t>CO</w:t>
            </w:r>
          </w:p>
        </w:tc>
        <w:tc>
          <w:tcPr>
            <w:tcW w:w="45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气态</w:t>
            </w:r>
          </w:p>
        </w:tc>
        <w:tc>
          <w:tcPr>
            <w:tcW w:w="57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-50</w:t>
            </w:r>
          </w:p>
        </w:tc>
        <w:tc>
          <w:tcPr>
            <w:tcW w:w="40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-199.1</w:t>
            </w:r>
          </w:p>
        </w:tc>
        <w:tc>
          <w:tcPr>
            <w:tcW w:w="514"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-191.4</w:t>
            </w:r>
          </w:p>
        </w:tc>
        <w:tc>
          <w:tcPr>
            <w:tcW w:w="426"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210" w:firstLineChars="10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610</w:t>
            </w:r>
          </w:p>
        </w:tc>
        <w:tc>
          <w:tcPr>
            <w:tcW w:w="628"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12.5-74.2</w:t>
            </w:r>
          </w:p>
        </w:tc>
        <w:tc>
          <w:tcPr>
            <w:tcW w:w="942"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易燃气体，</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2.1类</w:t>
            </w:r>
          </w:p>
        </w:tc>
        <w:tc>
          <w:tcPr>
            <w:tcW w:w="590" w:type="pct"/>
            <w:noWrap w:val="0"/>
            <w:tcMar>
              <w:left w:w="28" w:type="dxa"/>
              <w:right w:w="28" w:type="dxa"/>
            </w:tcMar>
            <w:vAlign w:val="center"/>
          </w:tcPr>
          <w:p>
            <w:pPr>
              <w:pStyle w:val="132"/>
              <w:keepNext w:val="0"/>
              <w:keepLines w:val="0"/>
              <w:suppressLineNumbers w:val="0"/>
              <w:spacing w:before="0" w:beforeAutospacing="0" w:afterAutospacing="0" w:line="240" w:lineRule="auto"/>
              <w:ind w:left="0" w:right="0" w:firstLine="0" w:firstLineChars="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2069</w:t>
            </w:r>
          </w:p>
        </w:tc>
      </w:tr>
    </w:tbl>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生产工艺风险性识别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根据《建设项目环境风险评价技术导则》</w:t>
      </w:r>
      <w:r>
        <w:rPr>
          <w:rFonts w:hint="eastAsia"/>
          <w:color w:val="000000" w:themeColor="text1"/>
          <w:lang w:val="en-US" w:eastAsia="zh-CN"/>
          <w14:textFill>
            <w14:solidFill>
              <w14:schemeClr w14:val="tx1"/>
            </w14:solidFill>
          </w14:textFill>
        </w:rPr>
        <w:t>（HJ169-2018）G.1.2行业及生产工艺（M），分析项目所属行业及生产工艺特点，按照表C.1评估生产工艺情况，本项目使用加氢工艺。</w:t>
      </w:r>
    </w:p>
    <w:p>
      <w:pPr>
        <w:pStyle w:val="5"/>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生产设施风险识别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生产设施风险识别是通过对生产过程、储存过程、公用工程、工程环保设施及辅助生产设施等运行过程中存在的危险因素和可能发生的风险类型进行识别</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该装置中的原料、产品及中间产品多数属于易燃易爆气体和易燃油料，具有易燃易爆的特性。其中氢气、干气等是易爆气体。泄露到空气中能够形成爆炸性混合气体，遇到火源会发生爆炸危险，属于甲类火险物质。白油料闪点较低，容易形成可燃蒸汽，也会在空气中形成爆炸性气体，以上物质的火灾危险类别为甲类。低硫轻馏分油属于乙类火灾危险物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氢精制、汽提、分离过程中，体系内的物料多处于气液共存状态，反应温度远远高于物质的闪点。且反应器、塔、罐内的物料压力较高，一旦发生泄露，会迅速喷出大量的易燃、易爆物料，形成爆炸性气体混合物，极易发生火灾、爆炸事故。</w:t>
      </w:r>
    </w:p>
    <w:p>
      <w:pPr>
        <w:pStyle w:val="20"/>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采用液相加氢技术，在较低压力（4.0MPa）下对上述产品简单加氢，在压力下氢气与钢制设备接触会发生氢脆和氢腐蚀现象，导致临氢设备，管道损坏泄露，容易发生火灾、爆炸事故。生产中产生的硫化氢也会对设备造成腐蚀，也是产生设备腐蚀损坏的原因之一。</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根据以上定义，拟建项目</w:t>
      </w:r>
      <w:r>
        <w:rPr>
          <w:rFonts w:hint="eastAsia" w:cs="Times New Roman"/>
          <w:color w:val="000000" w:themeColor="text1"/>
          <w:lang w:val="en-US" w:eastAsia="zh-CN"/>
          <w14:textFill>
            <w14:solidFill>
              <w14:schemeClr w14:val="tx1"/>
            </w14:solidFill>
          </w14:textFill>
        </w:rPr>
        <w:t>危险</w:t>
      </w:r>
      <w:r>
        <w:rPr>
          <w:rFonts w:hint="default" w:ascii="Times New Roman" w:hAnsi="Times New Roman" w:cs="Times New Roman"/>
          <w:color w:val="000000" w:themeColor="text1"/>
          <w:lang w:val="en-US" w:eastAsia="zh-CN"/>
          <w14:textFill>
            <w14:solidFill>
              <w14:schemeClr w14:val="tx1"/>
            </w14:solidFill>
          </w14:textFill>
        </w:rPr>
        <w:t>单元划分见下表所示。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u w:val="none"/>
          <w:vertAlign w:val="baseline"/>
          <w:lang w:val="en-US" w:eastAsia="zh-CN"/>
          <w14:textFill>
            <w14:solidFill>
              <w14:schemeClr w14:val="tx1"/>
            </w14:solidFill>
          </w14:textFill>
        </w:rPr>
      </w:pPr>
      <w:r>
        <w:rPr>
          <w:color w:val="000000" w:themeColor="text1"/>
          <w:u w:val="none"/>
          <w14:textFill>
            <w14:solidFill>
              <w14:schemeClr w14:val="tx1"/>
            </w14:solidFill>
          </w14:textFill>
        </w:rPr>
        <w:t xml:space="preserve">表 </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STYLEREF 2 \s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9</w:t>
      </w:r>
      <w:r>
        <w:rPr>
          <w:rFonts w:hint="eastAsia"/>
          <w:color w:val="000000" w:themeColor="text1"/>
          <w:u w:val="none"/>
          <w:lang w:val="en-US" w:eastAsia="zh-CN"/>
          <w14:textFill>
            <w14:solidFill>
              <w14:schemeClr w14:val="tx1"/>
            </w14:solidFill>
          </w14:textFill>
        </w:rPr>
        <w:t>.</w:t>
      </w:r>
      <w:r>
        <w:rPr>
          <w:color w:val="000000" w:themeColor="text1"/>
          <w:u w:val="none"/>
          <w14:textFill>
            <w14:solidFill>
              <w14:schemeClr w14:val="tx1"/>
            </w14:solidFill>
          </w14:textFill>
        </w:rPr>
        <w:t>3</w:t>
      </w:r>
      <w:r>
        <w:rPr>
          <w:color w:val="000000" w:themeColor="text1"/>
          <w:u w:val="none"/>
          <w14:textFill>
            <w14:solidFill>
              <w14:schemeClr w14:val="tx1"/>
            </w14:solidFill>
          </w14:textFill>
        </w:rPr>
        <w:fldChar w:fldCharType="end"/>
      </w:r>
      <w:r>
        <w:rPr>
          <w:rFonts w:hint="eastAsia"/>
          <w:color w:val="000000" w:themeColor="text1"/>
          <w:u w:val="none"/>
          <w:lang w:eastAsia="zh-CN"/>
          <w14:textFill>
            <w14:solidFill>
              <w14:schemeClr w14:val="tx1"/>
            </w14:solidFill>
          </w14:textFill>
        </w:rPr>
        <w:t>-</w:t>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SEQ 表 \* ARABIC \s 2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2</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t xml:space="preserve"> 厂区</w:t>
      </w:r>
      <w:r>
        <w:rPr>
          <w:rFonts w:hint="eastAsia"/>
          <w:color w:val="000000" w:themeColor="text1"/>
          <w:u w:val="none"/>
          <w:lang w:eastAsia="zh-CN"/>
          <w14:textFill>
            <w14:solidFill>
              <w14:schemeClr w14:val="tx1"/>
            </w14:solidFill>
          </w14:textFill>
        </w:rPr>
        <w:t>危险</w:t>
      </w:r>
      <w:r>
        <w:rPr>
          <w:rFonts w:hint="eastAsia"/>
          <w:color w:val="000000" w:themeColor="text1"/>
          <w:u w:val="none"/>
          <w:lang w:val="en-US" w:eastAsia="zh-CN"/>
          <w14:textFill>
            <w14:solidFill>
              <w14:schemeClr w14:val="tx1"/>
            </w14:solidFill>
          </w14:textFill>
        </w:rPr>
        <w:t>单元划分</w:t>
      </w:r>
    </w:p>
    <w:tbl>
      <w:tblPr>
        <w:tblStyle w:val="41"/>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12"/>
        <w:gridCol w:w="854"/>
        <w:gridCol w:w="1426"/>
        <w:gridCol w:w="2455"/>
        <w:gridCol w:w="930"/>
        <w:gridCol w:w="1197"/>
        <w:gridCol w:w="17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228"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序号</w:t>
            </w:r>
          </w:p>
        </w:tc>
        <w:tc>
          <w:tcPr>
            <w:tcW w:w="473"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危险单元</w:t>
            </w:r>
          </w:p>
        </w:tc>
        <w:tc>
          <w:tcPr>
            <w:tcW w:w="790"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项目风险源</w:t>
            </w:r>
          </w:p>
        </w:tc>
        <w:tc>
          <w:tcPr>
            <w:tcW w:w="1360"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主要危险物质</w:t>
            </w:r>
          </w:p>
        </w:tc>
        <w:tc>
          <w:tcPr>
            <w:tcW w:w="515"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环境风险类型</w:t>
            </w:r>
          </w:p>
        </w:tc>
        <w:tc>
          <w:tcPr>
            <w:tcW w:w="663"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环境影响途径</w:t>
            </w:r>
          </w:p>
        </w:tc>
        <w:tc>
          <w:tcPr>
            <w:tcW w:w="968"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可能受影响的环境敏感目标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228"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8"/>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1</w:t>
            </w:r>
          </w:p>
        </w:tc>
        <w:tc>
          <w:tcPr>
            <w:tcW w:w="473"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主装置</w:t>
            </w:r>
          </w:p>
        </w:tc>
        <w:tc>
          <w:tcPr>
            <w:tcW w:w="790"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反应器、塔器、容器等</w:t>
            </w:r>
          </w:p>
        </w:tc>
        <w:tc>
          <w:tcPr>
            <w:tcW w:w="1360"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氢气、石脑油、柴油、粗白油、含硫干气</w:t>
            </w:r>
          </w:p>
        </w:tc>
        <w:tc>
          <w:tcPr>
            <w:tcW w:w="515"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火灾、爆炸、泄漏</w:t>
            </w:r>
          </w:p>
        </w:tc>
        <w:tc>
          <w:tcPr>
            <w:tcW w:w="663"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大气、地表水、地下水</w:t>
            </w:r>
          </w:p>
        </w:tc>
        <w:tc>
          <w:tcPr>
            <w:tcW w:w="968"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周围居民区及企事业单位、地表水、地下水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228"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8"/>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2</w:t>
            </w:r>
          </w:p>
        </w:tc>
        <w:tc>
          <w:tcPr>
            <w:tcW w:w="473"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管道</w:t>
            </w:r>
          </w:p>
        </w:tc>
        <w:tc>
          <w:tcPr>
            <w:tcW w:w="790"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输送</w:t>
            </w:r>
          </w:p>
        </w:tc>
        <w:tc>
          <w:tcPr>
            <w:tcW w:w="1360"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氢气、石脑油、柴油、粗白油、含硫干气</w:t>
            </w:r>
          </w:p>
        </w:tc>
        <w:tc>
          <w:tcPr>
            <w:tcW w:w="515"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火灾、爆炸、泄漏</w:t>
            </w:r>
          </w:p>
        </w:tc>
        <w:tc>
          <w:tcPr>
            <w:tcW w:w="663"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16"/>
                <w:u w:val="single"/>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大气、地表水、地下水</w:t>
            </w:r>
          </w:p>
        </w:tc>
        <w:tc>
          <w:tcPr>
            <w:tcW w:w="968" w:type="pct"/>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jc w:val="center"/>
              <w:textAlignment w:val="auto"/>
              <w:rPr>
                <w:rFonts w:hint="default" w:ascii="Times New Roman" w:hAnsi="Times New Roman" w:cs="Times New Roman"/>
                <w:color w:val="000000" w:themeColor="text1"/>
                <w:sz w:val="21"/>
                <w:u w:val="single"/>
                <w14:textFill>
                  <w14:solidFill>
                    <w14:schemeClr w14:val="tx1"/>
                  </w14:solidFill>
                </w14:textFill>
              </w:rPr>
            </w:pPr>
            <w:r>
              <w:rPr>
                <w:rFonts w:hint="default" w:ascii="Times New Roman" w:hAnsi="Times New Roman" w:cs="Times New Roman"/>
                <w:color w:val="000000" w:themeColor="text1"/>
                <w:sz w:val="21"/>
                <w:u w:val="single"/>
                <w14:textFill>
                  <w14:solidFill>
                    <w14:schemeClr w14:val="tx1"/>
                  </w14:solidFill>
                </w14:textFill>
              </w:rPr>
              <w:t>周围居民区及企事业单位、地表水、地下水</w:t>
            </w:r>
          </w:p>
        </w:tc>
      </w:tr>
    </w:tbl>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储运过程风险识别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（1）储罐区环境风险识别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油料罐区储存的物料属于可燃液体，都具有易燃的特性，在储存过程中如果发生泄露，遇到电气火花、静电火花外来火源等容易发生火灾事故。白油的闪点较低，容易挥发出可燃蒸汽，泄露到空气中能形成爆炸性气氛，尤其在储罐损坏的情况会大量泄露，遇到火源很容易发生爆炸事故。</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lang w:val="en-US" w:eastAsia="zh-CN"/>
          <w14:textFill>
            <w14:solidFill>
              <w14:schemeClr w14:val="tx1"/>
            </w14:solidFill>
          </w14:textFill>
        </w:rPr>
        <w:t>本次项目不新建罐区，</w:t>
      </w:r>
      <w:r>
        <w:rPr>
          <w:rFonts w:hint="eastAsia"/>
          <w:color w:val="000000" w:themeColor="text1"/>
          <w:sz w:val="24"/>
          <w:szCs w:val="24"/>
          <w:lang w:eastAsia="zh-CN"/>
          <w14:textFill>
            <w14:solidFill>
              <w14:schemeClr w14:val="tx1"/>
            </w14:solidFill>
          </w14:textFill>
        </w:rPr>
        <w:t>本项目原料主要来自上游常压蒸馏装置的常压塔，产品主要依托现有的罐区。目前本项目所依托的罐区项目均已进行了充分的环境风险评价且均已取得环评批复，本次不再重复评价罐区。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根据上述分析，本项目主要存在爆炸、火灾、中毒、等危险、有害因素。</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80" w:leftChars="20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物料管道运输环境风险识别</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u w:val="none" w:color="auto"/>
          <w14:textFill>
            <w14:solidFill>
              <w14:schemeClr w14:val="tx1"/>
            </w14:solidFill>
          </w14:textFill>
        </w:rPr>
        <w:t>本项目</w:t>
      </w:r>
      <w:r>
        <w:rPr>
          <w:rFonts w:hint="eastAsia"/>
          <w:color w:val="000000" w:themeColor="text1"/>
          <w:u w:val="none" w:color="auto"/>
          <w:lang w:eastAsia="zh-CN"/>
          <w14:textFill>
            <w14:solidFill>
              <w14:schemeClr w14:val="tx1"/>
            </w14:solidFill>
          </w14:textFill>
        </w:rPr>
        <w:t>氢气、溶剂油、航煤组分油、干气</w:t>
      </w:r>
      <w:r>
        <w:rPr>
          <w:rFonts w:hint="eastAsia"/>
          <w:color w:val="000000" w:themeColor="text1"/>
          <w:u w:val="none" w:color="auto"/>
          <w14:textFill>
            <w14:solidFill>
              <w14:schemeClr w14:val="tx1"/>
            </w14:solidFill>
          </w14:textFill>
        </w:rPr>
        <w:t>等</w:t>
      </w:r>
      <w:r>
        <w:rPr>
          <w:rFonts w:hint="eastAsia"/>
          <w:color w:val="000000" w:themeColor="text1"/>
          <w:u w:val="none" w:color="auto"/>
          <w:lang w:eastAsia="zh-CN"/>
          <w14:textFill>
            <w14:solidFill>
              <w14:schemeClr w14:val="tx1"/>
            </w14:solidFill>
          </w14:textFill>
        </w:rPr>
        <w:t>液体</w:t>
      </w:r>
      <w:r>
        <w:rPr>
          <w:rFonts w:hint="eastAsia"/>
          <w:color w:val="000000" w:themeColor="text1"/>
          <w:u w:val="none" w:color="auto"/>
          <w14:textFill>
            <w14:solidFill>
              <w14:schemeClr w14:val="tx1"/>
            </w14:solidFill>
          </w14:textFill>
        </w:rPr>
        <w:t>物料需经过管道运输，厂区内设有各物料运送的管道。若管道发生泄露，</w:t>
      </w:r>
      <w:r>
        <w:rPr>
          <w:rFonts w:hint="eastAsia"/>
          <w:color w:val="000000" w:themeColor="text1"/>
          <w:u w:val="none" w:color="auto"/>
          <w:lang w:eastAsia="zh-CN"/>
          <w14:textFill>
            <w14:solidFill>
              <w14:schemeClr w14:val="tx1"/>
            </w14:solidFill>
          </w14:textFill>
        </w:rPr>
        <w:t>挥发性有机</w:t>
      </w:r>
      <w:r>
        <w:rPr>
          <w:rFonts w:hint="eastAsia"/>
          <w:color w:val="000000" w:themeColor="text1"/>
          <w:u w:val="none" w:color="auto"/>
          <w14:textFill>
            <w14:solidFill>
              <w14:schemeClr w14:val="tx1"/>
            </w14:solidFill>
          </w14:textFill>
        </w:rPr>
        <w:t>物质进入空气；若泄漏液体被引燃发生火灾，将释放二次污染物进入大气环境；部分泄漏液体随消防液进入水体；部分废液进入土壤，对周边环境造成不利影响。因此，各物料运输管道为潜在环境风险源。</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污染治理措施环境风险识别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本项目固废包括废催化剂、废保护剂和废瓷球，这些固体废物如不按要求处理，则有可能会发生</w:t>
      </w:r>
      <w:r>
        <w:rPr>
          <w:rFonts w:hint="eastAsia"/>
          <w:color w:val="000000" w:themeColor="text1"/>
          <w:lang w:eastAsia="zh-CN"/>
          <w14:textFill>
            <w14:solidFill>
              <w14:schemeClr w14:val="tx1"/>
            </w14:solidFill>
          </w14:textFill>
        </w:rPr>
        <w:t>淋溶、泄漏、下渗风险</w:t>
      </w:r>
      <w:r>
        <w:rPr>
          <w:rFonts w:hint="eastAsia"/>
          <w:color w:val="000000" w:themeColor="text1"/>
          <w:lang w:val="en-US" w:eastAsia="zh-CN"/>
          <w14:textFill>
            <w14:solidFill>
              <w14:schemeClr w14:val="tx1"/>
            </w14:solidFill>
          </w14:textFill>
        </w:rPr>
        <w:t>。目前危险废物暂存间已做了三防措施，在做好管理的情况下发生泄漏，影响较小。</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风险途径识别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石油化工行业事故的风险通常划分为火灾、爆炸、泄露两种类型，事故风险都有可能引发环境灾害。根据危险物质及危险装置的识别结果，可以分析出风险的伴生事故以及环境事故、危险物质进入环境的途径。</w:t>
      </w:r>
    </w:p>
    <w:p>
      <w:pPr>
        <w:pStyle w:val="6"/>
        <w:bidi w:val="0"/>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火灾的影响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火灾包括四种类型：池火、喷射火、火球/气爆、突发火，火灾首先是通过放出辐射热影响周围环境。如果辐射热的能量足够大，可引起其它可燃物燃烧，包括生物。一般来说，火的辐射热局限于火源的区域内（约200m），对邻近地区影响不大，其主要影响通常只限于范围内。</w:t>
      </w:r>
    </w:p>
    <w:p>
      <w:pPr>
        <w:pStyle w:val="6"/>
        <w:bidi w:val="0"/>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爆炸的影响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爆炸的突发性的能量释放，是可燃气团燃烧的两种后果之一，造成大气中破坏性的冲击波、爆炸碎片等抛射物，造成危害。</w:t>
      </w:r>
    </w:p>
    <w:p>
      <w:pPr>
        <w:pStyle w:val="6"/>
        <w:bidi w:val="0"/>
        <w:rPr>
          <w:rFonts w:hint="default"/>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火灾爆炸事故中的伴/次生危险性分析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000000" w:themeColor="text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本项目生产装置或储罐区在发生火灾爆炸事故时，可能的次生危险性主要包括救火过程产生的消防污水如没有得到有效控制，可能会进入清净下水或雨水系统，造成排水区域的水体污染。</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000000" w:themeColor="text1"/>
          <w:u w:val="single"/>
          <w:vertAlign w:val="baselin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同时火灾爆炸后破坏地表覆盖物，会有部分液体物料，受污染消防水进入土壤，甚至污染地下水。大气污染物主要为燃烧不充分的情况下，产生的CO、SO</w:t>
      </w:r>
      <w:r>
        <w:rPr>
          <w:rFonts w:hint="eastAsia"/>
          <w:color w:val="000000" w:themeColor="text1"/>
          <w:u w:val="single"/>
          <w:vertAlign w:val="subscript"/>
          <w:lang w:val="en-US" w:eastAsia="zh-CN"/>
          <w14:textFill>
            <w14:solidFill>
              <w14:schemeClr w14:val="tx1"/>
            </w14:solidFill>
          </w14:textFill>
        </w:rPr>
        <w:t>2</w:t>
      </w:r>
      <w:r>
        <w:rPr>
          <w:rFonts w:hint="eastAsia"/>
          <w:color w:val="000000" w:themeColor="text1"/>
          <w:u w:val="single"/>
          <w:vertAlign w:val="baseline"/>
          <w:lang w:val="en-US" w:eastAsia="zh-CN"/>
          <w14:textFill>
            <w14:solidFill>
              <w14:schemeClr w14:val="tx1"/>
            </w14:solidFill>
          </w14:textFill>
        </w:rPr>
        <w:t>、氮氧化物和少量烟尘，对大气环境会造成局部污染。</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环境风险识别结果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本弄项目风险识别结果详见下表所示，危险单元分布详见附图11。</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建设项目环境风险识别表</w:t>
      </w:r>
    </w:p>
    <w:tbl>
      <w:tblPr>
        <w:tblStyle w:val="41"/>
        <w:tblW w:w="0" w:type="auto"/>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67"/>
        <w:gridCol w:w="948"/>
        <w:gridCol w:w="531"/>
        <w:gridCol w:w="1391"/>
        <w:gridCol w:w="999"/>
        <w:gridCol w:w="3173"/>
        <w:gridCol w:w="1465"/>
        <w:gridCol w:w="2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序号</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危险单元</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风险源</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主要危险物质</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环境风险类型</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环境影响途径</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可能受影响的环境敏感目标</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u w:val="none" w:color="auto"/>
                <w:lang w:eastAsia="zh-CN"/>
                <w14:textFill>
                  <w14:solidFill>
                    <w14:schemeClr w14:val="tx1"/>
                  </w14:solidFill>
                </w14:textFill>
              </w:rPr>
            </w:pPr>
            <w:r>
              <w:rPr>
                <w:rFonts w:hint="eastAsia" w:ascii="Times New Roman" w:hAnsi="Times New Roman"/>
                <w:color w:val="000000" w:themeColor="text1"/>
                <w:sz w:val="21"/>
                <w:szCs w:val="21"/>
                <w:u w:val="none" w:color="auto"/>
                <w:lang w:val="en-US" w:eastAsia="zh-CN"/>
                <w14:textFill>
                  <w14:solidFill>
                    <w14:schemeClr w14:val="tx1"/>
                  </w14:solidFill>
                </w14:textFill>
              </w:rPr>
              <w:t>1</w:t>
            </w: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生产装置区（含装车平台）</w:t>
            </w: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各生产线</w:t>
            </w:r>
          </w:p>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装置</w:t>
            </w: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u w:val="none" w:color="auto"/>
                <w:lang w:eastAsia="zh-CN"/>
                <w14:textFill>
                  <w14:solidFill>
                    <w14:schemeClr w14:val="tx1"/>
                  </w14:solidFill>
                </w14:textFill>
              </w:rPr>
            </w:pPr>
            <w:r>
              <w:rPr>
                <w:rFonts w:hint="eastAsia" w:ascii="Times New Roman" w:hAnsi="Times New Roman"/>
                <w:color w:val="000000" w:themeColor="text1"/>
                <w:sz w:val="21"/>
                <w:szCs w:val="21"/>
                <w:u w:val="none" w:color="auto"/>
                <w:lang w:eastAsia="zh-CN"/>
                <w14:textFill>
                  <w14:solidFill>
                    <w14:schemeClr w14:val="tx1"/>
                  </w14:solidFill>
                </w14:textFill>
              </w:rPr>
              <w:t>航煤组分油、溶剂油、氢气、干气</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管线破裂泄露</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泄露的有毒物质进入外环境对大气环境、水环境以及土壤产生不利影响</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影响范围内的周边居民</w:t>
            </w:r>
            <w:r>
              <w:rPr>
                <w:rFonts w:hint="eastAsia" w:ascii="Times New Roman" w:hAnsi="Times New Roman"/>
                <w:color w:val="000000" w:themeColor="text1"/>
                <w:sz w:val="21"/>
                <w:szCs w:val="21"/>
                <w:u w:val="none" w:color="auto"/>
                <w:lang w:eastAsia="zh-CN"/>
                <w14:textFill>
                  <w14:solidFill>
                    <w14:schemeClr w14:val="tx1"/>
                  </w14:solidFill>
                </w14:textFill>
              </w:rPr>
              <w:t>、</w:t>
            </w:r>
            <w:r>
              <w:rPr>
                <w:rFonts w:hint="eastAsia" w:ascii="Times New Roman" w:hAnsi="Times New Roman"/>
                <w:color w:val="000000" w:themeColor="text1"/>
                <w:sz w:val="21"/>
                <w:szCs w:val="21"/>
                <w:u w:val="none" w:color="auto"/>
                <w14:textFill>
                  <w14:solidFill>
                    <w14:schemeClr w14:val="tx1"/>
                  </w14:solidFill>
                </w14:textFill>
              </w:rPr>
              <w:t>周边水体长江及水生生物</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火灾、爆炸</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火灾、爆炸危险物质未完全燃烧在高温下迅速挥发释放至大气</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影响范围内的周边居民</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火灾、爆炸产生的二次污染物对大气环境产生不利影响；火灾、爆炸产生的消防废水进入外环境，对周边水体产生不利影响。</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影响范围内的周边居民</w:t>
            </w:r>
          </w:p>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hint="eastAsia" w:ascii="Times New Roman" w:hAnsi="Times New Roman"/>
                <w:color w:val="000000" w:themeColor="text1"/>
                <w:sz w:val="21"/>
                <w:szCs w:val="21"/>
                <w:u w:val="none" w:color="auto"/>
                <w14:textFill>
                  <w14:solidFill>
                    <w14:schemeClr w14:val="tx1"/>
                  </w14:solidFill>
                </w14:textFill>
              </w:rPr>
              <w:t>周边水体长江及水生生物</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u w:val="none" w:color="auto"/>
                <w:lang w:eastAsia="zh-CN"/>
                <w14:textFill>
                  <w14:solidFill>
                    <w14:schemeClr w14:val="tx1"/>
                  </w14:solidFill>
                </w14:textFill>
              </w:rPr>
            </w:pPr>
            <w:r>
              <w:rPr>
                <w:rFonts w:hint="eastAsia" w:ascii="Times New Roman" w:hAnsi="Times New Roman"/>
                <w:color w:val="000000" w:themeColor="text1"/>
                <w:sz w:val="21"/>
                <w:szCs w:val="21"/>
                <w:u w:val="none" w:color="auto"/>
                <w:lang w:val="en-US" w:eastAsia="zh-CN"/>
                <w14:textFill>
                  <w14:solidFill>
                    <w14:schemeClr w14:val="tx1"/>
                  </w14:solidFill>
                </w14:textFill>
              </w:rPr>
              <w:t>2</w:t>
            </w: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环保设施区</w:t>
            </w: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废水</w:t>
            </w:r>
            <w:r>
              <w:rPr>
                <w:rFonts w:hint="eastAsia" w:ascii="Times New Roman" w:hAnsi="Times New Roman"/>
                <w:color w:val="000000" w:themeColor="text1"/>
                <w:sz w:val="21"/>
                <w:szCs w:val="21"/>
                <w:u w:val="none" w:color="auto"/>
                <w14:textFill>
                  <w14:solidFill>
                    <w14:schemeClr w14:val="tx1"/>
                  </w14:solidFill>
                </w14:textFill>
              </w:rPr>
              <w:t>预</w:t>
            </w:r>
            <w:r>
              <w:rPr>
                <w:rFonts w:ascii="Times New Roman" w:hAnsi="Times New Roman"/>
                <w:color w:val="000000" w:themeColor="text1"/>
                <w:sz w:val="21"/>
                <w:szCs w:val="21"/>
                <w:u w:val="none" w:color="auto"/>
                <w14:textFill>
                  <w14:solidFill>
                    <w14:schemeClr w14:val="tx1"/>
                  </w14:solidFill>
                </w14:textFill>
              </w:rPr>
              <w:t>处理设施</w:t>
            </w: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000000" w:themeColor="text1"/>
                <w:sz w:val="21"/>
                <w:szCs w:val="21"/>
                <w:u w:val="none" w:color="auto"/>
                <w:lang w:val="en-US" w:eastAsia="zh-CN"/>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COD、</w:t>
            </w:r>
            <w:r>
              <w:rPr>
                <w:rFonts w:hint="eastAsia" w:ascii="Times New Roman" w:hAnsi="Times New Roman"/>
                <w:color w:val="000000" w:themeColor="text1"/>
                <w:sz w:val="21"/>
                <w:szCs w:val="21"/>
                <w:u w:val="none" w:color="auto"/>
                <w:lang w:val="en-US" w:eastAsia="zh-CN"/>
                <w14:textFill>
                  <w14:solidFill>
                    <w14:schemeClr w14:val="tx1"/>
                  </w14:solidFill>
                </w14:textFill>
              </w:rPr>
              <w:t>SS、石油类、硫化物</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处理设施失效</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u w:val="none" w:color="auto"/>
                <w:lang w:eastAsia="zh-CN"/>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废水处理设施失效，废水未经处理进入</w:t>
            </w:r>
            <w:r>
              <w:rPr>
                <w:rFonts w:hint="default" w:ascii="Times New Roman" w:hAnsi="Times New Roman"/>
                <w:color w:val="000000" w:themeColor="text1"/>
                <w:sz w:val="21"/>
                <w:szCs w:val="21"/>
                <w:u w:val="none" w:color="auto"/>
                <w14:textFill>
                  <w14:solidFill>
                    <w14:schemeClr w14:val="tx1"/>
                  </w14:solidFill>
                </w14:textFill>
              </w:rPr>
              <w:t>巴陵石化水务部云溪生化装置</w:t>
            </w:r>
            <w:r>
              <w:rPr>
                <w:rFonts w:hint="eastAsia" w:ascii="Times New Roman" w:hAnsi="Times New Roman"/>
                <w:color w:val="000000" w:themeColor="text1"/>
                <w:sz w:val="21"/>
                <w:szCs w:val="21"/>
                <w:u w:val="none" w:color="auto"/>
                <w:lang w:eastAsia="zh-CN"/>
                <w14:textFill>
                  <w14:solidFill>
                    <w14:schemeClr w14:val="tx1"/>
                  </w14:solidFill>
                </w14:textFill>
              </w:rPr>
              <w:t>处理</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hint="eastAsia" w:ascii="Times New Roman" w:hAnsi="Times New Roman"/>
                <w:color w:val="000000" w:themeColor="text1"/>
                <w:sz w:val="21"/>
                <w:szCs w:val="21"/>
                <w:u w:val="none" w:color="auto"/>
                <w14:textFill>
                  <w14:solidFill>
                    <w14:schemeClr w14:val="tx1"/>
                  </w14:solidFill>
                </w14:textFill>
              </w:rPr>
              <w:t>周边水体长江及水生生物</w:t>
            </w:r>
          </w:p>
        </w:tc>
        <w:tc>
          <w:tcPr>
            <w:tcW w:w="0" w:type="auto"/>
            <w:vMerge w:val="restart"/>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hint="eastAsia" w:ascii="Times New Roman" w:hAnsi="Times New Roman"/>
                <w:color w:val="000000" w:themeColor="text1"/>
                <w:sz w:val="21"/>
                <w:szCs w:val="21"/>
                <w:u w:val="none" w:color="auto"/>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防渗措施失效</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防渗措施失效，泄露的污水对地下水、土壤的不利影响</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w:t>
            </w: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vMerge w:val="continue"/>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固废堆存点</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u w:val="none" w:color="auto"/>
                <w:lang w:eastAsia="zh-CN"/>
                <w14:textFill>
                  <w14:solidFill>
                    <w14:schemeClr w14:val="tx1"/>
                  </w14:solidFill>
                </w14:textFill>
              </w:rPr>
            </w:pPr>
            <w:r>
              <w:rPr>
                <w:rFonts w:hint="eastAsia" w:ascii="Times New Roman" w:hAnsi="Times New Roman"/>
                <w:color w:val="000000" w:themeColor="text1"/>
                <w:sz w:val="21"/>
                <w:szCs w:val="21"/>
                <w:u w:val="none" w:color="auto"/>
                <w:lang w:eastAsia="zh-CN"/>
                <w14:textFill>
                  <w14:solidFill>
                    <w14:schemeClr w14:val="tx1"/>
                  </w14:solidFill>
                </w14:textFill>
              </w:rPr>
              <w:t>废催化剂、废瓷球、废保护剂</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防渗措施失效，危险废物泄露</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防渗措施失效，泄露的危险废物对地下水、土壤的不利影响；或发生火灾、爆炸时物料泄漏至环境中。</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000000" w:themeColor="text1"/>
                <w:sz w:val="21"/>
                <w:szCs w:val="21"/>
                <w:u w:val="none" w:color="auto"/>
                <w:lang w:eastAsia="zh-CN"/>
                <w14:textFill>
                  <w14:solidFill>
                    <w14:schemeClr w14:val="tx1"/>
                  </w14:solidFill>
                </w14:textFill>
              </w:rPr>
            </w:pPr>
            <w:r>
              <w:rPr>
                <w:rFonts w:hint="eastAsia" w:ascii="Times New Roman" w:hAnsi="Times New Roman"/>
                <w:color w:val="000000" w:themeColor="text1"/>
                <w:sz w:val="21"/>
                <w:szCs w:val="21"/>
                <w:u w:val="none" w:color="auto"/>
                <w:lang w:val="en-US" w:eastAsia="zh-CN"/>
                <w14:textFill>
                  <w14:solidFill>
                    <w14:schemeClr w14:val="tx1"/>
                  </w14:solidFill>
                </w14:textFill>
              </w:rPr>
              <w:t>3</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雨水排放口</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事故消防废水</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COD、NH</w:t>
            </w:r>
            <w:r>
              <w:rPr>
                <w:rFonts w:ascii="Times New Roman" w:hAnsi="Times New Roman"/>
                <w:color w:val="000000" w:themeColor="text1"/>
                <w:sz w:val="21"/>
                <w:szCs w:val="21"/>
                <w:u w:val="none" w:color="auto"/>
                <w:vertAlign w:val="subscript"/>
                <w14:textFill>
                  <w14:solidFill>
                    <w14:schemeClr w14:val="tx1"/>
                  </w14:solidFill>
                </w14:textFill>
              </w:rPr>
              <w:t>3</w:t>
            </w:r>
            <w:r>
              <w:rPr>
                <w:rFonts w:ascii="Times New Roman" w:hAnsi="Times New Roman"/>
                <w:color w:val="000000" w:themeColor="text1"/>
                <w:sz w:val="21"/>
                <w:szCs w:val="21"/>
                <w:u w:val="none" w:color="auto"/>
                <w14:textFill>
                  <w14:solidFill>
                    <w14:schemeClr w14:val="tx1"/>
                  </w14:solidFill>
                </w14:textFill>
              </w:rPr>
              <w:t>-N、SS等</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火灾、爆炸</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事故状态下，雨污切换阀失效，火灾、爆炸产生的事故消防废水经雨水排放口最终排至长江</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hint="eastAsia" w:ascii="Times New Roman" w:hAnsi="Times New Roman"/>
                <w:color w:val="000000" w:themeColor="text1"/>
                <w:sz w:val="21"/>
                <w:szCs w:val="21"/>
                <w:u w:val="none" w:color="auto"/>
                <w14:textFill>
                  <w14:solidFill>
                    <w14:schemeClr w14:val="tx1"/>
                  </w14:solidFill>
                </w14:textFill>
              </w:rPr>
              <w:t>周边水体长江及水生生物</w:t>
            </w:r>
          </w:p>
        </w:tc>
        <w:tc>
          <w:tcPr>
            <w:tcW w:w="0" w:type="auto"/>
            <w:tcBorders>
              <w:tl2br w:val="nil"/>
              <w:tr2bl w:val="nil"/>
            </w:tcBorders>
            <w:noWrap w:val="0"/>
            <w:vAlign w:val="center"/>
          </w:tcPr>
          <w:p>
            <w:pPr>
              <w:pStyle w:val="12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ascii="Times New Roman" w:hAnsi="Times New Roman"/>
                <w:color w:val="000000" w:themeColor="text1"/>
                <w:sz w:val="21"/>
                <w:szCs w:val="21"/>
                <w:u w:val="none" w:color="auto"/>
                <w14:textFill>
                  <w14:solidFill>
                    <w14:schemeClr w14:val="tx1"/>
                  </w14:solidFill>
                </w14:textFill>
              </w:rPr>
            </w:pPr>
            <w:r>
              <w:rPr>
                <w:rFonts w:ascii="Times New Roman" w:hAnsi="Times New Roman"/>
                <w:color w:val="000000" w:themeColor="text1"/>
                <w:sz w:val="21"/>
                <w:szCs w:val="21"/>
                <w:u w:val="none" w:color="auto"/>
                <w14:textFill>
                  <w14:solidFill>
                    <w14:schemeClr w14:val="tx1"/>
                  </w14:solidFill>
                </w14:textFill>
              </w:rPr>
              <w:t>/</w:t>
            </w:r>
          </w:p>
        </w:tc>
      </w:tr>
    </w:tbl>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同类事故调查分析</w:t>
      </w:r>
    </w:p>
    <w:p>
      <w:p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对拟建项目来说，事故可能发生的概率是非常重要的数据，利用相关类型装置发生事故的统计资料，确定事故发生的概率。</w:t>
      </w:r>
    </w:p>
    <w:p>
      <w:pPr>
        <w:pStyle w:val="20"/>
        <w:numPr>
          <w:ilvl w:val="0"/>
          <w:numId w:val="15"/>
        </w:numPr>
        <w:spacing w:after="0" w:line="360" w:lineRule="auto"/>
        <w:ind w:left="0" w:leftChars="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化工行业事故统计调查</w:t>
      </w:r>
    </w:p>
    <w:p>
      <w:p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化学工业部科学技术情报研究所编辑的《全国化工事故案例集》，调查统计了全国1949-1982年的事故资料。事故案例13440例，事故类型包括物体打击、火灾、物理爆炸、化学爆炸、中毒和窒息、其它伤害等17类。事故原因有防护装置缺陷、违反操作规程、设计缺陷、保险装置缺陷等19种。在统计的13440例事故中，火灾261例（1.94%），爆炸1056例（7.86%），中毒和窒息505例（3.76%），灼烫828例（6.16%）。按事故原因分类，违反操作规程6165例（45.87%），设备缺陷1076例（8.00%），个人防护缺陷651例（4.84%），防护装置缺乏784例（5.83%），防护装置缺陷138例（1.03%），保险装置缺乏40例（0.29%），保险装置缺陷57例（0.42%）。从事故发生原因来看，违反操作规程是发生事故的最主要原因。</w:t>
      </w:r>
    </w:p>
    <w:p>
      <w:pPr>
        <w:pStyle w:val="17"/>
        <w:spacing w:after="0"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根据13440例事故统计，拟建项目涉及到的主要物料引起的火灾、爆炸和毒物泄漏事故统计见</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REF _Ref13301 \h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，其中CO发生事故389次、H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S事故64次、氨182次，与之相关的事故发生频率分别为2.89%、0.34%和 0.13%。</w:t>
      </w:r>
    </w:p>
    <w:p>
      <w:pPr>
        <w:pStyle w:val="14"/>
        <w:spacing w:line="240" w:lineRule="auto"/>
        <w:rPr>
          <w:color w:val="000000" w:themeColor="text1"/>
          <w14:textFill>
            <w14:solidFill>
              <w14:schemeClr w14:val="tx1"/>
            </w14:solidFill>
          </w14:textFill>
        </w:rPr>
      </w:pPr>
      <w:bookmarkStart w:id="509" w:name="_Ref13301"/>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bookmarkEnd w:id="509"/>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全国化工事故统计</w:t>
      </w:r>
    </w:p>
    <w:tbl>
      <w:tblPr>
        <w:tblStyle w:val="41"/>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924"/>
        <w:gridCol w:w="795"/>
        <w:gridCol w:w="601"/>
        <w:gridCol w:w="985"/>
        <w:gridCol w:w="409"/>
        <w:gridCol w:w="409"/>
        <w:gridCol w:w="1173"/>
        <w:gridCol w:w="786"/>
        <w:gridCol w:w="786"/>
        <w:gridCol w:w="115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0" w:type="auto"/>
            <w:vMerge w:val="restart"/>
            <w:tcBorders>
              <w:left w:val="nil"/>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化工事故统计危害物质</w:t>
            </w:r>
          </w:p>
        </w:tc>
        <w:tc>
          <w:tcPr>
            <w:tcW w:w="0" w:type="auto"/>
            <w:vMerge w:val="restart"/>
            <w:tcBorders>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发生次数</w:t>
            </w:r>
          </w:p>
        </w:tc>
        <w:tc>
          <w:tcPr>
            <w:tcW w:w="0" w:type="auto"/>
            <w:gridSpan w:val="4"/>
            <w:tcBorders>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主要事故类型</w:t>
            </w:r>
          </w:p>
        </w:tc>
        <w:tc>
          <w:tcPr>
            <w:tcW w:w="0" w:type="auto"/>
            <w:gridSpan w:val="4"/>
            <w:tcBorders>
              <w:left w:val="single" w:color="000000" w:sz="4" w:space="0"/>
              <w:bottom w:val="single" w:color="000000" w:sz="4" w:space="0"/>
              <w:right w:val="nil"/>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主要事故原因</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0" w:type="auto"/>
            <w:vMerge w:val="continue"/>
            <w:tcBorders>
              <w:top w:val="single" w:color="000000" w:sz="4" w:space="0"/>
              <w:left w:val="nil"/>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138" w:beforeAutospacing="0" w:after="0" w:afterAutospacing="0"/>
              <w:ind w:left="107" w:right="85"/>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爆炸</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1"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中毒和窒息</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138"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火灾</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138"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灼烫</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1"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违反操作规程</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1"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设计缺陷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1"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设备缺陷</w:t>
            </w:r>
          </w:p>
        </w:tc>
        <w:tc>
          <w:tcPr>
            <w:tcW w:w="0" w:type="auto"/>
            <w:tcBorders>
              <w:top w:val="single" w:color="000000" w:sz="4" w:space="0"/>
              <w:left w:val="single" w:color="000000" w:sz="4" w:space="0"/>
              <w:bottom w:val="single" w:color="000000" w:sz="4" w:space="0"/>
              <w:right w:val="nil"/>
            </w:tcBorders>
            <w:noWrap w:val="0"/>
            <w:vAlign w:val="center"/>
          </w:tcPr>
          <w:p>
            <w:pPr>
              <w:pStyle w:val="112"/>
              <w:keepNext w:val="0"/>
              <w:keepLines w:val="0"/>
              <w:suppressLineNumbers w:val="0"/>
              <w:spacing w:before="1"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个人防护缺陷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6" w:hRule="atLeast"/>
        </w:trPr>
        <w:tc>
          <w:tcPr>
            <w:tcW w:w="0" w:type="auto"/>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CO</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389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221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183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65</w:t>
            </w:r>
          </w:p>
        </w:tc>
        <w:tc>
          <w:tcPr>
            <w:tcW w:w="0" w:type="auto"/>
            <w:tcBorders>
              <w:top w:val="single" w:color="000000" w:sz="4" w:space="0"/>
              <w:left w:val="single" w:color="000000" w:sz="4" w:space="0"/>
              <w:bottom w:val="single" w:color="000000" w:sz="4" w:space="0"/>
              <w:right w:val="nil"/>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6" w:hRule="atLeast"/>
        </w:trPr>
        <w:tc>
          <w:tcPr>
            <w:tcW w:w="0" w:type="auto"/>
            <w:tcBorders>
              <w:top w:val="single" w:color="000000" w:sz="4" w:space="0"/>
              <w:left w:val="nil"/>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H</w:t>
            </w:r>
            <w:r>
              <w:rPr>
                <w:rFonts w:hint="default" w:ascii="Times New Roman" w:hAnsi="Times New Roman" w:cs="Times New Roman"/>
                <w:color w:val="000000" w:themeColor="text1"/>
                <w:kern w:val="2"/>
                <w:sz w:val="21"/>
                <w:szCs w:val="21"/>
                <w:vertAlign w:val="subscript"/>
                <w14:textFill>
                  <w14:solidFill>
                    <w14:schemeClr w14:val="tx1"/>
                  </w14:solidFill>
                </w14:textFill>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46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37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13</w:t>
            </w:r>
          </w:p>
        </w:tc>
        <w:tc>
          <w:tcPr>
            <w:tcW w:w="0" w:type="auto"/>
            <w:tcBorders>
              <w:top w:val="single" w:color="000000" w:sz="4" w:space="0"/>
              <w:left w:val="single" w:color="000000" w:sz="4" w:space="0"/>
              <w:bottom w:val="single" w:color="000000" w:sz="4" w:space="0"/>
              <w:right w:val="nil"/>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0" w:type="auto"/>
            <w:tcBorders>
              <w:top w:val="single" w:color="000000" w:sz="4" w:space="0"/>
              <w:left w:val="nil"/>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H</w:t>
            </w:r>
            <w:r>
              <w:rPr>
                <w:rFonts w:hint="default" w:ascii="Times New Roman" w:hAnsi="Times New Roman" w:cs="Times New Roman"/>
                <w:color w:val="000000" w:themeColor="text1"/>
                <w:kern w:val="2"/>
                <w:sz w:val="21"/>
                <w:szCs w:val="21"/>
                <w:vertAlign w:val="subscript"/>
                <w14:textFill>
                  <w14:solidFill>
                    <w14:schemeClr w14:val="tx1"/>
                  </w14:solidFill>
                </w14:textFill>
              </w:rPr>
              <w:t>2</w:t>
            </w:r>
            <w:r>
              <w:rPr>
                <w:rFonts w:hint="default" w:ascii="Times New Roman" w:hAnsi="Times New Roman" w:cs="Times New Roman"/>
                <w:color w:val="000000" w:themeColor="text1"/>
                <w:kern w:val="2"/>
                <w:sz w:val="21"/>
                <w:szCs w:val="21"/>
                <w14:textFill>
                  <w14:solidFill>
                    <w14:schemeClr w14:val="tx1"/>
                  </w14:solidFill>
                </w14:textFill>
              </w:rPr>
              <w:t>S</w:t>
            </w: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64</w:t>
            </w: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3</w:t>
            </w: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60</w:t>
            </w: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1</w:t>
            </w: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33</w:t>
            </w: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7</w:t>
            </w:r>
          </w:p>
        </w:tc>
        <w:tc>
          <w:tcPr>
            <w:tcW w:w="0" w:type="auto"/>
            <w:tcBorders>
              <w:top w:val="single" w:color="000000" w:sz="4" w:space="0"/>
              <w:left w:val="single" w:color="000000" w:sz="4" w:space="0"/>
              <w:right w:val="single" w:color="000000" w:sz="4" w:space="0"/>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7</w:t>
            </w:r>
          </w:p>
        </w:tc>
        <w:tc>
          <w:tcPr>
            <w:tcW w:w="0" w:type="auto"/>
            <w:tcBorders>
              <w:top w:val="single" w:color="000000" w:sz="4" w:space="0"/>
              <w:left w:val="single" w:color="000000" w:sz="4" w:space="0"/>
              <w:right w:val="nil"/>
            </w:tcBorders>
            <w:noWrap w:val="0"/>
            <w:vAlign w:val="center"/>
          </w:tcPr>
          <w:p>
            <w:pPr>
              <w:pStyle w:val="112"/>
              <w:keepNext w:val="0"/>
              <w:keepLines w:val="0"/>
              <w:suppressLineNumbers w:val="0"/>
              <w:spacing w:before="5" w:beforeAutospacing="0" w:after="0" w:afterAutospacing="0"/>
              <w:ind w:left="0" w:right="0"/>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5</w:t>
            </w:r>
          </w:p>
        </w:tc>
      </w:tr>
    </w:tbl>
    <w:p>
      <w:pPr>
        <w:pStyle w:val="20"/>
        <w:numPr>
          <w:ilvl w:val="0"/>
          <w:numId w:val="15"/>
        </w:numPr>
        <w:spacing w:after="0" w:line="360" w:lineRule="auto"/>
        <w:ind w:left="0" w:leftChars="0"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石化行业事故统计调查</w:t>
      </w:r>
    </w:p>
    <w:p>
      <w:pPr>
        <w:pStyle w:val="17"/>
        <w:spacing w:after="0"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拟建项目为加氢精制粗白油的项目，属于石化行业。 </w:t>
      </w:r>
    </w:p>
    <w:p>
      <w:pPr>
        <w:pStyle w:val="17"/>
        <w:spacing w:after="0"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根据美国M＆Mprotection Consultants.W.G Garrison 编制的“世界石油化工企业近 30年100起特大型火灾爆炸事故汇编（Ⅱ版）”中，论述了近年来国外发生的损失超过1000万美元的特大型火灾爆炸事故，对这些事故进行分析，从中可以得到许多有益的规律， 进行分析、借鉴。根据“世界石油化工企业近30年发生的100起特大型火灾爆炸事故” 可统计归纳出如下事故比率表</w:t>
      </w:r>
      <w:r>
        <w:rPr>
          <w:rFonts w:hint="eastAsia"/>
          <w:color w:val="000000" w:themeColor="text1"/>
          <w:lang w:val="en-US" w:eastAsia="zh-CN"/>
          <w14:textFill>
            <w14:solidFill>
              <w14:schemeClr w14:val="tx1"/>
            </w14:solidFill>
          </w14:textFill>
        </w:rPr>
        <w:t>9.3-5</w:t>
      </w:r>
      <w:r>
        <w:rPr>
          <w:rFonts w:hint="eastAsia"/>
          <w:color w:val="000000" w:themeColor="text1"/>
          <w14:textFill>
            <w14:solidFill>
              <w14:schemeClr w14:val="tx1"/>
            </w14:solidFill>
          </w14:textFill>
        </w:rPr>
        <w:t>。从表中，可以知道罐区发生火灾爆炸的比例最高</w:t>
      </w:r>
    </w:p>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事故比率表</w:t>
      </w:r>
    </w:p>
    <w:tbl>
      <w:tblPr>
        <w:tblStyle w:val="41"/>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03"/>
        <w:gridCol w:w="3174"/>
        <w:gridCol w:w="2029"/>
        <w:gridCol w:w="28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1" w:hRule="atLeast"/>
        </w:trPr>
        <w:tc>
          <w:tcPr>
            <w:tcW w:w="556" w:type="pct"/>
            <w:tcBorders>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80" w:beforeAutospacing="0" w:after="0" w:afterAutospacing="0" w:line="240" w:lineRule="auto"/>
              <w:ind w:left="46" w:right="28"/>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序号</w:t>
            </w:r>
          </w:p>
        </w:tc>
        <w:tc>
          <w:tcPr>
            <w:tcW w:w="1758" w:type="pct"/>
            <w:tcBorders>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80"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装置</w:t>
            </w:r>
          </w:p>
        </w:tc>
        <w:tc>
          <w:tcPr>
            <w:tcW w:w="1124" w:type="pct"/>
            <w:tcBorders>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次数</w:t>
            </w:r>
          </w:p>
        </w:tc>
        <w:tc>
          <w:tcPr>
            <w:tcW w:w="1560" w:type="pct"/>
            <w:tcBorders>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80" w:beforeAutospacing="0" w:after="0" w:afterAutospacing="0" w:line="240" w:lineRule="auto"/>
              <w:ind w:left="717" w:right="68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所占比例（</w:t>
            </w:r>
            <w:r>
              <w:rPr>
                <w:rFonts w:hint="default" w:ascii="Times New Roman" w:hAnsi="Times New Roman" w:eastAsia="Times New Roman" w:cs="Times New Roman"/>
                <w:color w:val="000000" w:themeColor="text1"/>
                <w:sz w:val="21"/>
                <w14:textFill>
                  <w14:solidFill>
                    <w14:schemeClr w14:val="tx1"/>
                  </w14:solidFill>
                </w14:textFill>
              </w:rPr>
              <w:t>%</w:t>
            </w:r>
            <w:r>
              <w:rPr>
                <w:rFonts w:hint="default" w:ascii="Times New Roman" w:hAnsi="Times New Roman" w:cs="Times New Roman"/>
                <w:color w:val="000000" w:themeColor="text1"/>
                <w:sz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烷基化</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6</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6.3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2</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8"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加氢</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8"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催化气</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4</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焦化</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4</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4.2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5</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8" w:beforeAutospacing="0" w:after="0" w:afterAutospacing="0" w:line="240" w:lineRule="auto"/>
              <w:ind w:left="986" w:right="961"/>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溶剂脱沥青</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2"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6</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80"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蒸馏</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3.16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0"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2"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8"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罐区</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2" w:beforeAutospacing="0" w:after="0" w:afterAutospacing="0" w:line="240" w:lineRule="auto"/>
              <w:ind w:left="818" w:right="792"/>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16</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2"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16.8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8</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油船</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6</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6.3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14"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9</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乙烯</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7.3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42" w:right="28"/>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10</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8" w:beforeAutospacing="0" w:after="0" w:afterAutospacing="0" w:line="240" w:lineRule="auto"/>
              <w:ind w:left="987" w:right="961"/>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乙烯加工</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8</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37" w:right="28"/>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11</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988" w:right="961"/>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聚乙烯等塑料</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9</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2"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240" w:lineRule="auto"/>
              <w:ind w:left="42" w:right="28"/>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12</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80"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橡胶</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4"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42" w:right="28"/>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13</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986" w:right="961"/>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天然气输送</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8</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8.4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42" w:right="28"/>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14</w:t>
            </w:r>
          </w:p>
        </w:tc>
        <w:tc>
          <w:tcPr>
            <w:tcW w:w="1758"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8"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合成氨</w:t>
            </w:r>
          </w:p>
        </w:tc>
        <w:tc>
          <w:tcPr>
            <w:tcW w:w="1124" w:type="pct"/>
            <w:tcBorders>
              <w:top w:val="single" w:color="000000" w:sz="4" w:space="0"/>
              <w:left w:val="single" w:color="000000" w:sz="4" w:space="0"/>
              <w:bottom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1560" w:type="pct"/>
            <w:tcBorders>
              <w:top w:val="single" w:color="000000" w:sz="4" w:space="0"/>
              <w:left w:val="single" w:color="000000" w:sz="4" w:space="0"/>
              <w:bottom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9" w:hRule="atLeast"/>
        </w:trPr>
        <w:tc>
          <w:tcPr>
            <w:tcW w:w="556" w:type="pct"/>
            <w:tcBorders>
              <w:top w:val="single" w:color="000000" w:sz="4" w:space="0"/>
              <w:left w:val="nil"/>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42" w:right="28"/>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15</w:t>
            </w:r>
          </w:p>
        </w:tc>
        <w:tc>
          <w:tcPr>
            <w:tcW w:w="1758" w:type="pct"/>
            <w:tcBorders>
              <w:top w:val="single" w:color="000000" w:sz="4" w:space="0"/>
              <w:left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77" w:beforeAutospacing="0" w:after="0" w:afterAutospacing="0" w:line="240" w:lineRule="auto"/>
              <w:ind w:left="988" w:right="959"/>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电厂</w:t>
            </w:r>
          </w:p>
        </w:tc>
        <w:tc>
          <w:tcPr>
            <w:tcW w:w="1124" w:type="pct"/>
            <w:tcBorders>
              <w:top w:val="single" w:color="000000" w:sz="4" w:space="0"/>
              <w:left w:val="single" w:color="000000" w:sz="4" w:space="0"/>
              <w:right w:val="single" w:color="000000" w:sz="4" w:space="0"/>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26" w:right="0"/>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w:t>
            </w:r>
          </w:p>
        </w:tc>
        <w:tc>
          <w:tcPr>
            <w:tcW w:w="1560" w:type="pct"/>
            <w:tcBorders>
              <w:top w:val="single" w:color="000000" w:sz="4" w:space="0"/>
              <w:left w:val="single" w:color="000000" w:sz="4" w:space="0"/>
              <w:right w:val="nil"/>
            </w:tcBorders>
            <w:noWrap w:val="0"/>
            <w:vAlign w:val="center"/>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91" w:beforeAutospacing="0" w:after="0" w:afterAutospacing="0" w:line="240" w:lineRule="auto"/>
              <w:ind w:left="717" w:right="677"/>
              <w:jc w:val="center"/>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1.1</w:t>
            </w:r>
          </w:p>
        </w:tc>
      </w:tr>
    </w:tbl>
    <w:p>
      <w:pPr>
        <w:pStyle w:val="14"/>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按事故原因分类的事故频率分布表</w:t>
      </w:r>
    </w:p>
    <w:tbl>
      <w:tblPr>
        <w:tblStyle w:val="4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10"/>
        <w:gridCol w:w="2146"/>
        <w:gridCol w:w="2103"/>
        <w:gridCol w:w="2163"/>
        <w:gridCol w:w="18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4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187" w:right="168"/>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118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358" w:right="327"/>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事故原因</w:t>
            </w:r>
          </w:p>
        </w:tc>
        <w:tc>
          <w:tcPr>
            <w:tcW w:w="1165"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233" w:right="201"/>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事故频率数（件）</w:t>
            </w:r>
          </w:p>
        </w:tc>
        <w:tc>
          <w:tcPr>
            <w:tcW w:w="1198"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385" w:right="355"/>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事故频率（</w:t>
            </w:r>
            <w:r>
              <w:rPr>
                <w:rFonts w:ascii="Times New Roman" w:eastAsia="Times New Roman"/>
                <w:color w:val="000000" w:themeColor="text1"/>
                <w:sz w:val="21"/>
                <w14:textFill>
                  <w14:solidFill>
                    <w14:schemeClr w14:val="tx1"/>
                  </w14:solidFill>
                </w14:textFill>
              </w:rPr>
              <w:t>%</w:t>
            </w:r>
            <w:r>
              <w:rPr>
                <w:color w:val="000000" w:themeColor="text1"/>
                <w:sz w:val="21"/>
                <w14:textFill>
                  <w14:solidFill>
                    <w14:schemeClr w14:val="tx1"/>
                  </w14:solidFill>
                </w14:textFill>
              </w:rPr>
              <w:t>）</w:t>
            </w:r>
          </w:p>
        </w:tc>
        <w:tc>
          <w:tcPr>
            <w:tcW w:w="997"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287" w:right="245"/>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所占比例顺序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4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19"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w:t>
            </w:r>
          </w:p>
        </w:tc>
        <w:tc>
          <w:tcPr>
            <w:tcW w:w="118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358" w:right="329"/>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阀门、管线泄漏</w:t>
            </w:r>
          </w:p>
        </w:tc>
        <w:tc>
          <w:tcPr>
            <w:tcW w:w="1165"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231" w:right="201"/>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34</w:t>
            </w:r>
          </w:p>
        </w:tc>
        <w:tc>
          <w:tcPr>
            <w:tcW w:w="1198"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385" w:right="353"/>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35.1</w:t>
            </w:r>
          </w:p>
        </w:tc>
        <w:tc>
          <w:tcPr>
            <w:tcW w:w="997"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42"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4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19"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w:t>
            </w:r>
          </w:p>
        </w:tc>
        <w:tc>
          <w:tcPr>
            <w:tcW w:w="118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358" w:right="329"/>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泵、设备故障</w:t>
            </w:r>
          </w:p>
        </w:tc>
        <w:tc>
          <w:tcPr>
            <w:tcW w:w="1165"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231" w:right="201"/>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18</w:t>
            </w:r>
          </w:p>
        </w:tc>
        <w:tc>
          <w:tcPr>
            <w:tcW w:w="1198"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385" w:right="353"/>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18.2</w:t>
            </w:r>
          </w:p>
        </w:tc>
        <w:tc>
          <w:tcPr>
            <w:tcW w:w="997"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42"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4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19"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w:t>
            </w:r>
          </w:p>
        </w:tc>
        <w:tc>
          <w:tcPr>
            <w:tcW w:w="118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358" w:right="327"/>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操作失误</w:t>
            </w:r>
          </w:p>
        </w:tc>
        <w:tc>
          <w:tcPr>
            <w:tcW w:w="1165"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231" w:right="201"/>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15</w:t>
            </w:r>
          </w:p>
        </w:tc>
        <w:tc>
          <w:tcPr>
            <w:tcW w:w="1198"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385" w:right="353"/>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15.6</w:t>
            </w:r>
          </w:p>
        </w:tc>
        <w:tc>
          <w:tcPr>
            <w:tcW w:w="997"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42"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4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19"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w:t>
            </w:r>
          </w:p>
        </w:tc>
        <w:tc>
          <w:tcPr>
            <w:tcW w:w="118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358" w:right="329"/>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仪表、电气失控</w:t>
            </w:r>
          </w:p>
        </w:tc>
        <w:tc>
          <w:tcPr>
            <w:tcW w:w="1165"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231" w:right="201"/>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12</w:t>
            </w:r>
          </w:p>
        </w:tc>
        <w:tc>
          <w:tcPr>
            <w:tcW w:w="1198"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385" w:right="353"/>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12.4</w:t>
            </w:r>
          </w:p>
        </w:tc>
        <w:tc>
          <w:tcPr>
            <w:tcW w:w="997"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42"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4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19"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w:t>
            </w:r>
          </w:p>
        </w:tc>
        <w:tc>
          <w:tcPr>
            <w:tcW w:w="118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11" w:beforeAutospacing="0" w:after="0" w:afterAutospacing="0" w:line="240" w:lineRule="auto"/>
              <w:ind w:left="358" w:right="329"/>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突沸、反应失控</w:t>
            </w:r>
          </w:p>
        </w:tc>
        <w:tc>
          <w:tcPr>
            <w:tcW w:w="1165"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231" w:right="201"/>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w:t>
            </w:r>
          </w:p>
        </w:tc>
        <w:tc>
          <w:tcPr>
            <w:tcW w:w="1198"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385" w:right="353"/>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10.4</w:t>
            </w:r>
          </w:p>
        </w:tc>
        <w:tc>
          <w:tcPr>
            <w:tcW w:w="997"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5" w:beforeAutospacing="0" w:after="0" w:afterAutospacing="0" w:line="240" w:lineRule="auto"/>
              <w:ind w:left="42"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3" w:beforeAutospacing="0" w:after="0" w:afterAutospacing="0" w:line="240" w:lineRule="auto"/>
              <w:ind w:left="19"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w:t>
            </w:r>
          </w:p>
        </w:tc>
        <w:tc>
          <w:tcPr>
            <w:tcW w:w="1189"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09" w:beforeAutospacing="0" w:after="0" w:afterAutospacing="0" w:line="240" w:lineRule="auto"/>
              <w:ind w:left="358" w:right="329"/>
              <w:textAlignment w:val="auto"/>
              <w:rPr>
                <w:color w:val="000000" w:themeColor="text1"/>
                <w:sz w:val="21"/>
                <w14:textFill>
                  <w14:solidFill>
                    <w14:schemeClr w14:val="tx1"/>
                  </w14:solidFill>
                </w14:textFill>
              </w:rPr>
            </w:pPr>
            <w:r>
              <w:rPr>
                <w:color w:val="000000" w:themeColor="text1"/>
                <w:sz w:val="21"/>
                <w14:textFill>
                  <w14:solidFill>
                    <w14:schemeClr w14:val="tx1"/>
                  </w14:solidFill>
                </w14:textFill>
              </w:rPr>
              <w:t>雷击自然灾害</w:t>
            </w:r>
          </w:p>
        </w:tc>
        <w:tc>
          <w:tcPr>
            <w:tcW w:w="1165"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3" w:beforeAutospacing="0" w:after="0" w:afterAutospacing="0" w:line="240" w:lineRule="auto"/>
              <w:ind w:left="30"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w:t>
            </w:r>
          </w:p>
        </w:tc>
        <w:tc>
          <w:tcPr>
            <w:tcW w:w="1198"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3" w:beforeAutospacing="0" w:after="0" w:afterAutospacing="0" w:line="240" w:lineRule="auto"/>
              <w:ind w:left="385" w:right="353"/>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8.2</w:t>
            </w:r>
          </w:p>
        </w:tc>
        <w:tc>
          <w:tcPr>
            <w:tcW w:w="997" w:type="pct"/>
            <w:noWrap w:val="0"/>
            <w:vAlign w:val="top"/>
          </w:tcPr>
          <w:p>
            <w:pPr>
              <w:pStyle w:val="112"/>
              <w:keepNext w:val="0"/>
              <w:keepLines w:val="0"/>
              <w:pageBreakBefore w:val="0"/>
              <w:widowControl w:val="0"/>
              <w:suppressLineNumbers w:val="0"/>
              <w:kinsoku/>
              <w:wordWrap/>
              <w:overflowPunct/>
              <w:topLinePunct w:val="0"/>
              <w:autoSpaceDE w:val="0"/>
              <w:autoSpaceDN w:val="0"/>
              <w:bidi w:val="0"/>
              <w:adjustRightInd/>
              <w:snapToGrid/>
              <w:spacing w:before="123" w:beforeAutospacing="0" w:after="0" w:afterAutospacing="0" w:line="240" w:lineRule="auto"/>
              <w:ind w:left="42" w:right="0"/>
              <w:textAlignment w:val="auto"/>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6</w:t>
            </w:r>
          </w:p>
        </w:tc>
      </w:tr>
    </w:tbl>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从事故频率分布来看，由于阀门、管线泄漏造成的特大火灾爆炸事故所占比例很大， 占35.1%；而泵、设备故障及仪表、电气失控列第二，占30.6%；对于完全可以避免的人为事故亦达到15.6%；而装置内物料突沸和反应失控占10.4%；不可忽视的雷击也占到8.2%；因此，防雪、避雷应予以重视。此外，在100起特大火灾爆炸事故中，报警及消防不力也是事态扩大的一个重要因素，有12起是因消防水泵无法启动而造成灾难性后果。值得注意的是烃类、蒸汽等飘逸扩散的蒸气云团以及烃类、蒸气积聚弥漫在建筑物内产生的爆炸不仅所占事故比例高达至43%，而且这种爆炸是最具毁灭性的，其爆炸产生的冲击波、热辐射以及飞散抛掷物等还会造成二次事故。</w:t>
      </w:r>
    </w:p>
    <w:p>
      <w:pPr>
        <w:pStyle w:val="4"/>
        <w:bidi w:val="0"/>
        <w:rPr>
          <w:rFonts w:hint="eastAsia"/>
          <w:color w:val="000000" w:themeColor="text1"/>
          <w:lang w:val="en-US" w:eastAsia="zh-CN"/>
          <w14:textFill>
            <w14:solidFill>
              <w14:schemeClr w14:val="tx1"/>
            </w14:solidFill>
          </w14:textFill>
        </w:rPr>
      </w:pPr>
      <w:bookmarkStart w:id="510" w:name="_Toc12364"/>
      <w:r>
        <w:rPr>
          <w:rFonts w:hint="eastAsia"/>
          <w:color w:val="000000" w:themeColor="text1"/>
          <w:lang w:val="en-US" w:eastAsia="zh-CN"/>
          <w14:textFill>
            <w14:solidFill>
              <w14:schemeClr w14:val="tx1"/>
            </w14:solidFill>
          </w14:textFill>
        </w:rPr>
        <w:t>风险事故情形分析</w:t>
      </w:r>
      <w:bookmarkEnd w:id="5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最大可信事故是基于经验统计分析，在一定可能性区间内发生的事故中，造成环境危害最严重的事故。根据本项目危险物质识别结果，同时结合本工程所在区域环境敏感特点的特征及分布，设定本项目环境风险事故情形，详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u w:val="single" w:color="auto"/>
          <w:lang w:val="en-US" w:eastAsia="zh-CN"/>
          <w14:textFill>
            <w14:solidFill>
              <w14:schemeClr w14:val="tx1"/>
            </w14:solidFill>
          </w14:textFill>
        </w:rPr>
      </w:pPr>
      <w:r>
        <w:rPr>
          <w:color w:val="000000" w:themeColor="text1"/>
          <w:u w:val="single" w:color="auto"/>
          <w14:textFill>
            <w14:solidFill>
              <w14:schemeClr w14:val="tx1"/>
            </w14:solidFill>
          </w14:textFill>
        </w:rPr>
        <w:t xml:space="preserve">表 </w:t>
      </w:r>
      <w:r>
        <w:rPr>
          <w:color w:val="000000" w:themeColor="text1"/>
          <w:u w:val="single" w:color="auto"/>
          <w14:textFill>
            <w14:solidFill>
              <w14:schemeClr w14:val="tx1"/>
            </w14:solidFill>
          </w14:textFill>
        </w:rPr>
        <w:fldChar w:fldCharType="begin"/>
      </w:r>
      <w:r>
        <w:rPr>
          <w:color w:val="000000" w:themeColor="text1"/>
          <w:u w:val="single" w:color="auto"/>
          <w14:textFill>
            <w14:solidFill>
              <w14:schemeClr w14:val="tx1"/>
            </w14:solidFill>
          </w14:textFill>
        </w:rPr>
        <w:instrText xml:space="preserve"> STYLEREF 2 \s </w:instrText>
      </w:r>
      <w:r>
        <w:rPr>
          <w:color w:val="000000" w:themeColor="text1"/>
          <w:u w:val="single" w:color="auto"/>
          <w14:textFill>
            <w14:solidFill>
              <w14:schemeClr w14:val="tx1"/>
            </w14:solidFill>
          </w14:textFill>
        </w:rPr>
        <w:fldChar w:fldCharType="separate"/>
      </w:r>
      <w:r>
        <w:rPr>
          <w:color w:val="000000" w:themeColor="text1"/>
          <w:u w:val="single" w:color="auto"/>
          <w14:textFill>
            <w14:solidFill>
              <w14:schemeClr w14:val="tx1"/>
            </w14:solidFill>
          </w14:textFill>
        </w:rPr>
        <w:t>9</w:t>
      </w:r>
      <w:r>
        <w:rPr>
          <w:rFonts w:hint="eastAsia"/>
          <w:color w:val="000000" w:themeColor="text1"/>
          <w:u w:val="single" w:color="auto"/>
          <w:lang w:val="en-US" w:eastAsia="zh-CN"/>
          <w14:textFill>
            <w14:solidFill>
              <w14:schemeClr w14:val="tx1"/>
            </w14:solidFill>
          </w14:textFill>
        </w:rPr>
        <w:t>.</w:t>
      </w:r>
      <w:r>
        <w:rPr>
          <w:color w:val="000000" w:themeColor="text1"/>
          <w:u w:val="single" w:color="auto"/>
          <w14:textFill>
            <w14:solidFill>
              <w14:schemeClr w14:val="tx1"/>
            </w14:solidFill>
          </w14:textFill>
        </w:rPr>
        <w:t>4</w:t>
      </w:r>
      <w:r>
        <w:rPr>
          <w:color w:val="000000" w:themeColor="text1"/>
          <w:u w:val="single" w:color="auto"/>
          <w14:textFill>
            <w14:solidFill>
              <w14:schemeClr w14:val="tx1"/>
            </w14:solidFill>
          </w14:textFill>
        </w:rPr>
        <w:fldChar w:fldCharType="end"/>
      </w:r>
      <w:r>
        <w:rPr>
          <w:rFonts w:hint="eastAsia"/>
          <w:color w:val="000000" w:themeColor="text1"/>
          <w:u w:val="single" w:color="auto"/>
          <w:lang w:eastAsia="zh-CN"/>
          <w14:textFill>
            <w14:solidFill>
              <w14:schemeClr w14:val="tx1"/>
            </w14:solidFill>
          </w14:textFill>
        </w:rPr>
        <w:t>-</w:t>
      </w:r>
      <w:r>
        <w:rPr>
          <w:color w:val="000000" w:themeColor="text1"/>
          <w:u w:val="single" w:color="auto"/>
          <w14:textFill>
            <w14:solidFill>
              <w14:schemeClr w14:val="tx1"/>
            </w14:solidFill>
          </w14:textFill>
        </w:rPr>
        <w:fldChar w:fldCharType="begin"/>
      </w:r>
      <w:r>
        <w:rPr>
          <w:color w:val="000000" w:themeColor="text1"/>
          <w:u w:val="single" w:color="auto"/>
          <w14:textFill>
            <w14:solidFill>
              <w14:schemeClr w14:val="tx1"/>
            </w14:solidFill>
          </w14:textFill>
        </w:rPr>
        <w:instrText xml:space="preserve"> SEQ 表 \* ARABIC \s 2 </w:instrText>
      </w:r>
      <w:r>
        <w:rPr>
          <w:color w:val="000000" w:themeColor="text1"/>
          <w:u w:val="single" w:color="auto"/>
          <w14:textFill>
            <w14:solidFill>
              <w14:schemeClr w14:val="tx1"/>
            </w14:solidFill>
          </w14:textFill>
        </w:rPr>
        <w:fldChar w:fldCharType="separate"/>
      </w:r>
      <w:r>
        <w:rPr>
          <w:color w:val="000000" w:themeColor="text1"/>
          <w:u w:val="single" w:color="auto"/>
          <w14:textFill>
            <w14:solidFill>
              <w14:schemeClr w14:val="tx1"/>
            </w14:solidFill>
          </w14:textFill>
        </w:rPr>
        <w:t>1</w:t>
      </w:r>
      <w:r>
        <w:rPr>
          <w:color w:val="000000" w:themeColor="text1"/>
          <w:u w:val="single" w:color="auto"/>
          <w14:textFill>
            <w14:solidFill>
              <w14:schemeClr w14:val="tx1"/>
            </w14:solidFill>
          </w14:textFill>
        </w:rPr>
        <w:fldChar w:fldCharType="end"/>
      </w:r>
      <w:r>
        <w:rPr>
          <w:rFonts w:hint="eastAsia"/>
          <w:color w:val="000000" w:themeColor="text1"/>
          <w:u w:val="single" w:color="auto"/>
          <w:lang w:val="en-US" w:eastAsia="zh-CN"/>
          <w14:textFill>
            <w14:solidFill>
              <w14:schemeClr w14:val="tx1"/>
            </w14:solidFill>
          </w14:textFill>
        </w:rPr>
        <w:t xml:space="preserve">  </w:t>
      </w:r>
      <w:r>
        <w:rPr>
          <w:rFonts w:hint="default" w:ascii="Times New Roman" w:hAnsi="Times New Roman" w:cs="Times New Roman"/>
          <w:b/>
          <w:bCs w:val="0"/>
          <w:color w:val="000000" w:themeColor="text1"/>
          <w:u w:val="single" w:color="auto"/>
          <w14:textFill>
            <w14:solidFill>
              <w14:schemeClr w14:val="tx1"/>
            </w14:solidFill>
          </w14:textFill>
        </w:rPr>
        <w:t>项目环境风险</w:t>
      </w:r>
      <w:r>
        <w:rPr>
          <w:rFonts w:hint="eastAsia" w:cs="Times New Roman"/>
          <w:b/>
          <w:bCs w:val="0"/>
          <w:color w:val="000000" w:themeColor="text1"/>
          <w:u w:val="single" w:color="auto"/>
          <w:lang w:eastAsia="zh-CN"/>
          <w14:textFill>
            <w14:solidFill>
              <w14:schemeClr w14:val="tx1"/>
            </w14:solidFill>
          </w14:textFill>
        </w:rPr>
        <w:t>事故情景设定</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87"/>
        <w:gridCol w:w="611"/>
        <w:gridCol w:w="912"/>
        <w:gridCol w:w="1697"/>
        <w:gridCol w:w="625"/>
        <w:gridCol w:w="3591"/>
        <w:gridCol w:w="95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78"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序号</w:t>
            </w:r>
          </w:p>
        </w:tc>
        <w:tc>
          <w:tcPr>
            <w:tcW w:w="336"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危险单元</w:t>
            </w:r>
          </w:p>
        </w:tc>
        <w:tc>
          <w:tcPr>
            <w:tcW w:w="502"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风险源</w:t>
            </w:r>
          </w:p>
        </w:tc>
        <w:tc>
          <w:tcPr>
            <w:tcW w:w="93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主要危险物质</w:t>
            </w:r>
          </w:p>
        </w:tc>
        <w:tc>
          <w:tcPr>
            <w:tcW w:w="34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环境风险类型</w:t>
            </w:r>
          </w:p>
        </w:tc>
        <w:tc>
          <w:tcPr>
            <w:tcW w:w="1976"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环境影响途径</w:t>
            </w:r>
          </w:p>
        </w:tc>
        <w:tc>
          <w:tcPr>
            <w:tcW w:w="527"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可能受影响</w:t>
            </w:r>
          </w:p>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的环境敏感目标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78" w:type="pct"/>
            <w:vMerge w:val="restar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t>1</w:t>
            </w:r>
          </w:p>
        </w:tc>
        <w:tc>
          <w:tcPr>
            <w:tcW w:w="336" w:type="pct"/>
            <w:vMerge w:val="restar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t>生产装置区</w:t>
            </w:r>
          </w:p>
        </w:tc>
        <w:tc>
          <w:tcPr>
            <w:tcW w:w="502" w:type="pct"/>
            <w:vMerge w:val="restar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t>液体原料输送管线</w:t>
            </w:r>
          </w:p>
        </w:tc>
        <w:tc>
          <w:tcPr>
            <w:tcW w:w="934" w:type="pct"/>
            <w:vMerge w:val="restar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color="auto"/>
                <w14:textFill>
                  <w14:solidFill>
                    <w14:schemeClr w14:val="tx1"/>
                  </w14:solidFill>
                </w14:textFill>
              </w:rPr>
              <w:t>氢气、石脑油、</w:t>
            </w:r>
            <w: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t>直馏柴油</w:t>
            </w:r>
            <w:r>
              <w:rPr>
                <w:rFonts w:hint="default" w:ascii="Times New Roman" w:hAnsi="Times New Roman" w:eastAsia="宋体" w:cs="Times New Roman"/>
                <w:color w:val="000000" w:themeColor="text1"/>
                <w:sz w:val="21"/>
                <w:szCs w:val="21"/>
                <w:u w:val="single" w:color="auto"/>
                <w14:textFill>
                  <w14:solidFill>
                    <w14:schemeClr w14:val="tx1"/>
                  </w14:solidFill>
                </w14:textFill>
              </w:rPr>
              <w:t>、</w:t>
            </w:r>
            <w:r>
              <w:rPr>
                <w:rFonts w:hint="default" w:ascii="Times New Roman" w:hAnsi="Times New Roman" w:eastAsia="宋体" w:cs="Times New Roman"/>
                <w:color w:val="000000" w:themeColor="text1"/>
                <w:sz w:val="21"/>
                <w:szCs w:val="21"/>
                <w:u w:val="single" w:color="auto"/>
                <w:lang w:val="en-US" w:eastAsia="zh-CN"/>
                <w14:textFill>
                  <w14:solidFill>
                    <w14:schemeClr w14:val="tx1"/>
                  </w14:solidFill>
                </w14:textFill>
              </w:rPr>
              <w:t>溶剂油、航煤组分油、</w:t>
            </w:r>
            <w:r>
              <w:rPr>
                <w:rFonts w:hint="default" w:ascii="Times New Roman" w:hAnsi="Times New Roman" w:eastAsia="宋体" w:cs="Times New Roman"/>
                <w:color w:val="000000" w:themeColor="text1"/>
                <w:sz w:val="21"/>
                <w:szCs w:val="21"/>
                <w:u w:val="single" w:color="auto"/>
                <w14:textFill>
                  <w14:solidFill>
                    <w14:schemeClr w14:val="tx1"/>
                  </w14:solidFill>
                </w14:textFill>
              </w:rPr>
              <w:t xml:space="preserve">粗白油、含硫干气 </w:t>
            </w:r>
          </w:p>
        </w:tc>
        <w:tc>
          <w:tcPr>
            <w:tcW w:w="34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火灾爆炸</w:t>
            </w:r>
          </w:p>
        </w:tc>
        <w:tc>
          <w:tcPr>
            <w:tcW w:w="1976" w:type="pct"/>
            <w:tcBorders>
              <w:top w:val="single" w:color="auto" w:sz="4" w:space="0"/>
            </w:tcBorders>
            <w:noWrap w:val="0"/>
            <w:tcMar>
              <w:left w:w="28" w:type="dxa"/>
              <w:right w:w="28" w:type="dxa"/>
            </w:tcMar>
            <w:vAlign w:val="center"/>
          </w:tcPr>
          <w:p>
            <w:pPr>
              <w:keepNext w:val="0"/>
              <w:keepLines w:val="0"/>
              <w:widowControl/>
              <w:suppressLineNumbers w:val="0"/>
              <w:kinsoku w:val="0"/>
              <w:overflowPunct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火灾、爆炸危险物质未完全燃烧在高温下迅速挥发释放至大气</w:t>
            </w:r>
          </w:p>
        </w:tc>
        <w:tc>
          <w:tcPr>
            <w:tcW w:w="527" w:type="pct"/>
            <w:vMerge w:val="restart"/>
            <w:tcBorders>
              <w:top w:val="single" w:color="auto" w:sz="4" w:space="0"/>
            </w:tcBorders>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w w:val="90"/>
                <w:kern w:val="0"/>
                <w:sz w:val="21"/>
                <w:szCs w:val="21"/>
                <w:u w:val="singl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周边居民区等环境敏感点、区域地下水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78" w:type="pct"/>
            <w:vMerge w:val="continue"/>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pPr>
          </w:p>
        </w:tc>
        <w:tc>
          <w:tcPr>
            <w:tcW w:w="336" w:type="pct"/>
            <w:vMerge w:val="continue"/>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pPr>
          </w:p>
        </w:tc>
        <w:tc>
          <w:tcPr>
            <w:tcW w:w="502" w:type="pct"/>
            <w:vMerge w:val="continue"/>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pPr>
          </w:p>
        </w:tc>
        <w:tc>
          <w:tcPr>
            <w:tcW w:w="934" w:type="pct"/>
            <w:vMerge w:val="continue"/>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pPr>
          </w:p>
        </w:tc>
        <w:tc>
          <w:tcPr>
            <w:tcW w:w="34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t>泄漏</w:t>
            </w:r>
          </w:p>
        </w:tc>
        <w:tc>
          <w:tcPr>
            <w:tcW w:w="1976" w:type="pct"/>
            <w:noWrap w:val="0"/>
            <w:tcMar>
              <w:left w:w="28" w:type="dxa"/>
              <w:right w:w="28" w:type="dxa"/>
            </w:tcMar>
            <w:vAlign w:val="center"/>
          </w:tcPr>
          <w:p>
            <w:pPr>
              <w:keepNext w:val="0"/>
              <w:keepLines w:val="0"/>
              <w:widowControl/>
              <w:suppressLineNumbers w:val="0"/>
              <w:kinsoku w:val="0"/>
              <w:overflowPunct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14:textFill>
                  <w14:solidFill>
                    <w14:schemeClr w14:val="tx1"/>
                  </w14:solidFill>
                </w14:textFill>
              </w:rPr>
              <w:t>火灾、爆炸产生的二次污染物CO等对大气环境产生不利影响</w:t>
            </w:r>
          </w:p>
        </w:tc>
        <w:tc>
          <w:tcPr>
            <w:tcW w:w="527" w:type="pct"/>
            <w:vMerge w:val="continue"/>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w w:val="90"/>
                <w:kern w:val="0"/>
                <w:sz w:val="21"/>
                <w:szCs w:val="21"/>
                <w:u w:val="single" w:color="auto"/>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78"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lang w:val="en-US" w:eastAsia="zh-CN"/>
                <w14:textFill>
                  <w14:solidFill>
                    <w14:schemeClr w14:val="tx1"/>
                  </w14:solidFill>
                </w14:textFill>
              </w:rPr>
              <w:t>2</w:t>
            </w:r>
          </w:p>
        </w:tc>
        <w:tc>
          <w:tcPr>
            <w:tcW w:w="336"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t>雨水排口</w:t>
            </w:r>
          </w:p>
        </w:tc>
        <w:tc>
          <w:tcPr>
            <w:tcW w:w="502" w:type="pct"/>
            <w:noWrap w:val="0"/>
            <w:tcMar>
              <w:left w:w="28" w:type="dxa"/>
              <w:right w:w="28" w:type="dxa"/>
            </w:tcMar>
            <w:vAlign w:val="center"/>
          </w:tcPr>
          <w:p>
            <w:pPr>
              <w:pStyle w:val="121"/>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事故消防废水</w:t>
            </w:r>
          </w:p>
        </w:tc>
        <w:tc>
          <w:tcPr>
            <w:tcW w:w="934" w:type="pct"/>
            <w:noWrap w:val="0"/>
            <w:tcMar>
              <w:left w:w="28" w:type="dxa"/>
              <w:right w:w="28" w:type="dxa"/>
            </w:tcMar>
            <w:vAlign w:val="center"/>
          </w:tcPr>
          <w:p>
            <w:pPr>
              <w:pStyle w:val="121"/>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 xml:space="preserve">氢气、石脑油、柴油、粗白油、含硫干气 </w:t>
            </w:r>
          </w:p>
        </w:tc>
        <w:tc>
          <w:tcPr>
            <w:tcW w:w="344" w:type="pct"/>
            <w:noWrap w:val="0"/>
            <w:tcMar>
              <w:left w:w="28" w:type="dxa"/>
              <w:right w:w="28" w:type="dxa"/>
            </w:tcMar>
            <w:vAlign w:val="center"/>
          </w:tcPr>
          <w:p>
            <w:pPr>
              <w:pStyle w:val="121"/>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火灾、爆炸</w:t>
            </w:r>
          </w:p>
        </w:tc>
        <w:tc>
          <w:tcPr>
            <w:tcW w:w="1976" w:type="pct"/>
            <w:noWrap w:val="0"/>
            <w:tcMar>
              <w:left w:w="28" w:type="dxa"/>
              <w:right w:w="28" w:type="dxa"/>
            </w:tcMar>
            <w:vAlign w:val="center"/>
          </w:tcPr>
          <w:p>
            <w:pPr>
              <w:pStyle w:val="121"/>
              <w:keepNext w:val="0"/>
              <w:keepLines w:val="0"/>
              <w:suppressLineNumbers w:val="0"/>
              <w:spacing w:before="0" w:beforeAutospacing="0" w:after="0" w:afterAutospacing="0" w:line="240" w:lineRule="auto"/>
              <w:ind w:left="0" w:right="0"/>
              <w:rPr>
                <w:rFonts w:hint="default" w:ascii="Times New Roman" w:hAnsi="Times New Roman" w:eastAsia="宋体" w:cs="Times New Roman"/>
                <w:bCs/>
                <w:color w:val="000000" w:themeColor="text1"/>
                <w:kern w:val="2"/>
                <w:sz w:val="21"/>
                <w:szCs w:val="21"/>
                <w:u w:val="singl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u w:val="single" w:color="auto"/>
                <w14:textFill>
                  <w14:solidFill>
                    <w14:schemeClr w14:val="tx1"/>
                  </w14:solidFill>
                </w14:textFill>
              </w:rPr>
              <w:t>事故状态下，雨污切换阀失效，火灾、爆炸产生的事故消防废水经雨水排放口最终排至长江</w:t>
            </w:r>
          </w:p>
        </w:tc>
        <w:tc>
          <w:tcPr>
            <w:tcW w:w="527"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w w:val="90"/>
                <w:kern w:val="0"/>
                <w:sz w:val="21"/>
                <w:szCs w:val="21"/>
                <w:u w:val="single" w:color="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single" w:color="auto"/>
                <w:lang w:eastAsia="zh-CN"/>
                <w14:textFill>
                  <w14:solidFill>
                    <w14:schemeClr w14:val="tx1"/>
                  </w14:solidFill>
                </w14:textFill>
              </w:rPr>
              <w:t>长江及水生生物</w:t>
            </w:r>
          </w:p>
        </w:tc>
      </w:tr>
    </w:tbl>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风险发生原因及概率分析</w:t>
      </w:r>
    </w:p>
    <w:p>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4"/>
          <w:lang w:bidi="ar"/>
          <w14:textFill>
            <w14:solidFill>
              <w14:schemeClr w14:val="tx1"/>
            </w14:solidFill>
          </w14:textFill>
        </w:rPr>
        <w:t>一般来说，环境风险主要有物料贮运和生产过程的泄漏、易燃易爆危化品的爆炸或火灾，主要原因有：（1）生产设备压力过高，泄压不及时引起爆炸或火灾，（2）贮罐、生产设备、管道及阀门被腐蚀，老化、年久失修等引起泄漏</w:t>
      </w:r>
      <w:r>
        <w:rPr>
          <w:rFonts w:hint="eastAsia" w:cs="Times New Roman"/>
          <w:color w:val="000000" w:themeColor="text1"/>
          <w:kern w:val="0"/>
          <w:szCs w:val="24"/>
          <w:lang w:eastAsia="zh-CN" w:bidi="ar"/>
          <w14:textFill>
            <w14:solidFill>
              <w14:schemeClr w14:val="tx1"/>
            </w14:solidFill>
          </w14:textFill>
        </w:rPr>
        <w:t>。</w:t>
      </w:r>
      <w:r>
        <w:rPr>
          <w:rFonts w:hint="default" w:ascii="Times New Roman" w:hAnsi="Times New Roman" w:cs="Times New Roman"/>
          <w:color w:val="000000" w:themeColor="text1"/>
          <w:kern w:val="0"/>
          <w:szCs w:val="24"/>
          <w:lang w:bidi="ar"/>
          <w14:textFill>
            <w14:solidFill>
              <w14:schemeClr w14:val="tx1"/>
            </w14:solidFill>
          </w14:textFill>
        </w:rPr>
        <w:t>（3）生产岗位操作不当造成物料泄漏或爆炸，或者发生泄漏事故应急处理不当也会引起爆炸，等等。据不完全统计见下表所示，化工装置事故以贮罐、设备、管道、阀门破损泄漏出现的几率最大。</w:t>
      </w:r>
    </w:p>
    <w:p>
      <w:pPr>
        <w:pStyle w:val="14"/>
        <w:spacing w:line="24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一般事故原因统计</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4725"/>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12" w:space="0"/>
              <w:lef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序号</w:t>
            </w:r>
          </w:p>
        </w:tc>
        <w:tc>
          <w:tcPr>
            <w:tcW w:w="2556" w:type="pct"/>
            <w:tcBorders>
              <w:top w:val="single" w:color="auto" w:sz="12" w:space="0"/>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事故原因</w:t>
            </w:r>
          </w:p>
        </w:tc>
        <w:tc>
          <w:tcPr>
            <w:tcW w:w="1638" w:type="pct"/>
            <w:tcBorders>
              <w:top w:val="single" w:color="auto" w:sz="12" w:space="0"/>
              <w:righ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出现几率%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lef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w:t>
            </w:r>
          </w:p>
        </w:tc>
        <w:tc>
          <w:tcPr>
            <w:tcW w:w="255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s="Calibri"/>
                <w:bCs/>
                <w:color w:val="000000" w:themeColor="text1"/>
                <w:sz w:val="21"/>
                <w:szCs w:val="21"/>
                <w14:textFill>
                  <w14:solidFill>
                    <w14:schemeClr w14:val="tx1"/>
                  </w14:solidFill>
                </w14:textFill>
              </w:rPr>
            </w:pPr>
            <w:r>
              <w:rPr>
                <w:rFonts w:hint="eastAsia" w:ascii="宋体" w:hAnsi="宋体" w:eastAsia="宋体" w:cs="宋体"/>
                <w:bCs/>
                <w:color w:val="000000" w:themeColor="text1"/>
                <w:kern w:val="0"/>
                <w:sz w:val="21"/>
                <w:szCs w:val="21"/>
                <w:lang w:bidi="ar"/>
                <w14:textFill>
                  <w14:solidFill>
                    <w14:schemeClr w14:val="tx1"/>
                  </w14:solidFill>
                </w14:textFill>
              </w:rPr>
              <w:t>贮罐、管道和设备破损</w:t>
            </w:r>
          </w:p>
        </w:tc>
        <w:tc>
          <w:tcPr>
            <w:tcW w:w="1638" w:type="pct"/>
            <w:tcBorders>
              <w:righ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lef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2</w:t>
            </w:r>
          </w:p>
        </w:tc>
        <w:tc>
          <w:tcPr>
            <w:tcW w:w="2556" w:type="pct"/>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操作不当</w:t>
            </w:r>
          </w:p>
        </w:tc>
        <w:tc>
          <w:tcPr>
            <w:tcW w:w="1638" w:type="pct"/>
            <w:tcBorders>
              <w:righ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lef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3</w:t>
            </w:r>
          </w:p>
        </w:tc>
        <w:tc>
          <w:tcPr>
            <w:tcW w:w="2556" w:type="pct"/>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违反检修规程</w:t>
            </w:r>
          </w:p>
        </w:tc>
        <w:tc>
          <w:tcPr>
            <w:tcW w:w="1638" w:type="pct"/>
            <w:tcBorders>
              <w:righ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lef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4</w:t>
            </w:r>
          </w:p>
        </w:tc>
        <w:tc>
          <w:tcPr>
            <w:tcW w:w="2556" w:type="pct"/>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处理系统故障</w:t>
            </w:r>
          </w:p>
        </w:tc>
        <w:tc>
          <w:tcPr>
            <w:tcW w:w="1638" w:type="pct"/>
            <w:tcBorders>
              <w:righ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left w:val="nil"/>
              <w:bottom w:val="single" w:color="auto" w:sz="12" w:space="0"/>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5</w:t>
            </w:r>
          </w:p>
        </w:tc>
        <w:tc>
          <w:tcPr>
            <w:tcW w:w="2556" w:type="pct"/>
            <w:tcBorders>
              <w:bottom w:val="single" w:color="auto" w:sz="12" w:space="0"/>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其他</w:t>
            </w:r>
          </w:p>
        </w:tc>
        <w:tc>
          <w:tcPr>
            <w:tcW w:w="1638" w:type="pct"/>
            <w:tcBorders>
              <w:bottom w:val="single" w:color="auto" w:sz="12" w:space="0"/>
              <w:right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b w:val="0"/>
                <w:bCs/>
                <w:color w:val="000000" w:themeColor="text1"/>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12</w:t>
            </w:r>
          </w:p>
        </w:tc>
      </w:tr>
    </w:tbl>
    <w:p>
      <w:pPr>
        <w:rPr>
          <w:color w:val="000000" w:themeColor="text1"/>
          <w14:textFill>
            <w14:solidFill>
              <w14:schemeClr w14:val="tx1"/>
            </w14:solidFill>
          </w14:textFill>
        </w:rPr>
      </w:pPr>
    </w:p>
    <w:p>
      <w:pPr>
        <w:pStyle w:val="5"/>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源强分析</w:t>
      </w:r>
    </w:p>
    <w:p>
      <w:pPr>
        <w:pStyle w:val="6"/>
        <w:bidi w:val="0"/>
        <w:rPr>
          <w:rFonts w:hint="eastAsia"/>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t>事故概率确定</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 xml:space="preserve">在不考虑自然灾害如大地震、洪水、台风等引起的事故风险情况下，鉴于项目的工程特点，确定潜在风险类型为物质泄漏风险，事故可能发生在生产装置、贮运系统等不同地点。 </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可能发生风险事故的原因主要有：①管线破裂；②阀门损坏；③设备老化、腐蚀严重；④违规操作导致泄漏。其中，①、②、③项通过采购质量良好的设备，并且定期检修和更换等措施，可使其发生的可能性降至最小；④项需要在生产中严格按照操</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 xml:space="preserve">作规程进行，与员工技术水平、安全意识有较大关系。 </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本次环境风险评价发生事故主要部位为管道、阀门等破损造成泄漏、爆炸、火灾事故。《建设项目环境风险评价技术导则》（HJ169-2018）附录E给出了泄漏频率的推荐值，具体概率见下表所示。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事故概率确定表</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4418"/>
        <w:gridCol w:w="30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部件类型</w:t>
            </w:r>
          </w:p>
        </w:tc>
        <w:tc>
          <w:tcPr>
            <w:tcW w:w="4418"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泄漏模式</w:t>
            </w:r>
          </w:p>
        </w:tc>
        <w:tc>
          <w:tcPr>
            <w:tcW w:w="3081"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泄漏频率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反应器/工艺储罐/气体储罐/塔器</w:t>
            </w:r>
          </w:p>
        </w:tc>
        <w:tc>
          <w:tcPr>
            <w:tcW w:w="4418"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泄漏孔径为10mm孔径</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10min 内储罐泄漏完</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储罐全破裂</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1.00×10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-4</w:t>
            </w:r>
            <w:r>
              <w:rPr>
                <w:rFonts w:hint="default" w:ascii="Times New Roman" w:hAnsi="Times New Roman" w:cs="Times New Roman"/>
                <w:b w:val="0"/>
                <w:bCs/>
                <w:color w:val="000000" w:themeColor="text1"/>
                <w:sz w:val="21"/>
                <w:szCs w:val="21"/>
                <w14:textFill>
                  <w14:solidFill>
                    <w14:schemeClr w14:val="tx1"/>
                  </w14:solidFill>
                </w14:textFill>
              </w:rPr>
              <w:t>/a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5.00×10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-6</w:t>
            </w:r>
            <w:r>
              <w:rPr>
                <w:rFonts w:hint="default" w:ascii="Times New Roman" w:hAnsi="Times New Roman" w:cs="Times New Roman"/>
                <w:b w:val="0"/>
                <w:bCs/>
                <w:color w:val="000000" w:themeColor="text1"/>
                <w:sz w:val="21"/>
                <w:szCs w:val="21"/>
                <w14:textFill>
                  <w14:solidFill>
                    <w14:schemeClr w14:val="tx1"/>
                  </w14:solidFill>
                </w14:textFill>
              </w:rPr>
              <w:t>/a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5.00×10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-6</w:t>
            </w:r>
            <w:r>
              <w:rPr>
                <w:rFonts w:hint="default" w:ascii="Times New Roman" w:hAnsi="Times New Roman" w:cs="Times New Roman"/>
                <w:b w:val="0"/>
                <w:bCs/>
                <w:color w:val="000000" w:themeColor="text1"/>
                <w:sz w:val="21"/>
                <w:szCs w:val="21"/>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常压单包容储罐</w:t>
            </w:r>
          </w:p>
        </w:tc>
        <w:tc>
          <w:tcPr>
            <w:tcW w:w="4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泄漏孔径为10mm孔径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10min内储罐泄漏完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储罐全破裂</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1.00×10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-4</w:t>
            </w:r>
            <w:r>
              <w:rPr>
                <w:rFonts w:hint="default" w:ascii="Times New Roman" w:hAnsi="Times New Roman" w:cs="Times New Roman"/>
                <w:b w:val="0"/>
                <w:bCs/>
                <w:color w:val="000000" w:themeColor="text1"/>
                <w:sz w:val="21"/>
                <w:szCs w:val="21"/>
                <w14:textFill>
                  <w14:solidFill>
                    <w14:schemeClr w14:val="tx1"/>
                  </w14:solidFill>
                </w14:textFill>
              </w:rPr>
              <w:t>/a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5.00×10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-6</w:t>
            </w:r>
            <w:r>
              <w:rPr>
                <w:rFonts w:hint="default" w:ascii="Times New Roman" w:hAnsi="Times New Roman" w:cs="Times New Roman"/>
                <w:b w:val="0"/>
                <w:bCs/>
                <w:color w:val="000000" w:themeColor="text1"/>
                <w:sz w:val="21"/>
                <w:szCs w:val="21"/>
                <w14:textFill>
                  <w14:solidFill>
                    <w14:schemeClr w14:val="tx1"/>
                  </w14:solidFill>
                </w14:textFill>
              </w:rPr>
              <w:t>/a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5.00×10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-6</w:t>
            </w:r>
            <w:r>
              <w:rPr>
                <w:rFonts w:hint="default" w:ascii="Times New Roman" w:hAnsi="Times New Roman" w:cs="Times New Roman"/>
                <w:b w:val="0"/>
                <w:bCs/>
                <w:color w:val="000000" w:themeColor="text1"/>
                <w:sz w:val="21"/>
                <w:szCs w:val="21"/>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常压双包容储罐</w:t>
            </w:r>
          </w:p>
        </w:tc>
        <w:tc>
          <w:tcPr>
            <w:tcW w:w="4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泄漏孔径为10mm孔径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10min内储罐泄漏完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储罐全破裂</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1.00×10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-4</w:t>
            </w:r>
            <w:r>
              <w:rPr>
                <w:rFonts w:hint="default" w:ascii="Times New Roman" w:hAnsi="Times New Roman" w:cs="Times New Roman"/>
                <w:b w:val="0"/>
                <w:bCs/>
                <w:color w:val="000000" w:themeColor="text1"/>
                <w:sz w:val="21"/>
                <w:szCs w:val="21"/>
                <w14:textFill>
                  <w14:solidFill>
                    <w14:schemeClr w14:val="tx1"/>
                  </w14:solidFill>
                </w14:textFill>
              </w:rPr>
              <w:t>/a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1.25×10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-8</w:t>
            </w:r>
            <w:r>
              <w:rPr>
                <w:rFonts w:hint="default" w:ascii="Times New Roman" w:hAnsi="Times New Roman" w:cs="Times New Roman"/>
                <w:b w:val="0"/>
                <w:bCs/>
                <w:color w:val="000000" w:themeColor="text1"/>
                <w:sz w:val="21"/>
                <w:szCs w:val="21"/>
                <w14:textFill>
                  <w14:solidFill>
                    <w14:schemeClr w14:val="tx1"/>
                  </w14:solidFill>
                </w14:textFill>
              </w:rPr>
              <w:t>/a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1.25×10</w:t>
            </w:r>
            <w:r>
              <w:rPr>
                <w:rFonts w:hint="default" w:ascii="Times New Roman" w:hAnsi="Times New Roman" w:cs="Times New Roman"/>
                <w:b w:val="0"/>
                <w:bCs/>
                <w:color w:val="000000" w:themeColor="text1"/>
                <w:sz w:val="21"/>
                <w:szCs w:val="21"/>
                <w:vertAlign w:val="superscript"/>
                <w14:textFill>
                  <w14:solidFill>
                    <w14:schemeClr w14:val="tx1"/>
                  </w14:solidFill>
                </w14:textFill>
              </w:rPr>
              <w:t>-8</w:t>
            </w:r>
            <w:r>
              <w:rPr>
                <w:rFonts w:hint="default" w:ascii="Times New Roman" w:hAnsi="Times New Roman" w:cs="Times New Roman"/>
                <w:b w:val="0"/>
                <w:bCs/>
                <w:color w:val="000000" w:themeColor="text1"/>
                <w:sz w:val="21"/>
                <w:szCs w:val="21"/>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常压全包容储罐</w:t>
            </w:r>
          </w:p>
        </w:tc>
        <w:tc>
          <w:tcPr>
            <w:tcW w:w="4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储罐全破裂</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-8</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内径≤75mm的管道</w:t>
            </w:r>
          </w:p>
        </w:tc>
        <w:tc>
          <w:tcPr>
            <w:tcW w:w="4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 xml:space="preserve"> 泄漏孔径为10%孔径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全管径泄漏</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75mm＜内径≤150mm 的管道</w:t>
            </w:r>
          </w:p>
        </w:tc>
        <w:tc>
          <w:tcPr>
            <w:tcW w:w="4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泄漏孔径为10%孔径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全管径泄漏</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-7</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内径＞150mm 的管道</w:t>
            </w:r>
          </w:p>
        </w:tc>
        <w:tc>
          <w:tcPr>
            <w:tcW w:w="4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泄漏孔径为10%孔径（最大 50mm）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全管径泄漏</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2.40×10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-7</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pStyle w:val="14"/>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泵体和压缩机</w:t>
            </w:r>
          </w:p>
        </w:tc>
        <w:tc>
          <w:tcPr>
            <w:tcW w:w="4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泵体和压缩机最大连接管泄漏孔径为10%孔径（最大50mm）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10"/>
                <w:kern w:val="2"/>
                <w:sz w:val="21"/>
                <w:szCs w:val="21"/>
                <w:lang w:val="en-US" w:eastAsia="zh-CN" w:bidi="ar-SA"/>
                <w14:textFill>
                  <w14:solidFill>
                    <w14:schemeClr w14:val="tx1"/>
                  </w14:solidFill>
                </w14:textFill>
              </w:rPr>
              <w:t>泵体和压缩机最大连接管全管径泄漏</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5.00×10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-4</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1.00×10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-4</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装卸臂</w:t>
            </w:r>
          </w:p>
        </w:tc>
        <w:tc>
          <w:tcPr>
            <w:tcW w:w="4418"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装卸臂连接管泄漏孔径为10%孔径（最大50mm）</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装卸臂全管径泄漏</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-7</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3.00×10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-8</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装卸软管</w:t>
            </w:r>
          </w:p>
        </w:tc>
        <w:tc>
          <w:tcPr>
            <w:tcW w:w="4418"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装卸臂连接管泄漏孔径为10%孔径（最大50mm）</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装卸臂全管径泄漏</w:t>
            </w:r>
          </w:p>
        </w:tc>
        <w:tc>
          <w:tcPr>
            <w:tcW w:w="3081" w:type="dxa"/>
            <w:tcBorders>
              <w:tl2br w:val="nil"/>
              <w:tr2bl w:val="nil"/>
            </w:tcBorders>
            <w:noWrap w:val="0"/>
            <w:vAlign w:val="center"/>
          </w:tcPr>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-5</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p>
          <w:p>
            <w:pPr>
              <w:pStyle w:val="1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4.00×10</w:t>
            </w:r>
            <w:r>
              <w:rPr>
                <w:rFonts w:hint="default" w:ascii="Times New Roman" w:hAnsi="Times New Roman" w:cs="Times New Roman"/>
                <w:b w:val="0"/>
                <w:bCs/>
                <w:color w:val="000000" w:themeColor="text1"/>
                <w:sz w:val="21"/>
                <w:szCs w:val="21"/>
                <w:vertAlign w:val="superscript"/>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注：以上数据来源于荷兰 TNO 紫皮书（Guidelines for Quantitative）以及 Reference Manual Bevi Risk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Assessments；*来源于国际油气协会（International Association of Oil &amp;Gas Producers）发布的 Risk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Assessment Data Directory(2010，3)。 </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根据上表结合本项目风险源类型和特点，本项目风险评价的最大可信事故设定见下表所示。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vertAlign w:val="baseline"/>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color w:val="000000" w:themeColor="text1"/>
          <w:lang w:val="en-US" w:eastAsia="zh-CN"/>
          <w14:textFill>
            <w14:solidFill>
              <w14:schemeClr w14:val="tx1"/>
            </w14:solidFill>
          </w14:textFill>
        </w:rPr>
        <w:t xml:space="preserve">最大可信事故设定 </w:t>
      </w:r>
    </w:p>
    <w:tbl>
      <w:tblPr>
        <w:tblStyle w:val="4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310"/>
        <w:gridCol w:w="1571"/>
        <w:gridCol w:w="1839"/>
        <w:gridCol w:w="1320"/>
        <w:gridCol w:w="1320"/>
        <w:gridCol w:w="13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9" w:type="dxa"/>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序号</w:t>
            </w:r>
          </w:p>
        </w:tc>
        <w:tc>
          <w:tcPr>
            <w:tcW w:w="1310" w:type="dxa"/>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事故发生位置</w:t>
            </w:r>
          </w:p>
        </w:tc>
        <w:tc>
          <w:tcPr>
            <w:tcW w:w="1571" w:type="dxa"/>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风险</w:t>
            </w: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因子</w:t>
            </w:r>
          </w:p>
        </w:tc>
        <w:tc>
          <w:tcPr>
            <w:tcW w:w="1839" w:type="dxa"/>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最大可信事故</w:t>
            </w:r>
          </w:p>
        </w:tc>
        <w:tc>
          <w:tcPr>
            <w:tcW w:w="2640" w:type="dxa"/>
            <w:gridSpan w:val="2"/>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14:textFill>
                  <w14:solidFill>
                    <w14:schemeClr w14:val="tx1"/>
                  </w14:solidFill>
                </w14:textFill>
              </w:rPr>
            </w:pPr>
            <w:r>
              <w:rPr>
                <w:rFonts w:hint="default" w:ascii="Times New Roman" w:hAnsi="Times New Roman" w:cs="Times New Roman"/>
                <w:b w:val="0"/>
                <w:bCs/>
                <w:color w:val="000000" w:themeColor="text1"/>
                <w:kern w:val="0"/>
                <w:sz w:val="21"/>
                <w:szCs w:val="21"/>
                <w:u w:val="none" w:color="auto"/>
                <w14:textFill>
                  <w14:solidFill>
                    <w14:schemeClr w14:val="tx1"/>
                  </w14:solidFill>
                </w14:textFill>
              </w:rPr>
              <w:t>事故概率</w:t>
            </w:r>
          </w:p>
        </w:tc>
        <w:tc>
          <w:tcPr>
            <w:tcW w:w="1320" w:type="dxa"/>
            <w:vMerge w:val="restart"/>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事故类型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59" w:type="dxa"/>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1310" w:type="dxa"/>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p>
        </w:tc>
        <w:tc>
          <w:tcPr>
            <w:tcW w:w="1571" w:type="dxa"/>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1839" w:type="dxa"/>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数值</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来源</w:t>
            </w:r>
          </w:p>
        </w:tc>
        <w:tc>
          <w:tcPr>
            <w:tcW w:w="1320" w:type="dxa"/>
            <w:vMerge w:val="continue"/>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1</w:t>
            </w:r>
          </w:p>
        </w:tc>
        <w:tc>
          <w:tcPr>
            <w:tcW w:w="131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含硫干气输送管道</w:t>
            </w:r>
          </w:p>
        </w:tc>
        <w:tc>
          <w:tcPr>
            <w:tcW w:w="1571"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硫化氢</w:t>
            </w:r>
          </w:p>
        </w:tc>
        <w:tc>
          <w:tcPr>
            <w:tcW w:w="1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泄漏孔径为10%孔径</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2.00×10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-6</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/（m·a）</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HJ169-2018附录E</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eastAsia" w:eastAsia="宋体" w:cs="Times New Roman"/>
                <w:b w:val="0"/>
                <w:bCs/>
                <w:color w:val="000000" w:themeColor="text1"/>
                <w:kern w:val="0"/>
                <w:sz w:val="21"/>
                <w:szCs w:val="21"/>
                <w:lang w:val="en-US" w:eastAsia="zh-CN" w:bidi="ar"/>
                <w14:textFill>
                  <w14:solidFill>
                    <w14:schemeClr w14:val="tx1"/>
                  </w14:solidFill>
                </w14:textFill>
              </w:rPr>
              <w:t>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59"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2</w:t>
            </w:r>
          </w:p>
        </w:tc>
        <w:tc>
          <w:tcPr>
            <w:tcW w:w="131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加氢装置区管道泄漏</w:t>
            </w:r>
          </w:p>
        </w:tc>
        <w:tc>
          <w:tcPr>
            <w:tcW w:w="1571"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（烷基苯料）航煤组分油</w:t>
            </w:r>
          </w:p>
        </w:tc>
        <w:tc>
          <w:tcPr>
            <w:tcW w:w="1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泄漏孔径为10mm孔径</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-4</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/a</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HJ169-2018附录E</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eastAsia" w:eastAsia="宋体" w:cs="Times New Roman"/>
                <w:b w:val="0"/>
                <w:bCs/>
                <w:color w:val="000000" w:themeColor="text1"/>
                <w:kern w:val="0"/>
                <w:sz w:val="21"/>
                <w:szCs w:val="21"/>
                <w:lang w:val="en-US" w:eastAsia="zh-CN" w:bidi="ar"/>
                <w14:textFill>
                  <w14:solidFill>
                    <w14:schemeClr w14:val="tx1"/>
                  </w14:solidFill>
                </w14:textFill>
              </w:rPr>
              <w:t>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3</w:t>
            </w:r>
          </w:p>
        </w:tc>
        <w:tc>
          <w:tcPr>
            <w:tcW w:w="131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t>加氢装置区管道泄漏</w:t>
            </w:r>
          </w:p>
        </w:tc>
        <w:tc>
          <w:tcPr>
            <w:tcW w:w="1571"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GPS-200</w:t>
            </w:r>
            <w:r>
              <w:rPr>
                <w:rFonts w:hint="default" w:ascii="Times New Roman" w:hAnsi="Times New Roman" w:cs="Times New Roman"/>
                <w:b w:val="0"/>
                <w:bCs/>
                <w:color w:val="000000" w:themeColor="text1"/>
                <w:sz w:val="21"/>
                <w14:textFill>
                  <w14:solidFill>
                    <w14:schemeClr w14:val="tx1"/>
                  </w14:solidFill>
                </w14:textFill>
              </w:rPr>
              <w:t>溶剂油</w:t>
            </w:r>
          </w:p>
        </w:tc>
        <w:tc>
          <w:tcPr>
            <w:tcW w:w="1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泄漏孔径为10mm孔径</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-4</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/a</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HJ169-2018附录E</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eastAsia" w:eastAsia="宋体" w:cs="Times New Roman"/>
                <w:b w:val="0"/>
                <w:bCs/>
                <w:color w:val="000000" w:themeColor="text1"/>
                <w:kern w:val="0"/>
                <w:sz w:val="21"/>
                <w:szCs w:val="21"/>
                <w:lang w:val="en-US" w:eastAsia="zh-CN" w:bidi="ar"/>
                <w14:textFill>
                  <w14:solidFill>
                    <w14:schemeClr w14:val="tx1"/>
                  </w14:solidFill>
                </w14:textFill>
              </w:rPr>
              <w:t>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4</w:t>
            </w:r>
          </w:p>
        </w:tc>
        <w:tc>
          <w:tcPr>
            <w:tcW w:w="131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装置区发生火灾燃烧产生CO气体扩散至大气</w:t>
            </w:r>
          </w:p>
        </w:tc>
        <w:tc>
          <w:tcPr>
            <w:tcW w:w="1571"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default" w:ascii="Times New Roman" w:hAnsi="Times New Roman" w:cs="Times New Roman"/>
                <w:b w:val="0"/>
                <w:bCs/>
                <w:color w:val="000000" w:themeColor="text1"/>
                <w:sz w:val="21"/>
                <w:lang w:val="en-US" w:eastAsia="zh-CN"/>
                <w14:textFill>
                  <w14:solidFill>
                    <w14:schemeClr w14:val="tx1"/>
                  </w14:solidFill>
                </w14:textFill>
              </w:rPr>
              <w:t>CO</w:t>
            </w:r>
          </w:p>
        </w:tc>
        <w:tc>
          <w:tcPr>
            <w:tcW w:w="1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eastAsia" w:eastAsia="宋体" w:cs="Times New Roman"/>
                <w:b w:val="0"/>
                <w:bCs/>
                <w:color w:val="000000" w:themeColor="text1"/>
                <w:kern w:val="0"/>
                <w:sz w:val="21"/>
                <w:szCs w:val="21"/>
                <w:lang w:val="en-US" w:eastAsia="zh-CN" w:bidi="ar"/>
                <w14:textFill>
                  <w14:solidFill>
                    <w14:schemeClr w14:val="tx1"/>
                  </w14:solidFill>
                </w14:textFill>
              </w:rPr>
              <w:t>/</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w:t>
            </w:r>
            <w:r>
              <w:rPr>
                <w:rFonts w:hint="eastAsia" w:eastAsia="宋体" w:cs="Times New Roman"/>
                <w:b w:val="0"/>
                <w:bCs/>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w:t>
            </w:r>
            <w:r>
              <w:rPr>
                <w:rFonts w:hint="eastAsia" w:eastAsia="宋体" w:cs="Times New Roman"/>
                <w:b w:val="0"/>
                <w:bCs/>
                <w:color w:val="000000" w:themeColor="text1"/>
                <w:kern w:val="0"/>
                <w:sz w:val="21"/>
                <w:szCs w:val="21"/>
                <w:vertAlign w:val="superscript"/>
                <w:lang w:val="en-US" w:eastAsia="zh-CN" w:bidi="ar"/>
                <w14:textFill>
                  <w14:solidFill>
                    <w14:schemeClr w14:val="tx1"/>
                  </w14:solidFill>
                </w14:textFill>
              </w:rPr>
              <w:t>6</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《环境风险评价实用技术、方法和案例》</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火灾、爆炸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5</w:t>
            </w:r>
          </w:p>
        </w:tc>
        <w:tc>
          <w:tcPr>
            <w:tcW w:w="1310"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装置区发生火灾燃烧产生</w:t>
            </w:r>
            <w:r>
              <w:rPr>
                <w:rFonts w:hint="eastAsia" w:cs="Times New Roman"/>
                <w:b w:val="0"/>
                <w:bCs/>
                <w:color w:val="000000" w:themeColor="text1"/>
                <w:sz w:val="21"/>
                <w:szCs w:val="21"/>
                <w:vertAlign w:val="baseline"/>
                <w:lang w:val="en-US" w:eastAsia="zh-CN"/>
                <w14:textFill>
                  <w14:solidFill>
                    <w14:schemeClr w14:val="tx1"/>
                  </w14:solidFill>
                </w14:textFill>
              </w:rPr>
              <w:t>SO</w:t>
            </w:r>
            <w:r>
              <w:rPr>
                <w:rFonts w:hint="eastAsia" w:cs="Times New Roman"/>
                <w:b w:val="0"/>
                <w:bCs/>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气体扩散至大气</w:t>
            </w:r>
          </w:p>
        </w:tc>
        <w:tc>
          <w:tcPr>
            <w:tcW w:w="1571" w:type="dxa"/>
            <w:tcBorders>
              <w:tl2br w:val="nil"/>
              <w:tr2bl w:val="nil"/>
            </w:tcBorders>
            <w:noWrap w:val="0"/>
            <w:vAlign w:val="center"/>
          </w:tcPr>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000000" w:themeColor="text1"/>
                <w:sz w:val="21"/>
                <w:lang w:val="en-US" w:eastAsia="zh-CN"/>
                <w14:textFill>
                  <w14:solidFill>
                    <w14:schemeClr w14:val="tx1"/>
                  </w14:solidFill>
                </w14:textFill>
              </w:rPr>
            </w:pPr>
            <w:r>
              <w:rPr>
                <w:rFonts w:hint="eastAsia" w:cs="Times New Roman"/>
                <w:b w:val="0"/>
                <w:bCs/>
                <w:color w:val="000000" w:themeColor="text1"/>
                <w:sz w:val="21"/>
                <w:szCs w:val="21"/>
                <w:vertAlign w:val="baseline"/>
                <w:lang w:val="en-US" w:eastAsia="zh-CN"/>
                <w14:textFill>
                  <w14:solidFill>
                    <w14:schemeClr w14:val="tx1"/>
                  </w14:solidFill>
                </w14:textFill>
              </w:rPr>
              <w:t>SO</w:t>
            </w:r>
            <w:r>
              <w:rPr>
                <w:rFonts w:hint="eastAsia" w:cs="Times New Roman"/>
                <w:b w:val="0"/>
                <w:bCs/>
                <w:color w:val="000000" w:themeColor="text1"/>
                <w:sz w:val="21"/>
                <w:szCs w:val="21"/>
                <w:vertAlign w:val="subscript"/>
                <w:lang w:val="en-US" w:eastAsia="zh-CN"/>
                <w14:textFill>
                  <w14:solidFill>
                    <w14:schemeClr w14:val="tx1"/>
                  </w14:solidFill>
                </w14:textFill>
              </w:rPr>
              <w:t>2</w:t>
            </w:r>
          </w:p>
        </w:tc>
        <w:tc>
          <w:tcPr>
            <w:tcW w:w="1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eastAsia="宋体" w:cs="Times New Roman"/>
                <w:b w:val="0"/>
                <w:bCs/>
                <w:color w:val="000000" w:themeColor="text1"/>
                <w:kern w:val="0"/>
                <w:sz w:val="21"/>
                <w:szCs w:val="21"/>
                <w:lang w:val="en-US" w:eastAsia="zh-CN" w:bidi="ar"/>
                <w14:textFill>
                  <w14:solidFill>
                    <w14:schemeClr w14:val="tx1"/>
                  </w14:solidFill>
                </w14:textFill>
              </w:rPr>
            </w:pPr>
            <w:r>
              <w:rPr>
                <w:rFonts w:hint="eastAsia" w:eastAsia="宋体" w:cs="Times New Roman"/>
                <w:b w:val="0"/>
                <w:bCs/>
                <w:color w:val="000000" w:themeColor="text1"/>
                <w:kern w:val="0"/>
                <w:sz w:val="21"/>
                <w:szCs w:val="21"/>
                <w:lang w:val="en-US" w:eastAsia="zh-CN" w:bidi="ar"/>
                <w14:textFill>
                  <w14:solidFill>
                    <w14:schemeClr w14:val="tx1"/>
                  </w14:solidFill>
                </w14:textFill>
              </w:rPr>
              <w:t>/</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w:t>
            </w:r>
            <w:r>
              <w:rPr>
                <w:rFonts w:hint="eastAsia" w:eastAsia="宋体" w:cs="Times New Roman"/>
                <w:b w:val="0"/>
                <w:bCs/>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w:t>
            </w:r>
            <w:r>
              <w:rPr>
                <w:rFonts w:hint="eastAsia" w:eastAsia="宋体" w:cs="Times New Roman"/>
                <w:b w:val="0"/>
                <w:bCs/>
                <w:color w:val="000000" w:themeColor="text1"/>
                <w:kern w:val="0"/>
                <w:sz w:val="21"/>
                <w:szCs w:val="21"/>
                <w:vertAlign w:val="superscript"/>
                <w:lang w:val="en-US" w:eastAsia="zh-CN" w:bidi="ar"/>
                <w14:textFill>
                  <w14:solidFill>
                    <w14:schemeClr w14:val="tx1"/>
                  </w14:solidFill>
                </w14:textFill>
              </w:rPr>
              <w:t>6</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《环境风险评价实用技术、方法和案例》</w:t>
            </w:r>
          </w:p>
        </w:tc>
        <w:tc>
          <w:tcPr>
            <w:tcW w:w="1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火灾、爆炸</w:t>
            </w:r>
          </w:p>
        </w:tc>
      </w:tr>
    </w:tbl>
    <w:p>
      <w:pPr>
        <w:pStyle w:val="6"/>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主要风险事故源强计算</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装置输送管泄漏</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eastAsia"/>
          <w:color w:val="000000" w:themeColor="text1"/>
          <w:lang w:val="en-US" w:eastAsia="zh-CN"/>
          <w14:textFill>
            <w14:solidFill>
              <w14:schemeClr w14:val="tx1"/>
            </w14:solidFill>
          </w14:textFill>
        </w:rPr>
        <w:t>对于加氢装置区管道中（烷基苯料）航煤组分油和GPS-200溶剂油的泄露，</w:t>
      </w:r>
      <w:r>
        <w:rPr>
          <w:rFonts w:hint="default" w:ascii="Times New Roman" w:hAnsi="Times New Roman" w:cs="Times New Roman"/>
          <w:color w:val="000000" w:themeColor="text1"/>
          <w:u w:val="none" w:color="auto"/>
          <w14:textFill>
            <w14:solidFill>
              <w14:schemeClr w14:val="tx1"/>
            </w14:solidFill>
          </w14:textFill>
        </w:rPr>
        <w:t>采用液体伯努利方程进行计算，公式如下：</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object>
          <v:shape id="_x0000_i1039" o:spt="75" type="#_x0000_t75" style="height:37.4pt;width:144.95pt;" o:ole="t" filled="f" o:preferrelative="t" stroked="f" coordsize="21600,21600">
            <v:path/>
            <v:fill on="f" focussize="0,0"/>
            <v:stroke on="f" joinstyle="miter"/>
            <v:imagedata r:id="rId56" o:title=""/>
            <o:lock v:ext="edit" aspectratio="t"/>
            <w10:wrap type="none"/>
            <w10:anchorlock/>
          </v:shape>
          <o:OLEObject Type="Embed" ProgID="Equation.3" ShapeID="_x0000_i1039" DrawAspect="Content" ObjectID="_1468075739" r:id="rId55">
            <o:LockedField>false</o:LockedField>
          </o:OLEObject>
        </w:object>
      </w:r>
    </w:p>
    <w:p>
      <w:pPr>
        <w:pStyle w:val="132"/>
        <w:spacing w:line="240" w:lineRule="auto"/>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式中：</w:t>
      </w:r>
    </w:p>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Q——液体排出率（kg/s）；</w:t>
      </w:r>
    </w:p>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A</w:t>
      </w:r>
      <w:r>
        <w:rPr>
          <w:rFonts w:hint="default" w:ascii="Times New Roman" w:hAnsi="Times New Roman" w:cs="Times New Roman"/>
          <w:color w:val="000000" w:themeColor="text1"/>
          <w:u w:val="none" w:color="auto"/>
          <w:vertAlign w:val="subscript"/>
          <w:lang w:bidi="ar"/>
          <w14:textFill>
            <w14:solidFill>
              <w14:schemeClr w14:val="tx1"/>
            </w14:solidFill>
          </w14:textFill>
        </w:rPr>
        <w:t>r</w:t>
      </w:r>
      <w:r>
        <w:rPr>
          <w:rFonts w:hint="default" w:ascii="Times New Roman" w:hAnsi="Times New Roman" w:cs="Times New Roman"/>
          <w:color w:val="000000" w:themeColor="text1"/>
          <w:u w:val="none" w:color="auto"/>
          <w:lang w:bidi="ar"/>
          <w14:textFill>
            <w14:solidFill>
              <w14:schemeClr w14:val="tx1"/>
            </w14:solidFill>
          </w14:textFill>
        </w:rPr>
        <w:t>——裂口流出的面积（m</w:t>
      </w:r>
      <w:r>
        <w:rPr>
          <w:rFonts w:hint="default" w:ascii="Times New Roman" w:hAnsi="Times New Roman" w:cs="Times New Roman"/>
          <w:color w:val="000000" w:themeColor="text1"/>
          <w:u w:val="none" w:color="auto"/>
          <w:vertAlign w:val="superscript"/>
          <w:lang w:bidi="ar"/>
          <w14:textFill>
            <w14:solidFill>
              <w14:schemeClr w14:val="tx1"/>
            </w14:solidFill>
          </w14:textFill>
        </w:rPr>
        <w:t>2</w:t>
      </w:r>
      <w:r>
        <w:rPr>
          <w:rFonts w:hint="default" w:ascii="Times New Roman" w:hAnsi="Times New Roman" w:cs="Times New Roman"/>
          <w:color w:val="000000" w:themeColor="text1"/>
          <w:u w:val="none" w:color="auto"/>
          <w:lang w:bidi="ar"/>
          <w14:textFill>
            <w14:solidFill>
              <w14:schemeClr w14:val="tx1"/>
            </w14:solidFill>
          </w14:textFill>
        </w:rPr>
        <w:t>）；</w:t>
      </w:r>
    </w:p>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C</w:t>
      </w:r>
      <w:r>
        <w:rPr>
          <w:rFonts w:hint="default" w:ascii="Times New Roman" w:hAnsi="Times New Roman" w:cs="Times New Roman"/>
          <w:color w:val="000000" w:themeColor="text1"/>
          <w:u w:val="none" w:color="auto"/>
          <w:vertAlign w:val="subscript"/>
          <w:lang w:bidi="ar"/>
          <w14:textFill>
            <w14:solidFill>
              <w14:schemeClr w14:val="tx1"/>
            </w14:solidFill>
          </w14:textFill>
        </w:rPr>
        <w:t>d</w:t>
      </w:r>
      <w:r>
        <w:rPr>
          <w:rFonts w:hint="default" w:ascii="Times New Roman" w:hAnsi="Times New Roman" w:cs="Times New Roman"/>
          <w:color w:val="000000" w:themeColor="text1"/>
          <w:u w:val="none" w:color="auto"/>
          <w:lang w:bidi="ar"/>
          <w14:textFill>
            <w14:solidFill>
              <w14:schemeClr w14:val="tx1"/>
            </w14:solidFill>
          </w14:textFill>
        </w:rPr>
        <w:t>——流量系数，取0.64；</w:t>
      </w:r>
    </w:p>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P</w:t>
      </w:r>
      <w:r>
        <w:rPr>
          <w:rFonts w:hint="default" w:ascii="Times New Roman" w:hAnsi="Times New Roman" w:cs="Times New Roman"/>
          <w:color w:val="000000" w:themeColor="text1"/>
          <w:u w:val="none" w:color="auto"/>
          <w:vertAlign w:val="subscript"/>
          <w:lang w:bidi="ar"/>
          <w14:textFill>
            <w14:solidFill>
              <w14:schemeClr w14:val="tx1"/>
            </w14:solidFill>
          </w14:textFill>
        </w:rPr>
        <w:t>1</w:t>
      </w:r>
      <w:r>
        <w:rPr>
          <w:rFonts w:hint="default" w:ascii="Times New Roman" w:hAnsi="Times New Roman" w:cs="Times New Roman"/>
          <w:color w:val="000000" w:themeColor="text1"/>
          <w:u w:val="none" w:color="auto"/>
          <w:lang w:bidi="ar"/>
          <w14:textFill>
            <w14:solidFill>
              <w14:schemeClr w14:val="tx1"/>
            </w14:solidFill>
          </w14:textFill>
        </w:rPr>
        <w:t>——操作压力或容器压力（Pa）；</w:t>
      </w:r>
    </w:p>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ρ</w:t>
      </w:r>
      <w:r>
        <w:rPr>
          <w:rFonts w:hint="default" w:ascii="Times New Roman" w:hAnsi="Times New Roman" w:cs="Times New Roman"/>
          <w:color w:val="000000" w:themeColor="text1"/>
          <w:u w:val="none" w:color="auto"/>
          <w:vertAlign w:val="subscript"/>
          <w:lang w:bidi="ar"/>
          <w14:textFill>
            <w14:solidFill>
              <w14:schemeClr w14:val="tx1"/>
            </w14:solidFill>
          </w14:textFill>
        </w:rPr>
        <w:t>1</w:t>
      </w:r>
      <w:r>
        <w:rPr>
          <w:rFonts w:hint="default" w:ascii="Times New Roman" w:hAnsi="Times New Roman" w:cs="Times New Roman"/>
          <w:color w:val="000000" w:themeColor="text1"/>
          <w:u w:val="none" w:color="auto"/>
          <w:lang w:bidi="ar"/>
          <w14:textFill>
            <w14:solidFill>
              <w14:schemeClr w14:val="tx1"/>
            </w14:solidFill>
          </w14:textFill>
        </w:rPr>
        <w:t>——液体密度（kg/m</w:t>
      </w:r>
      <w:r>
        <w:rPr>
          <w:rFonts w:hint="default" w:ascii="Times New Roman" w:hAnsi="Times New Roman" w:cs="Times New Roman"/>
          <w:color w:val="000000" w:themeColor="text1"/>
          <w:u w:val="none" w:color="auto"/>
          <w:vertAlign w:val="superscript"/>
          <w:lang w:bidi="ar"/>
          <w14:textFill>
            <w14:solidFill>
              <w14:schemeClr w14:val="tx1"/>
            </w14:solidFill>
          </w14:textFill>
        </w:rPr>
        <w:t>3</w:t>
      </w:r>
      <w:r>
        <w:rPr>
          <w:rFonts w:hint="default" w:ascii="Times New Roman" w:hAnsi="Times New Roman" w:cs="Times New Roman"/>
          <w:color w:val="000000" w:themeColor="text1"/>
          <w:u w:val="none" w:color="auto"/>
          <w:lang w:bidi="ar"/>
          <w14:textFill>
            <w14:solidFill>
              <w14:schemeClr w14:val="tx1"/>
            </w14:solidFill>
          </w14:textFill>
        </w:rPr>
        <w:t>）；</w:t>
      </w:r>
    </w:p>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P</w:t>
      </w:r>
      <w:r>
        <w:rPr>
          <w:rFonts w:hint="default" w:ascii="Times New Roman" w:hAnsi="Times New Roman" w:cs="Times New Roman"/>
          <w:color w:val="000000" w:themeColor="text1"/>
          <w:u w:val="none" w:color="auto"/>
          <w:vertAlign w:val="subscript"/>
          <w:lang w:bidi="ar"/>
          <w14:textFill>
            <w14:solidFill>
              <w14:schemeClr w14:val="tx1"/>
            </w14:solidFill>
          </w14:textFill>
        </w:rPr>
        <w:t>0</w:t>
      </w:r>
      <w:r>
        <w:rPr>
          <w:rFonts w:hint="default" w:ascii="Times New Roman" w:hAnsi="Times New Roman" w:cs="Times New Roman"/>
          <w:color w:val="000000" w:themeColor="text1"/>
          <w:u w:val="none" w:color="auto"/>
          <w:lang w:bidi="ar"/>
          <w14:textFill>
            <w14:solidFill>
              <w14:schemeClr w14:val="tx1"/>
            </w14:solidFill>
          </w14:textFill>
        </w:rPr>
        <w:t>——外界压力或大气压（Pa），常压101325；</w:t>
      </w:r>
    </w:p>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000000" w:themeColor="text1"/>
          <w:u w:val="none" w:color="auto"/>
          <w:lang w:bidi="ar"/>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h——罐中液面在排放点以上的高度（m）。</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cs="Times New Roman"/>
          <w:color w:val="000000" w:themeColor="text1"/>
          <w:u w:val="none" w:color="auto"/>
          <w:lang w:eastAsia="zh-CN" w:bidi="ar"/>
          <w14:textFill>
            <w14:solidFill>
              <w14:schemeClr w14:val="tx1"/>
            </w14:solidFill>
          </w14:textFill>
        </w:rPr>
      </w:pPr>
      <w:r>
        <w:rPr>
          <w:rFonts w:hint="default" w:ascii="Times New Roman" w:hAnsi="Times New Roman" w:cs="Times New Roman"/>
          <w:color w:val="000000" w:themeColor="text1"/>
          <w:u w:val="none" w:color="auto"/>
          <w:lang w:bidi="ar"/>
          <w14:textFill>
            <w14:solidFill>
              <w14:schemeClr w14:val="tx1"/>
            </w14:solidFill>
          </w14:textFill>
        </w:rPr>
        <w:t>假定泄露位置位于</w:t>
      </w:r>
      <w:r>
        <w:rPr>
          <w:rFonts w:hint="eastAsia" w:cs="Times New Roman"/>
          <w:color w:val="000000" w:themeColor="text1"/>
          <w:u w:val="none" w:color="auto"/>
          <w:lang w:eastAsia="zh-CN" w:bidi="ar"/>
          <w14:textFill>
            <w14:solidFill>
              <w14:schemeClr w14:val="tx1"/>
            </w14:solidFill>
          </w14:textFill>
        </w:rPr>
        <w:t>装置区</w:t>
      </w:r>
      <w:r>
        <w:rPr>
          <w:rFonts w:hint="default" w:ascii="Times New Roman" w:hAnsi="Times New Roman" w:cs="Times New Roman"/>
          <w:color w:val="000000" w:themeColor="text1"/>
          <w:u w:val="none" w:color="auto"/>
          <w:lang w:bidi="ar"/>
          <w14:textFill>
            <w14:solidFill>
              <w14:schemeClr w14:val="tx1"/>
            </w14:solidFill>
          </w14:textFill>
        </w:rPr>
        <w:t>物料输送管，泄露孔径为10mm，液面高度</w:t>
      </w:r>
      <w:r>
        <w:rPr>
          <w:rFonts w:hint="eastAsia" w:cs="Times New Roman"/>
          <w:color w:val="000000" w:themeColor="text1"/>
          <w:u w:val="none" w:color="auto"/>
          <w:lang w:val="en-US" w:eastAsia="zh-CN" w:bidi="ar"/>
          <w14:textFill>
            <w14:solidFill>
              <w14:schemeClr w14:val="tx1"/>
            </w14:solidFill>
          </w14:textFill>
        </w:rPr>
        <w:t>0.08</w:t>
      </w:r>
      <w:r>
        <w:rPr>
          <w:rFonts w:hint="default" w:ascii="Times New Roman" w:hAnsi="Times New Roman" w:cs="Times New Roman"/>
          <w:color w:val="000000" w:themeColor="text1"/>
          <w:u w:val="none" w:color="auto"/>
          <w:lang w:bidi="ar"/>
          <w14:textFill>
            <w14:solidFill>
              <w14:schemeClr w14:val="tx1"/>
            </w14:solidFill>
          </w14:textFill>
        </w:rPr>
        <w:t>m，</w:t>
      </w:r>
      <w:r>
        <w:rPr>
          <w:rFonts w:hint="eastAsia" w:ascii="Times New Roman" w:hAnsi="Times New Roman" w:cs="Times New Roman"/>
          <w:color w:val="000000" w:themeColor="text1"/>
          <w:u w:val="none" w:color="auto"/>
          <w:lang w:eastAsia="zh-CN" w:bidi="ar"/>
          <w14:textFill>
            <w14:solidFill>
              <w14:schemeClr w14:val="tx1"/>
            </w14:solidFill>
          </w14:textFill>
        </w:rPr>
        <w:t>计算结果详见下表所示。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u w:val="none" w:color="auto"/>
          <w:lang w:bidi="ar"/>
          <w14:textFill>
            <w14:solidFill>
              <w14:schemeClr w14:val="tx1"/>
            </w14:solidFill>
          </w14:textFill>
        </w:rPr>
        <w:t>液体泄露速率计算表</w:t>
      </w:r>
    </w:p>
    <w:tbl>
      <w:tblPr>
        <w:tblStyle w:val="209"/>
        <w:tblW w:w="9166"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28"/>
        <w:gridCol w:w="1134"/>
        <w:gridCol w:w="1134"/>
        <w:gridCol w:w="1134"/>
        <w:gridCol w:w="1134"/>
        <w:gridCol w:w="1246"/>
        <w:gridCol w:w="1022"/>
        <w:gridCol w:w="113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28" w:type="dxa"/>
            <w:tcBorders>
              <w:top w:val="single" w:color="000000" w:sz="12"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参数物质</w:t>
            </w:r>
          </w:p>
        </w:tc>
        <w:tc>
          <w:tcPr>
            <w:tcW w:w="1134" w:type="dxa"/>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A</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r</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eastAsia="宋体" w:cs="Times New Roman"/>
                <w:color w:val="000000" w:themeColor="text1"/>
                <w:sz w:val="21"/>
                <w:szCs w:val="21"/>
                <w:u w:val="none" w:color="auto"/>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p>
        </w:tc>
        <w:tc>
          <w:tcPr>
            <w:tcW w:w="1134" w:type="dxa"/>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C</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d</w:t>
            </w:r>
          </w:p>
        </w:tc>
        <w:tc>
          <w:tcPr>
            <w:tcW w:w="1134" w:type="dxa"/>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P</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1</w:t>
            </w:r>
          </w:p>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（pa）</w:t>
            </w:r>
          </w:p>
        </w:tc>
        <w:tc>
          <w:tcPr>
            <w:tcW w:w="1134" w:type="dxa"/>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P</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0</w:t>
            </w:r>
          </w:p>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（pa）</w:t>
            </w:r>
          </w:p>
        </w:tc>
        <w:tc>
          <w:tcPr>
            <w:tcW w:w="1246" w:type="dxa"/>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ρ</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1</w:t>
            </w:r>
            <w:r>
              <w:rPr>
                <w:rFonts w:hint="default" w:ascii="Times New Roman" w:hAnsi="Times New Roman" w:eastAsia="宋体" w:cs="Times New Roman"/>
                <w:color w:val="000000" w:themeColor="text1"/>
                <w:sz w:val="21"/>
                <w:szCs w:val="21"/>
                <w:u w:val="none" w:color="auto"/>
                <w14:textFill>
                  <w14:solidFill>
                    <w14:schemeClr w14:val="tx1"/>
                  </w14:solidFill>
                </w14:textFill>
              </w:rPr>
              <w:t>（kg/m</w:t>
            </w:r>
            <w:r>
              <w:rPr>
                <w:rFonts w:hint="default" w:ascii="Times New Roman" w:hAnsi="Times New Roman" w:eastAsia="宋体" w:cs="Times New Roman"/>
                <w:color w:val="000000" w:themeColor="text1"/>
                <w:sz w:val="21"/>
                <w:szCs w:val="21"/>
                <w:u w:val="none" w:color="auto"/>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p>
        </w:tc>
        <w:tc>
          <w:tcPr>
            <w:tcW w:w="1022" w:type="dxa"/>
            <w:tcBorders>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h</w:t>
            </w:r>
          </w:p>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p>
        </w:tc>
        <w:tc>
          <w:tcPr>
            <w:tcW w:w="1134" w:type="dxa"/>
            <w:tcBorders>
              <w:left w:val="single" w:color="000000" w:sz="4" w:space="0"/>
              <w:bottom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Q（kg/s）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6" w:hRule="atLeast"/>
        </w:trPr>
        <w:tc>
          <w:tcPr>
            <w:tcW w:w="1228" w:type="dxa"/>
            <w:tcBorders>
              <w:top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u w:val="none" w:color="auto"/>
                <w:lang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t>（烷基苯料）航煤组分油</w:t>
            </w:r>
          </w:p>
        </w:tc>
        <w:tc>
          <w:tcPr>
            <w:tcW w:w="1134" w:type="dxa"/>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0.0000785</w:t>
            </w:r>
          </w:p>
        </w:tc>
        <w:tc>
          <w:tcPr>
            <w:tcW w:w="1134" w:type="dxa"/>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0.64</w:t>
            </w:r>
          </w:p>
        </w:tc>
        <w:tc>
          <w:tcPr>
            <w:tcW w:w="1134" w:type="dxa"/>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101325</w:t>
            </w:r>
          </w:p>
        </w:tc>
        <w:tc>
          <w:tcPr>
            <w:tcW w:w="1134" w:type="dxa"/>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101325</w:t>
            </w:r>
          </w:p>
        </w:tc>
        <w:tc>
          <w:tcPr>
            <w:tcW w:w="1246" w:type="dxa"/>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eastAsia" w:eastAsia="宋体" w:cs="Times New Roman"/>
                <w:color w:val="000000" w:themeColor="text1"/>
                <w:sz w:val="21"/>
                <w:szCs w:val="21"/>
                <w:u w:val="none" w:color="auto"/>
                <w:lang w:val="en-US" w:eastAsia="zh-CN" w:bidi="ar"/>
                <w14:textFill>
                  <w14:solidFill>
                    <w14:schemeClr w14:val="tx1"/>
                  </w14:solidFill>
                </w14:textFill>
              </w:rPr>
              <w:t>865</w:t>
            </w:r>
          </w:p>
        </w:tc>
        <w:tc>
          <w:tcPr>
            <w:tcW w:w="1022" w:type="dxa"/>
            <w:tcBorders>
              <w:top w:val="single" w:color="000000" w:sz="4" w:space="0"/>
              <w:left w:val="single" w:color="000000" w:sz="4" w:space="0"/>
              <w:bottom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eastAsia" w:cs="Times New Roman"/>
                <w:color w:val="000000" w:themeColor="text1"/>
                <w:sz w:val="21"/>
                <w:szCs w:val="21"/>
                <w:u w:val="none" w:color="auto"/>
                <w:lang w:val="en-US" w:eastAsia="zh-CN" w:bidi="ar"/>
                <w14:textFill>
                  <w14:solidFill>
                    <w14:schemeClr w14:val="tx1"/>
                  </w14:solidFill>
                </w14:textFill>
              </w:rPr>
              <w:t>0.08</w:t>
            </w:r>
          </w:p>
        </w:tc>
        <w:tc>
          <w:tcPr>
            <w:tcW w:w="1134" w:type="dxa"/>
            <w:tcBorders>
              <w:top w:val="single" w:color="000000" w:sz="4" w:space="0"/>
              <w:left w:val="single" w:color="000000" w:sz="4" w:space="0"/>
              <w:bottom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eastAsia" w:cs="Times New Roman"/>
                <w:color w:val="000000" w:themeColor="text1"/>
                <w:sz w:val="21"/>
                <w:szCs w:val="21"/>
                <w:u w:val="none" w:color="auto"/>
                <w:lang w:val="en-US" w:eastAsia="zh-CN" w:bidi="ar"/>
                <w14:textFill>
                  <w14:solidFill>
                    <w14:schemeClr w14:val="tx1"/>
                  </w14:solidFill>
                </w14:textFill>
              </w:rPr>
              <w:t>5.45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28" w:type="dxa"/>
            <w:tcBorders>
              <w:top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szCs w:val="21"/>
                <w:u w:val="none" w:color="auto"/>
                <w:lang w:eastAsia="zh-CN" w:bidi="ar"/>
                <w14:textFill>
                  <w14:solidFill>
                    <w14:schemeClr w14:val="tx1"/>
                  </w14:solidFill>
                </w14:textFill>
              </w:rPr>
            </w:pPr>
            <w:r>
              <w:rPr>
                <w:rFonts w:hint="default" w:ascii="Times New Roman" w:hAnsi="Times New Roman" w:eastAsia="宋体" w:cs="Times New Roman"/>
                <w:b w:val="0"/>
                <w:bCs/>
                <w:color w:val="000000" w:themeColor="text1"/>
                <w:sz w:val="21"/>
                <w:lang w:val="en-US" w:eastAsia="zh-CN"/>
                <w14:textFill>
                  <w14:solidFill>
                    <w14:schemeClr w14:val="tx1"/>
                  </w14:solidFill>
                </w14:textFill>
              </w:rPr>
              <w:t>GPS-200</w:t>
            </w:r>
            <w:r>
              <w:rPr>
                <w:rFonts w:hint="default" w:ascii="Times New Roman" w:hAnsi="Times New Roman" w:eastAsia="宋体" w:cs="Times New Roman"/>
                <w:b w:val="0"/>
                <w:bCs/>
                <w:color w:val="000000" w:themeColor="text1"/>
                <w:sz w:val="21"/>
                <w14:textFill>
                  <w14:solidFill>
                    <w14:schemeClr w14:val="tx1"/>
                  </w14:solidFill>
                </w14:textFill>
              </w:rPr>
              <w:t>溶剂油</w:t>
            </w:r>
          </w:p>
        </w:tc>
        <w:tc>
          <w:tcPr>
            <w:tcW w:w="1134" w:type="dxa"/>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0.0000785</w:t>
            </w:r>
          </w:p>
        </w:tc>
        <w:tc>
          <w:tcPr>
            <w:tcW w:w="1134" w:type="dxa"/>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0.64</w:t>
            </w:r>
          </w:p>
        </w:tc>
        <w:tc>
          <w:tcPr>
            <w:tcW w:w="1134" w:type="dxa"/>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101325</w:t>
            </w:r>
          </w:p>
        </w:tc>
        <w:tc>
          <w:tcPr>
            <w:tcW w:w="1134" w:type="dxa"/>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101325</w:t>
            </w:r>
          </w:p>
        </w:tc>
        <w:tc>
          <w:tcPr>
            <w:tcW w:w="1246" w:type="dxa"/>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eastAsia" w:eastAsia="宋体" w:cs="Times New Roman"/>
                <w:color w:val="000000" w:themeColor="text1"/>
                <w:sz w:val="21"/>
                <w:szCs w:val="21"/>
                <w:u w:val="none" w:color="auto"/>
                <w:lang w:val="en-US" w:eastAsia="zh-CN" w:bidi="ar"/>
                <w14:textFill>
                  <w14:solidFill>
                    <w14:schemeClr w14:val="tx1"/>
                  </w14:solidFill>
                </w14:textFill>
              </w:rPr>
              <w:t>692</w:t>
            </w:r>
          </w:p>
        </w:tc>
        <w:tc>
          <w:tcPr>
            <w:tcW w:w="1022" w:type="dxa"/>
            <w:tcBorders>
              <w:top w:val="single" w:color="000000" w:sz="4" w:space="0"/>
              <w:left w:val="single" w:color="000000" w:sz="4" w:space="0"/>
              <w:righ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eastAsia" w:cs="Times New Roman"/>
                <w:color w:val="000000" w:themeColor="text1"/>
                <w:sz w:val="21"/>
                <w:szCs w:val="21"/>
                <w:u w:val="none" w:color="auto"/>
                <w:lang w:val="en-US" w:eastAsia="zh-CN" w:bidi="ar"/>
                <w14:textFill>
                  <w14:solidFill>
                    <w14:schemeClr w14:val="tx1"/>
                  </w14:solidFill>
                </w14:textFill>
              </w:rPr>
              <w:t>0.08</w:t>
            </w:r>
          </w:p>
        </w:tc>
        <w:tc>
          <w:tcPr>
            <w:tcW w:w="1134" w:type="dxa"/>
            <w:tcBorders>
              <w:top w:val="single" w:color="000000" w:sz="4" w:space="0"/>
              <w:left w:val="single" w:color="000000"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eastAsia" w:cs="Times New Roman"/>
                <w:color w:val="000000" w:themeColor="text1"/>
                <w:sz w:val="21"/>
                <w:szCs w:val="21"/>
                <w:u w:val="none" w:color="auto"/>
                <w:lang w:val="en-US" w:eastAsia="zh-CN" w:bidi="ar"/>
                <w14:textFill>
                  <w14:solidFill>
                    <w14:schemeClr w14:val="tx1"/>
                  </w14:solidFill>
                </w14:textFill>
              </w:rPr>
              <w:t>4.36</w:t>
            </w:r>
          </w:p>
        </w:tc>
      </w:tr>
    </w:tbl>
    <w:p>
      <w:pPr>
        <w:pStyle w:val="14"/>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（2）气体泄露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当下式成立时，气体流动属音速流动（临界流）</w:t>
      </w:r>
    </w:p>
    <w:p>
      <w:pPr>
        <w:pStyle w:val="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84275" cy="506095"/>
            <wp:effectExtent l="0" t="0" r="15875" b="8255"/>
            <wp:docPr id="3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6"/>
                    <pic:cNvPicPr>
                      <a:picLocks noChangeAspect="1"/>
                    </pic:cNvPicPr>
                  </pic:nvPicPr>
                  <pic:blipFill>
                    <a:blip r:embed="rId57"/>
                    <a:stretch>
                      <a:fillRect/>
                    </a:stretch>
                  </pic:blipFill>
                  <pic:spPr>
                    <a:xfrm>
                      <a:off x="0" y="0"/>
                      <a:ext cx="1184275" cy="5060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当下式成立时，气体流动属于亚音速流动（次临界流）：</w:t>
      </w:r>
    </w:p>
    <w:p>
      <w:pPr>
        <w:pStyle w:val="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10920" cy="527050"/>
            <wp:effectExtent l="0" t="0" r="17780" b="6350"/>
            <wp:docPr id="3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2"/>
                    <pic:cNvPicPr>
                      <a:picLocks noChangeAspect="1"/>
                    </pic:cNvPicPr>
                  </pic:nvPicPr>
                  <pic:blipFill>
                    <a:blip r:embed="rId58"/>
                    <a:stretch>
                      <a:fillRect/>
                    </a:stretch>
                  </pic:blipFill>
                  <pic:spPr>
                    <a:xfrm>
                      <a:off x="0" y="0"/>
                      <a:ext cx="1010920" cy="527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式中：  P——容器压力，Pa；</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960" w:firstLineChars="4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w:t>
      </w:r>
      <w:r>
        <w:rPr>
          <w:rFonts w:hint="default" w:ascii="Times New Roman" w:hAnsi="Times New Roman" w:cs="Times New Roman"/>
          <w:color w:val="000000" w:themeColor="text1"/>
          <w:vertAlign w:val="subscript"/>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——环境压力，Pa；</w:t>
      </w:r>
    </w:p>
    <w:p>
      <w:pPr>
        <w:keepNext w:val="0"/>
        <w:keepLines w:val="0"/>
        <w:pageBreakBefore w:val="0"/>
        <w:widowControl w:val="0"/>
        <w:kinsoku/>
        <w:wordWrap/>
        <w:overflowPunct/>
        <w:topLinePunct w:val="0"/>
        <w:autoSpaceDE/>
        <w:autoSpaceDN/>
        <w:bidi w:val="0"/>
        <w:adjustRightInd/>
        <w:snapToGrid/>
        <w:spacing w:line="360" w:lineRule="auto"/>
        <w:ind w:left="0" w:leftChars="0" w:firstLine="960" w:firstLineChars="400"/>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γ</w:t>
      </w:r>
      <w:r>
        <w:rPr>
          <w:rFonts w:hint="default" w:ascii="Times New Roman" w:hAnsi="Times New Roman" w:cs="Times New Roman"/>
          <w:color w:val="000000" w:themeColor="text1"/>
          <w:lang w:val="en-US" w:eastAsia="zh-CN"/>
          <w14:textFill>
            <w14:solidFill>
              <w14:schemeClr w14:val="tx1"/>
            </w14:solidFill>
          </w14:textFill>
        </w:rPr>
        <w:t>——气体的绝热指数（比热容比），即定压比热容C</w:t>
      </w:r>
      <w:r>
        <w:rPr>
          <w:rFonts w:hint="default" w:ascii="Times New Roman" w:hAnsi="Times New Roman" w:cs="Times New Roman"/>
          <w:color w:val="000000" w:themeColor="text1"/>
          <w:vertAlign w:val="subscript"/>
          <w:lang w:val="en-US" w:eastAsia="zh-CN"/>
          <w14:textFill>
            <w14:solidFill>
              <w14:schemeClr w14:val="tx1"/>
            </w14:solidFill>
          </w14:textFill>
        </w:rPr>
        <w:t>p</w:t>
      </w:r>
      <w:r>
        <w:rPr>
          <w:rFonts w:hint="default" w:ascii="Times New Roman" w:hAnsi="Times New Roman" w:cs="Times New Roman"/>
          <w:color w:val="000000" w:themeColor="text1"/>
          <w:vertAlign w:val="baseline"/>
          <w:lang w:val="en-US" w:eastAsia="zh-CN"/>
          <w14:textFill>
            <w14:solidFill>
              <w14:schemeClr w14:val="tx1"/>
            </w14:solidFill>
          </w14:textFill>
        </w:rPr>
        <w:t>与定容比热容</w:t>
      </w:r>
      <w:r>
        <w:rPr>
          <w:rFonts w:hint="default" w:ascii="Times New Roman" w:hAnsi="Times New Roman"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vertAlign w:val="subscript"/>
          <w:lang w:val="en-US" w:eastAsia="zh-CN"/>
          <w14:textFill>
            <w14:solidFill>
              <w14:schemeClr w14:val="tx1"/>
            </w14:solidFill>
          </w14:textFill>
        </w:rPr>
        <w:t>v</w:t>
      </w:r>
      <w:r>
        <w:rPr>
          <w:rFonts w:hint="default" w:ascii="Times New Roman" w:hAnsi="Times New Roman" w:cs="Times New Roman"/>
          <w:color w:val="000000" w:themeColor="text1"/>
          <w:vertAlign w:val="baseline"/>
          <w:lang w:val="en-US" w:eastAsia="zh-CN"/>
          <w14:textFill>
            <w14:solidFill>
              <w14:schemeClr w14:val="tx1"/>
            </w14:solidFill>
          </w14:textFill>
        </w:rPr>
        <w:t>之比；假定气体特征性为理想气体，其泄露速率Q</w:t>
      </w:r>
      <w:r>
        <w:rPr>
          <w:rFonts w:hint="default" w:ascii="Times New Roman" w:hAnsi="Times New Roman" w:cs="Times New Roman"/>
          <w:color w:val="000000" w:themeColor="text1"/>
          <w:vertAlign w:val="subscript"/>
          <w:lang w:val="en-US" w:eastAsia="zh-CN"/>
          <w14:textFill>
            <w14:solidFill>
              <w14:schemeClr w14:val="tx1"/>
            </w14:solidFill>
          </w14:textFill>
        </w:rPr>
        <w:t>G</w:t>
      </w:r>
      <w:r>
        <w:rPr>
          <w:rFonts w:hint="default" w:ascii="Times New Roman" w:hAnsi="Times New Roman" w:cs="Times New Roman"/>
          <w:color w:val="000000" w:themeColor="text1"/>
          <w:vertAlign w:val="baseline"/>
          <w:lang w:val="en-US" w:eastAsia="zh-CN"/>
          <w14:textFill>
            <w14:solidFill>
              <w14:schemeClr w14:val="tx1"/>
            </w14:solidFill>
          </w14:textFill>
        </w:rPr>
        <w:t>按下式计算：</w:t>
      </w:r>
    </w:p>
    <w:p>
      <w:pPr>
        <w:pStyle w:val="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47925" cy="682625"/>
            <wp:effectExtent l="0" t="0" r="9525" b="3175"/>
            <wp:docPr id="3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9"/>
                    <pic:cNvPicPr>
                      <a:picLocks noChangeAspect="1"/>
                    </pic:cNvPicPr>
                  </pic:nvPicPr>
                  <pic:blipFill>
                    <a:blip r:embed="rId59"/>
                    <a:stretch>
                      <a:fillRect/>
                    </a:stretch>
                  </pic:blipFill>
                  <pic:spPr>
                    <a:xfrm>
                      <a:off x="0" y="0"/>
                      <a:ext cx="2447925" cy="682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式中：</w:t>
      </w:r>
      <w:r>
        <w:rPr>
          <w:rFonts w:hint="default" w:ascii="Times New Roman" w:hAnsi="Times New Roman" w:cs="Times New Roman"/>
          <w:color w:val="000000" w:themeColor="text1"/>
          <w:lang w:val="en-US" w:eastAsia="zh-CN"/>
          <w14:textFill>
            <w14:solidFill>
              <w14:schemeClr w14:val="tx1"/>
            </w14:solidFill>
          </w14:textFill>
        </w:rPr>
        <w:t>Q</w:t>
      </w:r>
      <w:r>
        <w:rPr>
          <w:rFonts w:hint="default" w:ascii="Times New Roman" w:hAnsi="Times New Roman" w:cs="Times New Roman"/>
          <w:color w:val="000000" w:themeColor="text1"/>
          <w:vertAlign w:val="subscript"/>
          <w:lang w:val="en-US" w:eastAsia="zh-CN"/>
          <w14:textFill>
            <w14:solidFill>
              <w14:schemeClr w14:val="tx1"/>
            </w14:solidFill>
          </w14:textFill>
        </w:rPr>
        <w:t>G</w:t>
      </w:r>
      <w:r>
        <w:rPr>
          <w:rFonts w:hint="default" w:ascii="Times New Roman" w:hAnsi="Times New Roman" w:cs="Times New Roman"/>
          <w:color w:val="000000" w:themeColor="text1"/>
          <w:lang w:val="en-US" w:eastAsia="zh-CN"/>
          <w14:textFill>
            <w14:solidFill>
              <w14:schemeClr w14:val="tx1"/>
            </w14:solidFill>
          </w14:textFill>
        </w:rPr>
        <w:t>——气体泄露速率，kg/s；</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P——容器压力，Pa；</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Cd——气体泄露系数；当裂口形状为圆形时取1.00，三角形时取0.95，长方形时取0.90；</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M——物质的摩尔质量，kg/mol；</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R——气体常数，J/（mol˙K）;</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720" w:firstLineChars="3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w:t>
      </w:r>
      <w:r>
        <w:rPr>
          <w:rFonts w:hint="default" w:ascii="Times New Roman" w:hAnsi="Times New Roman" w:cs="Times New Roman"/>
          <w:color w:val="000000" w:themeColor="text1"/>
          <w:vertAlign w:val="subscript"/>
          <w:lang w:val="en-US" w:eastAsia="zh-CN"/>
          <w14:textFill>
            <w14:solidFill>
              <w14:schemeClr w14:val="tx1"/>
            </w14:solidFill>
          </w14:textFill>
        </w:rPr>
        <w:t>G</w:t>
      </w:r>
      <w:r>
        <w:rPr>
          <w:rFonts w:hint="default" w:ascii="Times New Roman" w:hAnsi="Times New Roman" w:cs="Times New Roman"/>
          <w:color w:val="000000" w:themeColor="text1"/>
          <w:lang w:val="en-US" w:eastAsia="zh-CN"/>
          <w14:textFill>
            <w14:solidFill>
              <w14:schemeClr w14:val="tx1"/>
            </w14:solidFill>
          </w14:textFill>
        </w:rPr>
        <w:t>——气体温度，K</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000000" w:themeColor="text1"/>
          <w:vertAlign w:val="superscript"/>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A——裂口面积，m</w:t>
      </w:r>
      <w:r>
        <w:rPr>
          <w:rFonts w:hint="default" w:ascii="Times New Roman" w:hAnsi="Times New Roman" w:cs="Times New Roman"/>
          <w:color w:val="000000" w:themeColor="text1"/>
          <w:vertAlign w:val="superscript"/>
          <w:lang w:val="en-US" w:eastAsia="zh-CN"/>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Y——流出系数，对于临界流Y=1.0；对于次临界流按下式计算：</w:t>
      </w:r>
    </w:p>
    <w:p>
      <w:pPr>
        <w:pStyle w:val="2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072890" cy="645160"/>
            <wp:effectExtent l="0" t="0" r="3810" b="2540"/>
            <wp:docPr id="3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5"/>
                    <pic:cNvPicPr>
                      <a:picLocks noChangeAspect="1"/>
                    </pic:cNvPicPr>
                  </pic:nvPicPr>
                  <pic:blipFill>
                    <a:blip r:embed="rId60"/>
                    <a:srcRect t="1204"/>
                    <a:stretch>
                      <a:fillRect/>
                    </a:stretch>
                  </pic:blipFill>
                  <pic:spPr>
                    <a:xfrm>
                      <a:off x="0" y="0"/>
                      <a:ext cx="4072890" cy="645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本项目干气管道的气压为400000pa，环境压力</w:t>
      </w:r>
      <w:r>
        <w:rPr>
          <w:rFonts w:hint="default" w:ascii="Times New Roman" w:hAnsi="Times New Roman" w:cs="Times New Roman"/>
          <w:color w:val="000000" w:themeColor="text1"/>
          <w:lang w:val="en-US" w:eastAsia="zh-CN"/>
          <w14:textFill>
            <w14:solidFill>
              <w14:schemeClr w14:val="tx1"/>
            </w14:solidFill>
          </w14:textFill>
        </w:rPr>
        <w:t>101325pa，硫化氢的绝热指数为1.3，经计算得到P</w:t>
      </w:r>
      <w:r>
        <w:rPr>
          <w:rFonts w:hint="default" w:ascii="Times New Roman" w:hAnsi="Times New Roman" w:cs="Times New Roman"/>
          <w:color w:val="000000" w:themeColor="text1"/>
          <w:vertAlign w:val="subscript"/>
          <w:lang w:val="en-US" w:eastAsia="zh-CN"/>
          <w14:textFill>
            <w14:solidFill>
              <w14:schemeClr w14:val="tx1"/>
            </w14:solidFill>
          </w14:textFill>
        </w:rPr>
        <w:t>0</w:t>
      </w:r>
      <w:r>
        <w:rPr>
          <w:rFonts w:hint="default" w:ascii="Times New Roman" w:hAnsi="Times New Roman" w:cs="Times New Roman"/>
          <w:color w:val="000000" w:themeColor="text1"/>
          <w:vertAlign w:val="baseline"/>
          <w:lang w:val="en-US" w:eastAsia="zh-CN"/>
          <w14:textFill>
            <w14:solidFill>
              <w14:schemeClr w14:val="tx1"/>
            </w14:solidFill>
          </w14:textFill>
        </w:rPr>
        <w:t>/p=</w:t>
      </w:r>
      <w:r>
        <w:rPr>
          <w:rFonts w:hint="default" w:ascii="Times New Roman" w:hAnsi="Times New Roman" w:cs="Times New Roman"/>
          <w:color w:val="000000" w:themeColor="text1"/>
          <w:lang w:val="en-US" w:eastAsia="zh-CN"/>
          <w14:textFill>
            <w14:solidFill>
              <w14:schemeClr w14:val="tx1"/>
            </w14:solidFill>
          </w14:textFill>
        </w:rPr>
        <w:t>3.947,  3.947&gt;0.55，所以按照次临界流的公式进行计算Y。根据次临界流的公式计算得到Y</w:t>
      </w:r>
      <w:r>
        <w:rPr>
          <w:rFonts w:hint="default" w:ascii="Times New Roman" w:hAnsi="Times New Roman" w:cs="Times New Roman"/>
          <w:color w:val="000000" w:themeColor="text1"/>
          <w:vertAlign w:val="baseline"/>
          <w:lang w:val="en-US" w:eastAsia="zh-CN"/>
          <w14:textFill>
            <w14:solidFill>
              <w14:schemeClr w14:val="tx1"/>
            </w14:solidFill>
          </w14:textFill>
        </w:rPr>
        <w:t>=1（计算得到Y≤1，取最大值1），</w:t>
      </w:r>
      <w:r>
        <w:rPr>
          <w:rFonts w:hint="default" w:ascii="Times New Roman" w:hAnsi="Times New Roman" w:cs="Times New Roman"/>
          <w:color w:val="000000" w:themeColor="text1"/>
          <w:lang w:val="en-US" w:eastAsia="zh-CN"/>
          <w14:textFill>
            <w14:solidFill>
              <w14:schemeClr w14:val="tx1"/>
            </w14:solidFill>
          </w14:textFill>
        </w:rPr>
        <w:t>计算结果详见下表所示。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表 </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u w:val="none" w:color="auto"/>
          <w:lang w:eastAsia="zh-CN" w:bidi="ar"/>
          <w14:textFill>
            <w14:solidFill>
              <w14:schemeClr w14:val="tx1"/>
            </w14:solidFill>
          </w14:textFill>
        </w:rPr>
        <w:t>气体</w:t>
      </w:r>
      <w:r>
        <w:rPr>
          <w:rFonts w:hint="default" w:ascii="Times New Roman" w:hAnsi="Times New Roman" w:cs="Times New Roman"/>
          <w:b/>
          <w:bCs w:val="0"/>
          <w:color w:val="000000" w:themeColor="text1"/>
          <w:u w:val="none" w:color="auto"/>
          <w:lang w:bidi="ar"/>
          <w14:textFill>
            <w14:solidFill>
              <w14:schemeClr w14:val="tx1"/>
            </w14:solidFill>
          </w14:textFill>
        </w:rPr>
        <w:t>泄露速率计算表</w:t>
      </w:r>
    </w:p>
    <w:tbl>
      <w:tblPr>
        <w:tblStyle w:val="209"/>
        <w:tblW w:w="499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044"/>
        <w:gridCol w:w="960"/>
        <w:gridCol w:w="960"/>
        <w:gridCol w:w="1157"/>
        <w:gridCol w:w="1025"/>
        <w:gridCol w:w="1058"/>
        <w:gridCol w:w="949"/>
        <w:gridCol w:w="961"/>
        <w:gridCol w:w="96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96" w:type="pct"/>
            <w:tcBorders>
              <w:top w:val="single" w:color="000000" w:sz="12" w:space="0"/>
              <w:bottom w:val="single" w:color="000000" w:sz="6" w:space="0"/>
              <w:tl2br w:val="single" w:color="auto" w:sz="4" w:space="0"/>
            </w:tcBorders>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 xml:space="preserve"> 参数</w:t>
            </w:r>
          </w:p>
          <w:p>
            <w:pPr>
              <w:keepNext w:val="0"/>
              <w:keepLines w:val="0"/>
              <w:suppressLineNumbers w:val="0"/>
              <w:adjustRightInd w:val="0"/>
              <w:snapToGrid w:val="0"/>
              <w:spacing w:before="0" w:beforeAutospacing="0" w:after="0" w:afterAutospacing="0" w:line="240" w:lineRule="exact"/>
              <w:ind w:left="0" w:right="0"/>
              <w:jc w:val="left"/>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物质</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P</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Pa</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C</w:t>
            </w:r>
            <w:r>
              <w:rPr>
                <w:rFonts w:hint="default" w:ascii="Times New Roman" w:hAnsi="Times New Roman" w:eastAsia="宋体" w:cs="Times New Roman"/>
                <w:color w:val="000000" w:themeColor="text1"/>
                <w:sz w:val="21"/>
                <w:szCs w:val="21"/>
                <w:u w:val="none" w:color="auto"/>
                <w:vertAlign w:val="subscript"/>
                <w14:textFill>
                  <w14:solidFill>
                    <w14:schemeClr w14:val="tx1"/>
                  </w14:solidFill>
                </w14:textFill>
              </w:rPr>
              <w:t>d</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kg/mol</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R（mol˙K）</w:t>
            </w:r>
          </w:p>
        </w:tc>
        <w:tc>
          <w:tcPr>
            <w:tcW w:w="604"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T</w:t>
            </w:r>
            <w:r>
              <w:rPr>
                <w:rFonts w:hint="default" w:ascii="Times New Roman" w:hAnsi="Times New Roman" w:cs="Times New Roman"/>
                <w:color w:val="000000" w:themeColor="text1"/>
                <w:sz w:val="21"/>
                <w:szCs w:val="21"/>
                <w:u w:val="none" w:color="auto"/>
                <w:vertAlign w:val="subscript"/>
                <w:lang w:val="en-US" w:eastAsia="zh-CN"/>
                <w14:textFill>
                  <w14:solidFill>
                    <w14:schemeClr w14:val="tx1"/>
                  </w14:solidFill>
                </w14:textFill>
              </w:rPr>
              <w:t>G</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p>
        </w:tc>
        <w:tc>
          <w:tcPr>
            <w:tcW w:w="496"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A</w:t>
            </w:r>
            <w:r>
              <w:rPr>
                <w:rFonts w:hint="default" w:ascii="Times New Roman" w:hAnsi="Times New Roman" w:eastAsia="宋体" w:cs="Times New Roman"/>
                <w:color w:val="000000" w:themeColor="text1"/>
                <w:sz w:val="21"/>
                <w:szCs w:val="21"/>
                <w:u w:val="none" w:color="auto"/>
                <w14:textFill>
                  <w14:solidFill>
                    <w14:schemeClr w14:val="tx1"/>
                  </w14:solidFill>
                </w14:textFill>
              </w:rPr>
              <w:t>（m</w:t>
            </w:r>
            <w:r>
              <w:rPr>
                <w:rFonts w:hint="default" w:ascii="Times New Roman" w:hAnsi="Times New Roman" w:cs="Times New Roman"/>
                <w:color w:val="000000" w:themeColor="text1"/>
                <w:sz w:val="21"/>
                <w:szCs w:val="21"/>
                <w:u w:val="none" w:color="auto"/>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color="auto"/>
                <w14:textFill>
                  <w14:solidFill>
                    <w14:schemeClr w14:val="tx1"/>
                  </w14:solidFill>
                </w14:textFill>
              </w:rPr>
              <w:t>）</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Y</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Q</w:t>
            </w:r>
            <w:r>
              <w:rPr>
                <w:rFonts w:hint="default" w:ascii="Times New Roman" w:hAnsi="Times New Roman" w:cs="Times New Roman"/>
                <w:color w:val="000000" w:themeColor="text1"/>
                <w:vertAlign w:val="subscript"/>
                <w:lang w:val="en-US" w:eastAsia="zh-CN"/>
                <w14:textFill>
                  <w14:solidFill>
                    <w14:schemeClr w14:val="tx1"/>
                  </w14:solidFill>
                </w14:textFill>
              </w:rPr>
              <w:t>G</w:t>
            </w:r>
            <w:r>
              <w:rPr>
                <w:rFonts w:hint="default" w:ascii="Times New Roman" w:hAnsi="Times New Roman" w:eastAsia="宋体" w:cs="Times New Roman"/>
                <w:color w:val="000000" w:themeColor="text1"/>
                <w:sz w:val="21"/>
                <w:szCs w:val="21"/>
                <w:u w:val="none" w:color="auto"/>
                <w14:textFill>
                  <w14:solidFill>
                    <w14:schemeClr w14:val="tx1"/>
                  </w14:solidFill>
                </w14:textFill>
              </w:rPr>
              <w:t>（kg/s）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96" w:type="pct"/>
            <w:tcBorders>
              <w:top w:val="single" w:color="000000" w:sz="6" w:space="0"/>
            </w:tcBorders>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t>硫化氢</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400000</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eastAsia="zh-CN" w:bidi="ar"/>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1</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0.034</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101325</w:t>
            </w:r>
          </w:p>
        </w:tc>
        <w:tc>
          <w:tcPr>
            <w:tcW w:w="604"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t>870</w:t>
            </w:r>
          </w:p>
        </w:tc>
        <w:tc>
          <w:tcPr>
            <w:tcW w:w="496"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bidi="ar"/>
                <w14:textFill>
                  <w14:solidFill>
                    <w14:schemeClr w14:val="tx1"/>
                  </w14:solidFill>
                </w14:textFill>
              </w:rPr>
              <w:t>0.0000785</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1</w:t>
            </w:r>
          </w:p>
        </w:tc>
        <w:tc>
          <w:tcPr>
            <w:tcW w:w="55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2.53</w:t>
            </w:r>
          </w:p>
        </w:tc>
      </w:tr>
    </w:tbl>
    <w:p>
      <w:pPr>
        <w:pStyle w:val="5"/>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泄漏时间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国内化工企业的事故应急反应时间通过调查发现，目前国内化工企业事故反应时间一般在</w:t>
      </w:r>
      <w:r>
        <w:rPr>
          <w:rFonts w:hint="default" w:ascii="Times New Roman" w:hAnsi="Times New Roman" w:cs="Times New Roman"/>
          <w:color w:val="000000" w:themeColor="text1"/>
          <w:lang w:val="en-US" w:eastAsia="zh-CN"/>
          <w14:textFill>
            <w14:solidFill>
              <w14:schemeClr w14:val="tx1"/>
            </w14:solidFill>
          </w14:textFill>
        </w:rPr>
        <w:t>5~30min之间。最迟在3min内都能做出应急反应措施，包括切断通往事故源的物料管线，利用泵等进行事故源物料转移等。</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导则推荐的相关资料的应急反应时间参考胡二邦主编的《环境风险评价实用技术和方法》一书，有关化工企业事故泄漏案例中选用的化工企业事故泄漏反应时间也在30min内。</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 xml:space="preserve">国外化工企业的事故应急反应时间依据美国国家环保总署推荐的有关化工企业风险事故物料泄漏时间的规定，美国国家环保总署认为，化工企业泄漏时间一般要控制在 10min内，储罐内物料在参与风险事故，特别是爆炸事故时物料的量要控制在总量的10％以内。 </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综合考虑到事故发生时，预计项目发生事故时需要的应急反应时间要留有一定的余 量。本次评价装置泄漏时间均按30min计算。</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由此计算出泄漏量为：</w:t>
      </w:r>
    </w:p>
    <w:p>
      <w:pPr>
        <w:pStyle w:val="14"/>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default" w:ascii="Times New Roman" w:hAnsi="Times New Roman" w:eastAsia="宋体" w:cs="Times New Roman"/>
          <w:color w:val="000000" w:themeColor="text1"/>
          <w:u w:val="none" w:color="auto"/>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u w:val="none" w:color="auto"/>
          <w14:textFill>
            <w14:solidFill>
              <w14:schemeClr w14:val="tx1"/>
            </w14:solidFill>
          </w14:textFill>
        </w:rPr>
        <w:t>项目最大可信事故泄漏量</w:t>
      </w:r>
    </w:p>
    <w:tbl>
      <w:tblPr>
        <w:tblStyle w:val="209"/>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94"/>
        <w:gridCol w:w="1753"/>
        <w:gridCol w:w="1753"/>
        <w:gridCol w:w="1753"/>
        <w:gridCol w:w="192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97" w:hRule="atLeast"/>
        </w:trPr>
        <w:tc>
          <w:tcPr>
            <w:tcW w:w="1043" w:type="pct"/>
            <w:tcBorders>
              <w:top w:val="single" w:color="000000" w:sz="12" w:space="0"/>
              <w:bottom w:val="single" w:color="000000" w:sz="6" w:space="0"/>
              <w:tl2br w:val="single" w:color="auto" w:sz="4"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right"/>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 xml:space="preserve">   参数</w:t>
            </w:r>
          </w:p>
          <w:p>
            <w:pPr>
              <w:keepNext w:val="0"/>
              <w:keepLines w:val="0"/>
              <w:suppressLineNumbers w:val="0"/>
              <w:adjustRightInd w:val="0"/>
              <w:snapToGrid w:val="0"/>
              <w:spacing w:before="0" w:beforeAutospacing="0" w:after="0" w:afterAutospacing="0" w:line="240" w:lineRule="exact"/>
              <w:ind w:left="0" w:right="0"/>
              <w:jc w:val="left"/>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物质</w:t>
            </w:r>
          </w:p>
        </w:tc>
        <w:tc>
          <w:tcPr>
            <w:tcW w:w="965"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泄露速率（kg/s）</w:t>
            </w:r>
          </w:p>
        </w:tc>
        <w:tc>
          <w:tcPr>
            <w:tcW w:w="965"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泄露时间（s）</w:t>
            </w:r>
          </w:p>
        </w:tc>
        <w:tc>
          <w:tcPr>
            <w:tcW w:w="965"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理论泄漏量(kg)</w:t>
            </w:r>
          </w:p>
        </w:tc>
        <w:tc>
          <w:tcPr>
            <w:tcW w:w="1060"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实际泄漏量(kg)</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894" w:type="dxa"/>
            <w:tcBorders>
              <w:top w:val="single" w:color="000000" w:sz="6" w:space="0"/>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t>（烷基苯料）航煤组分油</w:t>
            </w:r>
          </w:p>
        </w:tc>
        <w:tc>
          <w:tcPr>
            <w:tcW w:w="1753" w:type="dxa"/>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5.45</w:t>
            </w:r>
          </w:p>
        </w:tc>
        <w:tc>
          <w:tcPr>
            <w:tcW w:w="965"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1800</w:t>
            </w:r>
          </w:p>
        </w:tc>
        <w:tc>
          <w:tcPr>
            <w:tcW w:w="965"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9810</w:t>
            </w:r>
          </w:p>
        </w:tc>
        <w:tc>
          <w:tcPr>
            <w:tcW w:w="1925" w:type="dxa"/>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9810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894" w:type="dxa"/>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lang w:val="en-US" w:eastAsia="zh-CN"/>
                <w14:textFill>
                  <w14:solidFill>
                    <w14:schemeClr w14:val="tx1"/>
                  </w14:solidFill>
                </w14:textFill>
              </w:rPr>
              <w:t>GPS-200</w:t>
            </w:r>
            <w:r>
              <w:rPr>
                <w:rFonts w:hint="default" w:ascii="Times New Roman" w:hAnsi="Times New Roman" w:eastAsia="宋体" w:cs="Times New Roman"/>
                <w:b w:val="0"/>
                <w:bCs/>
                <w:color w:val="000000" w:themeColor="text1"/>
                <w:sz w:val="21"/>
                <w14:textFill>
                  <w14:solidFill>
                    <w14:schemeClr w14:val="tx1"/>
                  </w14:solidFill>
                </w14:textFill>
              </w:rPr>
              <w:t>溶剂油</w:t>
            </w:r>
          </w:p>
        </w:tc>
        <w:tc>
          <w:tcPr>
            <w:tcW w:w="1753" w:type="dxa"/>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4.36</w:t>
            </w:r>
          </w:p>
        </w:tc>
        <w:tc>
          <w:tcPr>
            <w:tcW w:w="965"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1800</w:t>
            </w:r>
          </w:p>
        </w:tc>
        <w:tc>
          <w:tcPr>
            <w:tcW w:w="965"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7848</w:t>
            </w:r>
          </w:p>
        </w:tc>
        <w:tc>
          <w:tcPr>
            <w:tcW w:w="1925" w:type="dxa"/>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7848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4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none" w:color="auto"/>
                <w:lang w:val="en-US" w:eastAsia="zh-CN" w:bidi="ar"/>
                <w14:textFill>
                  <w14:solidFill>
                    <w14:schemeClr w14:val="tx1"/>
                  </w14:solidFill>
                </w14:textFill>
              </w:rPr>
              <w:t>硫化氢</w:t>
            </w:r>
          </w:p>
        </w:tc>
        <w:tc>
          <w:tcPr>
            <w:tcW w:w="965"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2.53</w:t>
            </w:r>
          </w:p>
        </w:tc>
        <w:tc>
          <w:tcPr>
            <w:tcW w:w="965"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1800</w:t>
            </w:r>
          </w:p>
        </w:tc>
        <w:tc>
          <w:tcPr>
            <w:tcW w:w="965"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4554</w:t>
            </w:r>
          </w:p>
        </w:tc>
        <w:tc>
          <w:tcPr>
            <w:tcW w:w="1925" w:type="dxa"/>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4554</w:t>
            </w:r>
          </w:p>
        </w:tc>
      </w:tr>
    </w:tbl>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风险源强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u w:val="none" w:color="auto"/>
          <w:lang w:val="en-US" w:eastAsia="zh-CN"/>
          <w14:textFill>
            <w14:solidFill>
              <w14:schemeClr w14:val="tx1"/>
            </w14:solidFill>
          </w14:textFill>
        </w:rPr>
      </w:pPr>
      <w:r>
        <w:rPr>
          <w:rFonts w:hint="eastAsia" w:cs="Times New Roman"/>
          <w:color w:val="000000" w:themeColor="text1"/>
          <w:u w:val="none" w:color="auto"/>
          <w:lang w:eastAsia="zh-CN"/>
          <w14:textFill>
            <w14:solidFill>
              <w14:schemeClr w14:val="tx1"/>
            </w14:solidFill>
          </w14:textFill>
        </w:rPr>
        <w:t>假定泄露发生后，在</w:t>
      </w:r>
      <w:r>
        <w:rPr>
          <w:rFonts w:hint="eastAsia" w:cs="Times New Roman"/>
          <w:color w:val="000000" w:themeColor="text1"/>
          <w:u w:val="none" w:color="auto"/>
          <w:lang w:val="en-US" w:eastAsia="zh-CN"/>
          <w14:textFill>
            <w14:solidFill>
              <w14:schemeClr w14:val="tx1"/>
            </w14:solidFill>
          </w14:textFill>
        </w:rPr>
        <w:t>30分钟得到控制，泄露时间为1800秒，则风险源强如下表所示。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eastAsia" w:cs="Times New Roman"/>
          <w:b/>
          <w:bCs w:val="0"/>
          <w:color w:val="000000" w:themeColor="text1"/>
          <w:u w:val="none" w:color="auto"/>
          <w:lang w:eastAsia="zh-CN"/>
          <w14:textFill>
            <w14:solidFill>
              <w14:schemeClr w14:val="tx1"/>
            </w14:solidFill>
          </w14:textFill>
        </w:rPr>
        <w:t>项目风险源强一栏表</w:t>
      </w:r>
    </w:p>
    <w:tbl>
      <w:tblPr>
        <w:tblStyle w:val="4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77"/>
        <w:gridCol w:w="1343"/>
        <w:gridCol w:w="699"/>
        <w:gridCol w:w="1563"/>
        <w:gridCol w:w="985"/>
        <w:gridCol w:w="960"/>
        <w:gridCol w:w="960"/>
        <w:gridCol w:w="1000"/>
        <w:gridCol w:w="9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319"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序</w:t>
            </w:r>
          </w:p>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号</w:t>
            </w:r>
          </w:p>
        </w:tc>
        <w:tc>
          <w:tcPr>
            <w:tcW w:w="74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风险事故情形描述</w:t>
            </w:r>
          </w:p>
        </w:tc>
        <w:tc>
          <w:tcPr>
            <w:tcW w:w="38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危险</w:t>
            </w:r>
          </w:p>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单元</w:t>
            </w:r>
          </w:p>
        </w:tc>
        <w:tc>
          <w:tcPr>
            <w:tcW w:w="863"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危险</w:t>
            </w:r>
          </w:p>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物质</w:t>
            </w:r>
          </w:p>
        </w:tc>
        <w:tc>
          <w:tcPr>
            <w:tcW w:w="54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影响</w:t>
            </w:r>
          </w:p>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途径</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泄漏量/kg</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释放速率/(kg/s)</w:t>
            </w:r>
          </w:p>
        </w:tc>
        <w:tc>
          <w:tcPr>
            <w:tcW w:w="5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释放时间/min</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释放量/kg</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19"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1</w:t>
            </w:r>
          </w:p>
        </w:tc>
        <w:tc>
          <w:tcPr>
            <w:tcW w:w="74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危险化学品泄露</w:t>
            </w:r>
          </w:p>
        </w:tc>
        <w:tc>
          <w:tcPr>
            <w:tcW w:w="38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rFonts w:hint="eastAsia"/>
                <w:color w:val="000000" w:themeColor="text1"/>
                <w:kern w:val="0"/>
                <w:sz w:val="21"/>
                <w:lang w:bidi="ar"/>
                <w14:textFill>
                  <w14:solidFill>
                    <w14:schemeClr w14:val="tx1"/>
                  </w14:solidFill>
                </w14:textFill>
              </w:rPr>
              <w:t>装置区</w:t>
            </w:r>
          </w:p>
        </w:tc>
        <w:tc>
          <w:tcPr>
            <w:tcW w:w="863" w:type="pct"/>
            <w:tcBorders>
              <w:tl2br w:val="nil"/>
              <w:tr2bl w:val="nil"/>
            </w:tcBorders>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right="0"/>
              <w:jc w:val="center"/>
              <w:rPr>
                <w:color w:val="000000" w:themeColor="text1"/>
                <w:sz w:val="21"/>
                <w14:textFill>
                  <w14:solidFill>
                    <w14:schemeClr w14:val="tx1"/>
                  </w14:solidFill>
                </w14:textFill>
              </w:rPr>
            </w:pPr>
            <w:r>
              <w:rPr>
                <w:rFonts w:hint="eastAsia"/>
                <w:color w:val="000000" w:themeColor="text1"/>
                <w:sz w:val="21"/>
                <w:lang w:bidi="ar"/>
                <w14:textFill>
                  <w14:solidFill>
                    <w14:schemeClr w14:val="tx1"/>
                  </w14:solidFill>
                </w14:textFill>
              </w:rPr>
              <w:t>硫化氢</w:t>
            </w:r>
          </w:p>
        </w:tc>
        <w:tc>
          <w:tcPr>
            <w:tcW w:w="54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大气</w:t>
            </w:r>
          </w:p>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扩散</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4554</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2.53</w:t>
            </w:r>
          </w:p>
        </w:tc>
        <w:tc>
          <w:tcPr>
            <w:tcW w:w="5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30</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4554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19"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themeColor="text1"/>
                <w:kern w:val="0"/>
                <w:sz w:val="21"/>
                <w:lang w:val="en-US" w:eastAsia="zh-CN" w:bidi="ar"/>
                <w14:textFill>
                  <w14:solidFill>
                    <w14:schemeClr w14:val="tx1"/>
                  </w14:solidFill>
                </w14:textFill>
              </w:rPr>
            </w:pPr>
            <w:r>
              <w:rPr>
                <w:rFonts w:hint="eastAsia"/>
                <w:color w:val="000000" w:themeColor="text1"/>
                <w:kern w:val="0"/>
                <w:sz w:val="21"/>
                <w:lang w:val="en-US" w:eastAsia="zh-CN" w:bidi="ar"/>
                <w14:textFill>
                  <w14:solidFill>
                    <w14:schemeClr w14:val="tx1"/>
                  </w14:solidFill>
                </w14:textFill>
              </w:rPr>
              <w:t>2</w:t>
            </w:r>
          </w:p>
        </w:tc>
        <w:tc>
          <w:tcPr>
            <w:tcW w:w="74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危险化学品泄露</w:t>
            </w:r>
          </w:p>
        </w:tc>
        <w:tc>
          <w:tcPr>
            <w:tcW w:w="38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themeColor="text1"/>
                <w:kern w:val="0"/>
                <w:sz w:val="21"/>
                <w:lang w:eastAsia="zh-CN" w:bidi="ar"/>
                <w14:textFill>
                  <w14:solidFill>
                    <w14:schemeClr w14:val="tx1"/>
                  </w14:solidFill>
                </w14:textFill>
              </w:rPr>
            </w:pPr>
            <w:r>
              <w:rPr>
                <w:rFonts w:hint="eastAsia"/>
                <w:color w:val="000000" w:themeColor="text1"/>
                <w:kern w:val="0"/>
                <w:sz w:val="21"/>
                <w:lang w:eastAsia="zh-CN" w:bidi="ar"/>
                <w14:textFill>
                  <w14:solidFill>
                    <w14:schemeClr w14:val="tx1"/>
                  </w14:solidFill>
                </w14:textFill>
              </w:rPr>
              <w:t>装置区</w:t>
            </w:r>
          </w:p>
        </w:tc>
        <w:tc>
          <w:tcPr>
            <w:tcW w:w="863" w:type="pct"/>
            <w:tcBorders>
              <w:tl2br w:val="nil"/>
              <w:tr2bl w:val="nil"/>
            </w:tcBorders>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t>（烷基苯料）航煤组分油</w:t>
            </w:r>
          </w:p>
        </w:tc>
        <w:tc>
          <w:tcPr>
            <w:tcW w:w="54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000000" w:themeColor="text1"/>
                <w:kern w:val="0"/>
                <w:sz w:val="21"/>
                <w:lang w:eastAsia="zh-CN" w:bidi="ar"/>
                <w14:textFill>
                  <w14:solidFill>
                    <w14:schemeClr w14:val="tx1"/>
                  </w14:solidFill>
                </w14:textFill>
              </w:rPr>
            </w:pPr>
            <w:r>
              <w:rPr>
                <w:rFonts w:hint="eastAsia"/>
                <w:color w:val="000000" w:themeColor="text1"/>
                <w:kern w:val="0"/>
                <w:sz w:val="21"/>
                <w:lang w:eastAsia="zh-CN" w:bidi="ar"/>
                <w14:textFill>
                  <w14:solidFill>
                    <w14:schemeClr w14:val="tx1"/>
                  </w14:solidFill>
                </w14:textFill>
              </w:rPr>
              <w:t>液体泄露</w:t>
            </w:r>
          </w:p>
        </w:tc>
        <w:tc>
          <w:tcPr>
            <w:tcW w:w="530" w:type="pct"/>
            <w:tcBorders>
              <w:tl2br w:val="nil"/>
              <w:tr2bl w:val="nil"/>
            </w:tcBorders>
            <w:tcMar>
              <w:top w:w="15" w:type="dxa"/>
              <w:left w:w="15" w:type="dxa"/>
              <w:right w:w="15"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textAlignment w:val="center"/>
              <w:rPr>
                <w:color w:val="000000" w:themeColor="text1"/>
                <w:kern w:val="0"/>
                <w:sz w:val="21"/>
                <w:lang w:bidi="ar"/>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9810</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kern w:val="0"/>
                <w:sz w:val="21"/>
                <w:lang w:val="en-US" w:eastAsia="zh-CN" w:bidi="ar"/>
                <w14:textFill>
                  <w14:solidFill>
                    <w14:schemeClr w14:val="tx1"/>
                  </w14:solidFill>
                </w14:textFill>
              </w:rPr>
            </w:pPr>
            <w:r>
              <w:rPr>
                <w:rFonts w:hint="eastAsia"/>
                <w:color w:val="000000" w:themeColor="text1"/>
                <w:kern w:val="0"/>
                <w:sz w:val="21"/>
                <w:lang w:val="en-US" w:eastAsia="zh-CN" w:bidi="ar"/>
                <w14:textFill>
                  <w14:solidFill>
                    <w14:schemeClr w14:val="tx1"/>
                  </w14:solidFill>
                </w14:textFill>
              </w:rPr>
              <w:t>5.45</w:t>
            </w:r>
          </w:p>
        </w:tc>
        <w:tc>
          <w:tcPr>
            <w:tcW w:w="5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30</w:t>
            </w:r>
          </w:p>
        </w:tc>
        <w:tc>
          <w:tcPr>
            <w:tcW w:w="530" w:type="pct"/>
            <w:tcBorders>
              <w:tl2br w:val="nil"/>
              <w:tr2bl w:val="nil"/>
            </w:tcBorders>
            <w:tcMar>
              <w:top w:w="15" w:type="dxa"/>
              <w:left w:w="15" w:type="dxa"/>
              <w:right w:w="15"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textAlignment w:val="center"/>
              <w:rPr>
                <w:color w:val="000000" w:themeColor="text1"/>
                <w:kern w:val="0"/>
                <w:sz w:val="21"/>
                <w:lang w:bidi="ar"/>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9810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319"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color w:val="000000" w:themeColor="text1"/>
                <w:kern w:val="0"/>
                <w:sz w:val="21"/>
                <w:lang w:val="en-US" w:eastAsia="zh-CN" w:bidi="ar"/>
                <w14:textFill>
                  <w14:solidFill>
                    <w14:schemeClr w14:val="tx1"/>
                  </w14:solidFill>
                </w14:textFill>
              </w:rPr>
            </w:pPr>
            <w:r>
              <w:rPr>
                <w:rFonts w:hint="eastAsia"/>
                <w:color w:val="000000" w:themeColor="text1"/>
                <w:kern w:val="0"/>
                <w:sz w:val="21"/>
                <w:lang w:val="en-US" w:eastAsia="zh-CN" w:bidi="ar"/>
                <w14:textFill>
                  <w14:solidFill>
                    <w14:schemeClr w14:val="tx1"/>
                  </w14:solidFill>
                </w14:textFill>
              </w:rPr>
              <w:t>3</w:t>
            </w:r>
          </w:p>
        </w:tc>
        <w:tc>
          <w:tcPr>
            <w:tcW w:w="74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危险化学品泄露</w:t>
            </w:r>
          </w:p>
        </w:tc>
        <w:tc>
          <w:tcPr>
            <w:tcW w:w="38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000000" w:themeColor="text1"/>
                <w:kern w:val="0"/>
                <w:sz w:val="21"/>
                <w:lang w:eastAsia="zh-CN" w:bidi="ar"/>
                <w14:textFill>
                  <w14:solidFill>
                    <w14:schemeClr w14:val="tx1"/>
                  </w14:solidFill>
                </w14:textFill>
              </w:rPr>
            </w:pPr>
            <w:r>
              <w:rPr>
                <w:rFonts w:hint="eastAsia"/>
                <w:color w:val="000000" w:themeColor="text1"/>
                <w:kern w:val="0"/>
                <w:sz w:val="21"/>
                <w:lang w:eastAsia="zh-CN" w:bidi="ar"/>
                <w14:textFill>
                  <w14:solidFill>
                    <w14:schemeClr w14:val="tx1"/>
                  </w14:solidFill>
                </w14:textFill>
              </w:rPr>
              <w:t>装置区</w:t>
            </w:r>
          </w:p>
        </w:tc>
        <w:tc>
          <w:tcPr>
            <w:tcW w:w="863" w:type="pct"/>
            <w:tcBorders>
              <w:tl2br w:val="nil"/>
              <w:tr2bl w:val="nil"/>
            </w:tcBorders>
            <w:tcMar>
              <w:top w:w="15" w:type="dxa"/>
              <w:left w:w="15" w:type="dxa"/>
              <w:right w:w="15"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lang w:val="en-US" w:eastAsia="zh-CN"/>
                <w14:textFill>
                  <w14:solidFill>
                    <w14:schemeClr w14:val="tx1"/>
                  </w14:solidFill>
                </w14:textFill>
              </w:rPr>
              <w:t>GPS-200</w:t>
            </w:r>
            <w:r>
              <w:rPr>
                <w:rFonts w:hint="default" w:ascii="Times New Roman" w:hAnsi="Times New Roman" w:eastAsia="宋体" w:cs="Times New Roman"/>
                <w:b w:val="0"/>
                <w:bCs/>
                <w:color w:val="000000" w:themeColor="text1"/>
                <w:sz w:val="21"/>
                <w14:textFill>
                  <w14:solidFill>
                    <w14:schemeClr w14:val="tx1"/>
                  </w14:solidFill>
                </w14:textFill>
              </w:rPr>
              <w:t>溶剂油</w:t>
            </w:r>
          </w:p>
        </w:tc>
        <w:tc>
          <w:tcPr>
            <w:tcW w:w="54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color w:val="000000" w:themeColor="text1"/>
                <w:kern w:val="0"/>
                <w:sz w:val="21"/>
                <w:lang w:eastAsia="zh-CN" w:bidi="ar"/>
                <w14:textFill>
                  <w14:solidFill>
                    <w14:schemeClr w14:val="tx1"/>
                  </w14:solidFill>
                </w14:textFill>
              </w:rPr>
            </w:pPr>
            <w:r>
              <w:rPr>
                <w:rFonts w:hint="eastAsia"/>
                <w:color w:val="000000" w:themeColor="text1"/>
                <w:kern w:val="0"/>
                <w:sz w:val="21"/>
                <w:lang w:eastAsia="zh-CN" w:bidi="ar"/>
                <w14:textFill>
                  <w14:solidFill>
                    <w14:schemeClr w14:val="tx1"/>
                  </w14:solidFill>
                </w14:textFill>
              </w:rPr>
              <w:t>液体泄露</w:t>
            </w:r>
          </w:p>
        </w:tc>
        <w:tc>
          <w:tcPr>
            <w:tcW w:w="530" w:type="pct"/>
            <w:tcBorders>
              <w:tl2br w:val="nil"/>
              <w:tr2bl w:val="nil"/>
            </w:tcBorders>
            <w:tcMar>
              <w:top w:w="15" w:type="dxa"/>
              <w:left w:w="15" w:type="dxa"/>
              <w:right w:w="15"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textAlignment w:val="center"/>
              <w:rPr>
                <w:color w:val="000000" w:themeColor="text1"/>
                <w:kern w:val="0"/>
                <w:sz w:val="21"/>
                <w:lang w:bidi="ar"/>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7848</w:t>
            </w:r>
          </w:p>
        </w:tc>
        <w:tc>
          <w:tcPr>
            <w:tcW w:w="53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kern w:val="0"/>
                <w:sz w:val="21"/>
                <w:lang w:val="en-US" w:eastAsia="zh-CN" w:bidi="ar"/>
                <w14:textFill>
                  <w14:solidFill>
                    <w14:schemeClr w14:val="tx1"/>
                  </w14:solidFill>
                </w14:textFill>
              </w:rPr>
            </w:pPr>
            <w:r>
              <w:rPr>
                <w:rFonts w:hint="eastAsia"/>
                <w:color w:val="000000" w:themeColor="text1"/>
                <w:kern w:val="0"/>
                <w:sz w:val="21"/>
                <w:lang w:val="en-US" w:eastAsia="zh-CN" w:bidi="ar"/>
                <w14:textFill>
                  <w14:solidFill>
                    <w14:schemeClr w14:val="tx1"/>
                  </w14:solidFill>
                </w14:textFill>
              </w:rPr>
              <w:t>4.36</w:t>
            </w:r>
          </w:p>
        </w:tc>
        <w:tc>
          <w:tcPr>
            <w:tcW w:w="5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kern w:val="0"/>
                <w:sz w:val="21"/>
                <w:lang w:val="en-US" w:eastAsia="zh-CN" w:bidi="ar"/>
                <w14:textFill>
                  <w14:solidFill>
                    <w14:schemeClr w14:val="tx1"/>
                  </w14:solidFill>
                </w14:textFill>
              </w:rPr>
            </w:pPr>
            <w:r>
              <w:rPr>
                <w:rFonts w:hint="eastAsia"/>
                <w:color w:val="000000" w:themeColor="text1"/>
                <w:kern w:val="0"/>
                <w:sz w:val="21"/>
                <w:lang w:val="en-US" w:eastAsia="zh-CN" w:bidi="ar"/>
                <w14:textFill>
                  <w14:solidFill>
                    <w14:schemeClr w14:val="tx1"/>
                  </w14:solidFill>
                </w14:textFill>
              </w:rPr>
              <w:t>30</w:t>
            </w:r>
          </w:p>
        </w:tc>
        <w:tc>
          <w:tcPr>
            <w:tcW w:w="530" w:type="pct"/>
            <w:tcBorders>
              <w:tl2br w:val="nil"/>
              <w:tr2bl w:val="nil"/>
            </w:tcBorders>
            <w:tcMar>
              <w:top w:w="15" w:type="dxa"/>
              <w:left w:w="15" w:type="dxa"/>
              <w:right w:w="15" w:type="dxa"/>
            </w:tcMar>
            <w:vAlign w:val="center"/>
          </w:tcPr>
          <w:p>
            <w:pPr>
              <w:keepNext w:val="0"/>
              <w:keepLines w:val="0"/>
              <w:widowControl/>
              <w:suppressLineNumbers w:val="0"/>
              <w:adjustRightInd w:val="0"/>
              <w:snapToGrid w:val="0"/>
              <w:spacing w:before="0" w:beforeAutospacing="0" w:after="0" w:afterAutospacing="0" w:line="240" w:lineRule="auto"/>
              <w:ind w:left="0" w:leftChars="0" w:right="0" w:rightChars="0"/>
              <w:jc w:val="center"/>
              <w:textAlignment w:val="center"/>
              <w:rPr>
                <w:color w:val="000000" w:themeColor="text1"/>
                <w:kern w:val="0"/>
                <w:sz w:val="21"/>
                <w:lang w:bidi="ar"/>
                <w14:textFill>
                  <w14:solidFill>
                    <w14:schemeClr w14:val="tx1"/>
                  </w14:solidFill>
                </w14:textFill>
              </w:rPr>
            </w:pPr>
            <w:r>
              <w:rPr>
                <w:rFonts w:hint="default" w:ascii="Times New Roman" w:hAnsi="Times New Roman" w:cs="Times New Roman"/>
                <w:i w:val="0"/>
                <w:color w:val="000000" w:themeColor="text1"/>
                <w:kern w:val="2"/>
                <w:sz w:val="21"/>
                <w:szCs w:val="21"/>
                <w:u w:val="none" w:color="auto"/>
                <w:lang w:val="en-US" w:eastAsia="zh-CN" w:bidi="ar-SA"/>
                <w14:textFill>
                  <w14:solidFill>
                    <w14:schemeClr w14:val="tx1"/>
                  </w14:solidFill>
                </w14:textFill>
              </w:rPr>
              <w:t>7848</w:t>
            </w:r>
          </w:p>
        </w:tc>
      </w:tr>
    </w:tbl>
    <w:p>
      <w:pPr>
        <w:pStyle w:val="5"/>
        <w:bidi w:val="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火灾/伴生次生污染物产生量计算</w:t>
      </w:r>
    </w:p>
    <w:p>
      <w:pPr>
        <w:pStyle w:val="132"/>
        <w:ind w:firstLine="480"/>
        <w:rPr>
          <w:rFonts w:hint="default" w:ascii="Times New Roman" w:hAnsi="Times New Roman" w:eastAsia="宋体"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（1）一氧化碳产生量</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为便于计算，假定</w:t>
      </w:r>
      <w:r>
        <w:rPr>
          <w:rFonts w:hint="default" w:ascii="Times New Roman" w:hAnsi="Times New Roman" w:cs="Times New Roman"/>
          <w:color w:val="000000" w:themeColor="text1"/>
          <w:u w:val="none" w:color="auto"/>
          <w:lang w:eastAsia="zh-CN"/>
          <w14:textFill>
            <w14:solidFill>
              <w14:schemeClr w14:val="tx1"/>
            </w14:solidFill>
          </w14:textFill>
        </w:rPr>
        <w:t>加氢装置管道</w:t>
      </w:r>
      <w:r>
        <w:rPr>
          <w:rFonts w:hint="default" w:ascii="Times New Roman" w:hAnsi="Times New Roman" w:cs="Times New Roman"/>
          <w:color w:val="000000" w:themeColor="text1"/>
          <w:u w:val="none" w:color="auto"/>
          <w14:textFill>
            <w14:solidFill>
              <w14:schemeClr w14:val="tx1"/>
            </w14:solidFill>
          </w14:textFill>
        </w:rPr>
        <w:t>破裂，遇火源发生火灾</w:t>
      </w:r>
      <w:r>
        <w:rPr>
          <w:rFonts w:hint="default" w:ascii="Times New Roman" w:hAnsi="Times New Roman" w:cs="Times New Roman"/>
          <w:color w:val="000000" w:themeColor="text1"/>
          <w:u w:val="none" w:color="auto"/>
          <w:lang w:eastAsia="zh-CN"/>
          <w14:textFill>
            <w14:solidFill>
              <w14:schemeClr w14:val="tx1"/>
            </w14:solidFill>
          </w14:textFill>
        </w:rPr>
        <w:t>，假设泄漏的物料全部燃烧</w:t>
      </w:r>
      <w:r>
        <w:rPr>
          <w:rFonts w:hint="default" w:ascii="Times New Roman" w:hAnsi="Times New Roman" w:cs="Times New Roman"/>
          <w:color w:val="000000" w:themeColor="text1"/>
          <w:u w:val="none" w:color="auto"/>
          <w14:textFill>
            <w14:solidFill>
              <w14:schemeClr w14:val="tx1"/>
            </w14:solidFill>
          </w14:textFill>
        </w:rPr>
        <w:t>。根据</w:t>
      </w:r>
      <w:r>
        <w:rPr>
          <w:rFonts w:hint="default" w:ascii="Times New Roman" w:hAnsi="Times New Roman" w:eastAsia="TimesNewRoman" w:cs="Times New Roman"/>
          <w:color w:val="000000" w:themeColor="text1"/>
          <w:u w:val="none" w:color="auto"/>
          <w14:textFill>
            <w14:solidFill>
              <w14:schemeClr w14:val="tx1"/>
            </w14:solidFill>
          </w14:textFill>
        </w:rPr>
        <w:t>HJ169-2018</w:t>
      </w:r>
      <w:r>
        <w:rPr>
          <w:rFonts w:hint="default" w:ascii="Times New Roman" w:hAnsi="Times New Roman" w:cs="Times New Roman"/>
          <w:color w:val="000000" w:themeColor="text1"/>
          <w:u w:val="none" w:color="auto"/>
          <w14:textFill>
            <w14:solidFill>
              <w14:schemeClr w14:val="tx1"/>
            </w14:solidFill>
          </w14:textFill>
        </w:rPr>
        <w:t>，采用</w:t>
      </w:r>
      <w:r>
        <w:rPr>
          <w:rFonts w:hint="default" w:ascii="Times New Roman" w:hAnsi="Times New Roman" w:cs="Times New Roman"/>
          <w:color w:val="000000" w:themeColor="text1"/>
          <w:u w:val="none" w:color="auto"/>
          <w:lang w:eastAsia="zh-CN"/>
          <w14:textFill>
            <w14:solidFill>
              <w14:schemeClr w14:val="tx1"/>
            </w14:solidFill>
          </w14:textFill>
        </w:rPr>
        <w:t>油品</w:t>
      </w:r>
      <w:r>
        <w:rPr>
          <w:rFonts w:hint="default" w:ascii="Times New Roman" w:hAnsi="Times New Roman" w:cs="Times New Roman"/>
          <w:color w:val="000000" w:themeColor="text1"/>
          <w:u w:val="none" w:color="auto"/>
          <w14:textFill>
            <w14:solidFill>
              <w14:schemeClr w14:val="tx1"/>
            </w14:solidFill>
          </w14:textFill>
        </w:rPr>
        <w:t>火灾伴生</w:t>
      </w:r>
      <w:r>
        <w:rPr>
          <w:rFonts w:hint="default" w:ascii="Times New Roman" w:hAnsi="Times New Roman" w:eastAsia="TimesNewRoman" w:cs="Times New Roman"/>
          <w:color w:val="000000" w:themeColor="text1"/>
          <w:u w:val="none" w:color="auto"/>
          <w14:textFill>
            <w14:solidFill>
              <w14:schemeClr w14:val="tx1"/>
            </w14:solidFill>
          </w14:textFill>
        </w:rPr>
        <w:t>/</w:t>
      </w:r>
      <w:r>
        <w:rPr>
          <w:rFonts w:hint="default" w:ascii="Times New Roman" w:hAnsi="Times New Roman" w:cs="Times New Roman"/>
          <w:color w:val="000000" w:themeColor="text1"/>
          <w:u w:val="none" w:color="auto"/>
          <w14:textFill>
            <w14:solidFill>
              <w14:schemeClr w14:val="tx1"/>
            </w14:solidFill>
          </w14:textFill>
        </w:rPr>
        <w:t>次生一氧化碳计算公式，公式如下：</w:t>
      </w:r>
    </w:p>
    <w:p>
      <w:pPr>
        <w:pStyle w:val="132"/>
        <w:ind w:firstLine="0" w:firstLineChars="0"/>
        <w:jc w:val="center"/>
        <w:rPr>
          <w:rFonts w:hint="default" w:ascii="Times New Roman" w:hAnsi="Times New Roman" w:cs="Times New Roman"/>
          <w:color w:val="000000" w:themeColor="text1"/>
          <w:u w:val="none" w:color="auto"/>
          <w14:textFill>
            <w14:solidFill>
              <w14:schemeClr w14:val="tx1"/>
            </w14:solidFill>
          </w14:textFill>
        </w:rPr>
      </w:pPr>
      <m:oMathPara>
        <m:oMath>
          <m:sSub>
            <m:sSubPr>
              <m:ctrlPr>
                <w:rPr>
                  <w:rFonts w:hint="default" w:ascii="Cambria Math" w:hAnsi="Cambria Math" w:cs="Times New Roman"/>
                  <w:i/>
                  <w:color w:val="000000" w:themeColor="text1"/>
                  <w:u w:val="none" w:color="auto"/>
                  <w14:textFill>
                    <w14:solidFill>
                      <w14:schemeClr w14:val="tx1"/>
                    </w14:solidFill>
                  </w14:textFill>
                </w:rPr>
              </m:ctrlPr>
            </m:sSubPr>
            <m:e>
              <m:r>
                <w:rPr>
                  <w:rFonts w:hint="default" w:ascii="Cambria Math" w:hAnsi="Cambria Math" w:cs="Times New Roman"/>
                  <w:color w:val="000000" w:themeColor="text1"/>
                  <w:u w:val="none" w:color="auto"/>
                  <w14:textFill>
                    <w14:solidFill>
                      <w14:schemeClr w14:val="tx1"/>
                    </w14:solidFill>
                  </w14:textFill>
                </w:rPr>
                <m:t>G</m:t>
              </m:r>
              <m:ctrlPr>
                <w:rPr>
                  <w:rFonts w:hint="default" w:ascii="Cambria Math" w:hAnsi="Cambria Math" w:cs="Times New Roman"/>
                  <w:i/>
                  <w:color w:val="000000" w:themeColor="text1"/>
                  <w:u w:val="none" w:color="auto"/>
                  <w14:textFill>
                    <w14:solidFill>
                      <w14:schemeClr w14:val="tx1"/>
                    </w14:solidFill>
                  </w14:textFill>
                </w:rPr>
              </m:ctrlPr>
            </m:e>
            <m:sub>
              <m:r>
                <w:rPr>
                  <w:rFonts w:hint="default" w:ascii="Cambria Math" w:hAnsi="Cambria Math" w:cs="Times New Roman"/>
                  <w:color w:val="000000" w:themeColor="text1"/>
                  <w:u w:val="none" w:color="auto"/>
                  <w14:textFill>
                    <w14:solidFill>
                      <w14:schemeClr w14:val="tx1"/>
                    </w14:solidFill>
                  </w14:textFill>
                </w:rPr>
                <m:t>一氧化碳</m:t>
              </m:r>
              <m:ctrlPr>
                <w:rPr>
                  <w:rFonts w:hint="default" w:ascii="Cambria Math" w:hAnsi="Cambria Math" w:cs="Times New Roman"/>
                  <w:i/>
                  <w:color w:val="000000" w:themeColor="text1"/>
                  <w:u w:val="none" w:color="auto"/>
                  <w14:textFill>
                    <w14:solidFill>
                      <w14:schemeClr w14:val="tx1"/>
                    </w14:solidFill>
                  </w14:textFill>
                </w:rPr>
              </m:ctrlPr>
            </m:sub>
          </m:sSub>
          <m:r>
            <w:rPr>
              <w:rFonts w:hint="default" w:ascii="Cambria Math" w:hAnsi="Cambria Math" w:cs="Times New Roman"/>
              <w:color w:val="000000" w:themeColor="text1"/>
              <w:u w:val="none" w:color="auto"/>
              <w14:textFill>
                <w14:solidFill>
                  <w14:schemeClr w14:val="tx1"/>
                </w14:solidFill>
              </w14:textFill>
            </w:rPr>
            <m:t>=2330qCQ</m:t>
          </m:r>
        </m:oMath>
      </m:oMathPara>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式中：G—一氧化碳的产生量，kg/s；</w:t>
      </w:r>
    </w:p>
    <w:p>
      <w:pPr>
        <w:pStyle w:val="132"/>
        <w:ind w:firstLine="480"/>
        <w:rPr>
          <w:rFonts w:hint="default" w:ascii="Times New Roman" w:hAnsi="Times New Roman" w:eastAsia="宋体"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 xml:space="preserve">      C—物质中碳的含量</w:t>
      </w:r>
      <w:r>
        <w:rPr>
          <w:rFonts w:hint="default" w:ascii="Times New Roman" w:hAnsi="Times New Roman" w:cs="Times New Roman"/>
          <w:color w:val="000000" w:themeColor="text1"/>
          <w:u w:val="none" w:color="auto"/>
          <w:lang w:eastAsia="zh-CN"/>
          <w14:textFill>
            <w14:solidFill>
              <w14:schemeClr w14:val="tx1"/>
            </w14:solidFill>
          </w14:textFill>
        </w:rPr>
        <w:t>，取</w:t>
      </w:r>
      <w:r>
        <w:rPr>
          <w:rFonts w:hint="default" w:ascii="Times New Roman" w:hAnsi="Times New Roman" w:cs="Times New Roman"/>
          <w:color w:val="000000" w:themeColor="text1"/>
          <w:u w:val="none" w:color="auto"/>
          <w:lang w:val="en-US" w:eastAsia="zh-CN"/>
          <w14:textFill>
            <w14:solidFill>
              <w14:schemeClr w14:val="tx1"/>
            </w14:solidFill>
          </w14:textFill>
        </w:rPr>
        <w:t>85%</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 xml:space="preserve">      q—化学不完全燃烧值，取值1.5~6.0%，本次评价取值3%；</w:t>
      </w:r>
    </w:p>
    <w:p>
      <w:pPr>
        <w:pStyle w:val="132"/>
        <w:ind w:firstLine="480"/>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 xml:space="preserve">      Q—参与燃烧的物质量，t/s</w:t>
      </w:r>
      <w:r>
        <w:rPr>
          <w:rFonts w:hint="default" w:ascii="Times New Roman" w:hAnsi="Times New Roman" w:cs="Times New Roman"/>
          <w:color w:val="000000" w:themeColor="text1"/>
          <w:u w:val="none" w:color="auto"/>
          <w:lang w:val="en-US" w:eastAsia="zh-CN"/>
          <w14:textFill>
            <w14:solidFill>
              <w14:schemeClr w14:val="tx1"/>
            </w14:solidFill>
          </w14:textFill>
        </w:rPr>
        <w:t>。</w:t>
      </w:r>
    </w:p>
    <w:p>
      <w:pPr>
        <w:pStyle w:val="132"/>
        <w:ind w:firstLine="960" w:firstLineChars="400"/>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液体表面单位面积的燃烧速率计算公式如下：</w:t>
      </w:r>
    </w:p>
    <w:p>
      <w:pPr>
        <w:pStyle w:val="132"/>
        <w:spacing w:line="240" w:lineRule="auto"/>
        <w:ind w:firstLine="480"/>
        <w:jc w:val="center"/>
        <w:rPr>
          <w:color w:val="000000" w:themeColor="text1"/>
          <w:u w:val="none" w:color="auto"/>
          <w14:textFill>
            <w14:solidFill>
              <w14:schemeClr w14:val="tx1"/>
            </w14:solidFill>
          </w14:textFill>
        </w:rPr>
      </w:pPr>
      <w:r>
        <w:rPr>
          <w:color w:val="000000" w:themeColor="text1"/>
          <w:u w:val="none" w:color="auto"/>
          <w14:textFill>
            <w14:solidFill>
              <w14:schemeClr w14:val="tx1"/>
            </w14:solidFill>
          </w14:textFill>
        </w:rPr>
        <w:drawing>
          <wp:inline distT="0" distB="0" distL="114300" distR="114300">
            <wp:extent cx="1952625" cy="495300"/>
            <wp:effectExtent l="0" t="0" r="9525" b="0"/>
            <wp:docPr id="8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2"/>
                    <pic:cNvPicPr>
                      <a:picLocks noChangeAspect="1"/>
                    </pic:cNvPicPr>
                  </pic:nvPicPr>
                  <pic:blipFill>
                    <a:blip r:embed="rId61"/>
                    <a:srcRect t="11864"/>
                    <a:stretch>
                      <a:fillRect/>
                    </a:stretch>
                  </pic:blipFill>
                  <pic:spPr>
                    <a:xfrm>
                      <a:off x="0" y="0"/>
                      <a:ext cx="1952625" cy="495300"/>
                    </a:xfrm>
                    <a:prstGeom prst="rect">
                      <a:avLst/>
                    </a:prstGeom>
                    <a:noFill/>
                    <a:ln>
                      <a:noFill/>
                    </a:ln>
                  </pic:spPr>
                </pic:pic>
              </a:graphicData>
            </a:graphic>
          </wp:inline>
        </w:drawing>
      </w:r>
    </w:p>
    <w:p>
      <w:pPr>
        <w:pStyle w:val="132"/>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cs="Times New Roman"/>
          <w:color w:val="000000" w:themeColor="text1"/>
          <w:u w:val="none" w:color="auto"/>
          <w:lang w:val="en-US" w:eastAsia="zh-CN"/>
          <w14:textFill>
            <w14:solidFill>
              <w14:schemeClr w14:val="tx1"/>
            </w14:solidFill>
          </w14:textFill>
        </w:rPr>
      </w:pPr>
      <w:r>
        <w:rPr>
          <w:rFonts w:hint="eastAsia" w:ascii="Times New Roman" w:hAnsi="Times New Roman" w:cs="Times New Roman"/>
          <w:color w:val="000000" w:themeColor="text1"/>
          <w:u w:val="none" w:color="auto"/>
          <w:lang w:val="en-US" w:eastAsia="zh-CN"/>
          <w14:textFill>
            <w14:solidFill>
              <w14:schemeClr w14:val="tx1"/>
            </w14:solidFill>
          </w14:textFill>
        </w:rPr>
        <w:t>其中：He为液体燃烧热J/kg；</w:t>
      </w:r>
    </w:p>
    <w:p>
      <w:pPr>
        <w:pStyle w:val="132"/>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ascii="Times New Roman" w:hAnsi="Times New Roman" w:cs="Times New Roman"/>
          <w:color w:val="000000" w:themeColor="text1"/>
          <w:u w:val="none" w:color="auto"/>
          <w:lang w:val="en-US" w:eastAsia="zh-CN"/>
          <w14:textFill>
            <w14:solidFill>
              <w14:schemeClr w14:val="tx1"/>
            </w14:solidFill>
          </w14:textFill>
        </w:rPr>
      </w:pPr>
      <w:r>
        <w:rPr>
          <w:rFonts w:hint="eastAsia" w:ascii="Times New Roman" w:hAnsi="Times New Roman" w:cs="Times New Roman"/>
          <w:color w:val="000000" w:themeColor="text1"/>
          <w:u w:val="none" w:color="auto"/>
          <w:lang w:val="en-US" w:eastAsia="zh-CN"/>
          <w14:textFill>
            <w14:solidFill>
              <w14:schemeClr w14:val="tx1"/>
            </w14:solidFill>
          </w14:textFill>
        </w:rPr>
        <w:t>Cp为液体的定压比热容J/（kg·K）；</w:t>
      </w:r>
    </w:p>
    <w:p>
      <w:pPr>
        <w:pStyle w:val="132"/>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ascii="Times New Roman" w:hAnsi="Times New Roman" w:cs="Times New Roman"/>
          <w:color w:val="000000" w:themeColor="text1"/>
          <w:u w:val="none" w:color="auto"/>
          <w:lang w:val="en-US" w:eastAsia="zh-CN"/>
          <w14:textFill>
            <w14:solidFill>
              <w14:schemeClr w14:val="tx1"/>
            </w14:solidFill>
          </w14:textFill>
        </w:rPr>
      </w:pPr>
      <w:r>
        <w:rPr>
          <w:rFonts w:hint="eastAsia" w:ascii="Times New Roman" w:hAnsi="Times New Roman" w:cs="Times New Roman"/>
          <w:color w:val="000000" w:themeColor="text1"/>
          <w:u w:val="none" w:color="auto"/>
          <w:lang w:val="en-US" w:eastAsia="zh-CN"/>
          <w14:textFill>
            <w14:solidFill>
              <w14:schemeClr w14:val="tx1"/>
            </w14:solidFill>
          </w14:textFill>
        </w:rPr>
        <w:t>Tb为液体的沸点，K；</w:t>
      </w:r>
    </w:p>
    <w:p>
      <w:pPr>
        <w:pStyle w:val="132"/>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eastAsia" w:ascii="Times New Roman" w:hAnsi="Times New Roman" w:cs="Times New Roman"/>
          <w:color w:val="000000" w:themeColor="text1"/>
          <w:u w:val="none" w:color="auto"/>
          <w:lang w:val="en-US" w:eastAsia="zh-CN"/>
          <w14:textFill>
            <w14:solidFill>
              <w14:schemeClr w14:val="tx1"/>
            </w14:solidFill>
          </w14:textFill>
        </w:rPr>
      </w:pPr>
      <w:r>
        <w:rPr>
          <w:rFonts w:hint="eastAsia" w:ascii="Times New Roman" w:hAnsi="Times New Roman" w:cs="Times New Roman"/>
          <w:color w:val="000000" w:themeColor="text1"/>
          <w:u w:val="none" w:color="auto"/>
          <w:lang w:val="en-US" w:eastAsia="zh-CN"/>
          <w14:textFill>
            <w14:solidFill>
              <w14:schemeClr w14:val="tx1"/>
            </w14:solidFill>
          </w14:textFill>
        </w:rPr>
        <w:t>T0为环境温度，K</w:t>
      </w:r>
      <w:r>
        <w:rPr>
          <w:rFonts w:hint="eastAsia" w:cs="Times New Roman"/>
          <w:color w:val="000000" w:themeColor="text1"/>
          <w:u w:val="none" w:color="auto"/>
          <w:lang w:val="en-US" w:eastAsia="zh-CN"/>
          <w14:textFill>
            <w14:solidFill>
              <w14:schemeClr w14:val="tx1"/>
            </w14:solidFill>
          </w14:textFill>
        </w:rPr>
        <w:t>，本报告取293.5K</w:t>
      </w:r>
      <w:r>
        <w:rPr>
          <w:rFonts w:hint="eastAsia" w:ascii="Times New Roman" w:hAnsi="Times New Roman" w:cs="Times New Roman"/>
          <w:color w:val="000000" w:themeColor="text1"/>
          <w:u w:val="none" w:color="auto"/>
          <w:lang w:val="en-US" w:eastAsia="zh-CN"/>
          <w14:textFill>
            <w14:solidFill>
              <w14:schemeClr w14:val="tx1"/>
            </w14:solidFill>
          </w14:textFill>
        </w:rPr>
        <w:t>；</w:t>
      </w:r>
    </w:p>
    <w:p>
      <w:pPr>
        <w:pStyle w:val="132"/>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eastAsia" w:ascii="Times New Roman" w:hAnsi="Times New Roman" w:cs="Times New Roman"/>
          <w:color w:val="000000" w:themeColor="text1"/>
          <w:u w:val="none" w:color="auto"/>
          <w:lang w:val="en-US" w:eastAsia="zh-CN"/>
          <w14:textFill>
            <w14:solidFill>
              <w14:schemeClr w14:val="tx1"/>
            </w14:solidFill>
          </w14:textFill>
        </w:rPr>
        <w:t>H为液体的汽化热，J/kg。</w:t>
      </w:r>
    </w:p>
    <w:p>
      <w:pPr>
        <w:pStyle w:val="132"/>
        <w:ind w:firstLine="480"/>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根据以上公式计算出各物质燃烧的过程中CO的产生量见下表所示。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default" w:ascii="Times New Roman" w:hAnsi="Times New Roman" w:cs="Times New Roman"/>
          <w:b/>
          <w:color w:val="000000" w:themeColor="text1"/>
          <w:szCs w:val="24"/>
          <w:u w:val="none" w:color="auto"/>
          <w14:textFill>
            <w14:solidFill>
              <w14:schemeClr w14:val="tx1"/>
            </w14:solidFill>
          </w14:textFill>
        </w:rPr>
        <w:t>CO的产生量</w:t>
      </w:r>
      <w:r>
        <w:rPr>
          <w:rFonts w:hint="eastAsia" w:ascii="Times New Roman" w:hAnsi="Times New Roman" w:cs="Times New Roman"/>
          <w:b/>
          <w:color w:val="000000" w:themeColor="text1"/>
          <w:szCs w:val="24"/>
          <w:u w:val="none" w:color="auto"/>
          <w:lang w:val="en-US" w:eastAsia="zh-CN"/>
          <w14:textFill>
            <w14:solidFill>
              <w14:schemeClr w14:val="tx1"/>
            </w14:solidFill>
          </w14:textFill>
        </w:rPr>
        <w:t>一览表</w:t>
      </w:r>
    </w:p>
    <w:tbl>
      <w:tblPr>
        <w:tblStyle w:val="209"/>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397"/>
        <w:gridCol w:w="2216"/>
        <w:gridCol w:w="2456"/>
        <w:gridCol w:w="200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95" w:hRule="atLeast"/>
        </w:trPr>
        <w:tc>
          <w:tcPr>
            <w:tcW w:w="1320" w:type="pct"/>
            <w:tcBorders>
              <w:top w:val="single" w:color="000000" w:sz="12" w:space="0"/>
              <w:bottom w:val="single" w:color="000000" w:sz="6" w:space="0"/>
              <w:tl2br w:val="single" w:color="auto" w:sz="4" w:space="0"/>
            </w:tcBorders>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right"/>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 xml:space="preserve">   参数</w:t>
            </w:r>
          </w:p>
          <w:p>
            <w:pPr>
              <w:keepNext w:val="0"/>
              <w:keepLines w:val="0"/>
              <w:suppressLineNumbers w:val="0"/>
              <w:adjustRightInd w:val="0"/>
              <w:snapToGrid w:val="0"/>
              <w:spacing w:before="0" w:beforeAutospacing="0" w:after="0" w:afterAutospacing="0" w:line="240" w:lineRule="exact"/>
              <w:ind w:left="0" w:right="0"/>
              <w:jc w:val="left"/>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物质</w:t>
            </w:r>
          </w:p>
        </w:tc>
        <w:tc>
          <w:tcPr>
            <w:tcW w:w="122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物质中</w:t>
            </w:r>
            <w:r>
              <w:rPr>
                <w:rFonts w:hint="eastAsia" w:cs="Times New Roman"/>
                <w:color w:val="000000" w:themeColor="text1"/>
                <w:sz w:val="21"/>
                <w:szCs w:val="21"/>
                <w:u w:val="none" w:color="auto"/>
                <w:lang w:val="en-US" w:eastAsia="zh-CN"/>
                <w14:textFill>
                  <w14:solidFill>
                    <w14:schemeClr w14:val="tx1"/>
                  </w14:solidFill>
                </w14:textFill>
              </w:rPr>
              <w:t>碳</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含量（%）</w:t>
            </w:r>
          </w:p>
        </w:tc>
        <w:tc>
          <w:tcPr>
            <w:tcW w:w="1352"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燃烧速率</w:t>
            </w:r>
          </w:p>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w:t>
            </w:r>
            <w:r>
              <w:rPr>
                <w:rFonts w:ascii="TimesNewRoman" w:eastAsia="TimesNewRoman" w:cs="TimesNewRoman"/>
                <w:color w:val="000000" w:themeColor="text1"/>
                <w:u w:val="none" w:color="auto"/>
                <w14:textFill>
                  <w14:solidFill>
                    <w14:schemeClr w14:val="tx1"/>
                  </w14:solidFill>
                </w14:textFill>
              </w:rPr>
              <w:t>kg/(m</w:t>
            </w:r>
            <w:r>
              <w:rPr>
                <w:rFonts w:ascii="TimesNewRoman" w:eastAsia="TimesNewRoman" w:cs="TimesNewRoman"/>
                <w:color w:val="000000" w:themeColor="text1"/>
                <w:u w:val="none" w:color="auto"/>
                <w:vertAlign w:val="superscript"/>
                <w14:textFill>
                  <w14:solidFill>
                    <w14:schemeClr w14:val="tx1"/>
                  </w14:solidFill>
                </w14:textFill>
              </w:rPr>
              <w:t>2</w:t>
            </w:r>
            <w:r>
              <w:rPr>
                <w:rFonts w:hint="eastAsia" w:ascii="TimesNewRoman" w:eastAsia="TimesNewRoman" w:cs="TimesNewRoman"/>
                <w:color w:val="000000" w:themeColor="text1"/>
                <w:u w:val="none" w:color="auto"/>
                <w14:textFill>
                  <w14:solidFill>
                    <w14:schemeClr w14:val="tx1"/>
                  </w14:solidFill>
                </w14:textFill>
              </w:rPr>
              <w:t>·</w:t>
            </w:r>
            <w:r>
              <w:rPr>
                <w:rFonts w:ascii="TimesNewRoman" w:eastAsia="TimesNewRoman" w:cs="TimesNewRoman"/>
                <w:color w:val="000000" w:themeColor="text1"/>
                <w:u w:val="none" w:color="auto"/>
                <w14:textFill>
                  <w14:solidFill>
                    <w14:schemeClr w14:val="tx1"/>
                  </w14:solidFill>
                </w14:textFill>
              </w:rPr>
              <w:t>s)</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106"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color w:val="000000" w:themeColor="text1"/>
                <w:sz w:val="21"/>
                <w:szCs w:val="21"/>
                <w14:textFill>
                  <w14:solidFill>
                    <w14:schemeClr w14:val="tx1"/>
                  </w14:solidFill>
                </w14:textFill>
              </w:rPr>
              <w:t>CO产生量</w:t>
            </w:r>
            <w:r>
              <w:rPr>
                <w:rFonts w:hint="eastAsia"/>
                <w:color w:val="000000" w:themeColor="text1"/>
                <w:sz w:val="21"/>
                <w:szCs w:val="21"/>
                <w14:textFill>
                  <w14:solidFill>
                    <w14:schemeClr w14:val="tx1"/>
                  </w14:solidFill>
                </w14:textFill>
              </w:rPr>
              <w:t>（kg/s）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320" w:type="pct"/>
            <w:tcBorders>
              <w:top w:val="single" w:color="000000" w:sz="6" w:space="0"/>
            </w:tcBorders>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bCs/>
                <w:color w:val="000000" w:themeColor="text1"/>
                <w:sz w:val="21"/>
                <w14:textFill>
                  <w14:solidFill>
                    <w14:schemeClr w14:val="tx1"/>
                  </w14:solidFill>
                </w14:textFill>
              </w:rPr>
              <w:t>（烷基苯料）航煤组分油</w:t>
            </w:r>
          </w:p>
        </w:tc>
        <w:tc>
          <w:tcPr>
            <w:tcW w:w="1220"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85</w:t>
            </w:r>
          </w:p>
        </w:tc>
        <w:tc>
          <w:tcPr>
            <w:tcW w:w="2456" w:type="dxa"/>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0.031</w:t>
            </w:r>
          </w:p>
        </w:tc>
        <w:tc>
          <w:tcPr>
            <w:tcW w:w="1106"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eastAsia" w:cs="Times New Roman"/>
                <w:color w:val="000000" w:themeColor="text1"/>
                <w:kern w:val="2"/>
                <w:sz w:val="21"/>
                <w:szCs w:val="21"/>
                <w:u w:val="none" w:color="auto"/>
                <w:lang w:val="en-US" w:eastAsia="zh-CN" w:bidi="ar"/>
                <w14:textFill>
                  <w14:solidFill>
                    <w14:schemeClr w14:val="tx1"/>
                  </w14:solidFill>
                </w14:textFill>
              </w:rPr>
              <w:t>1.84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320" w:type="pct"/>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bCs/>
                <w:color w:val="000000" w:themeColor="text1"/>
                <w:sz w:val="21"/>
                <w14:textFill>
                  <w14:solidFill>
                    <w14:schemeClr w14:val="tx1"/>
                  </w14:solidFill>
                </w14:textFill>
              </w:rPr>
              <w:t>GPS-200溶剂油</w:t>
            </w:r>
          </w:p>
        </w:tc>
        <w:tc>
          <w:tcPr>
            <w:tcW w:w="1220"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85</w:t>
            </w:r>
          </w:p>
        </w:tc>
        <w:tc>
          <w:tcPr>
            <w:tcW w:w="2456" w:type="dxa"/>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0.023</w:t>
            </w:r>
          </w:p>
        </w:tc>
        <w:tc>
          <w:tcPr>
            <w:tcW w:w="1106"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eastAsia" w:cs="Times New Roman"/>
                <w:color w:val="000000" w:themeColor="text1"/>
                <w:kern w:val="2"/>
                <w:sz w:val="21"/>
                <w:szCs w:val="21"/>
                <w:u w:val="none" w:color="auto"/>
                <w:lang w:val="en-US" w:eastAsia="zh-CN" w:bidi="ar"/>
                <w14:textFill>
                  <w14:solidFill>
                    <w14:schemeClr w14:val="tx1"/>
                  </w14:solidFill>
                </w14:textFill>
              </w:rPr>
              <w:t>1.37</w:t>
            </w:r>
          </w:p>
        </w:tc>
      </w:tr>
    </w:tbl>
    <w:p>
      <w:pPr>
        <w:pStyle w:val="132"/>
        <w:ind w:firstLine="480"/>
        <w:rPr>
          <w:rFonts w:hint="eastAsia" w:ascii="Times New Roman" w:hAnsi="Times New Roman" w:cs="Times New Roman"/>
          <w:color w:val="000000" w:themeColor="text1"/>
          <w:u w:val="none" w:color="auto"/>
          <w:lang w:val="en-US" w:eastAsia="zh-CN"/>
          <w14:textFill>
            <w14:solidFill>
              <w14:schemeClr w14:val="tx1"/>
            </w14:solidFill>
          </w14:textFill>
        </w:rPr>
      </w:pPr>
      <w:r>
        <w:rPr>
          <w:rFonts w:hint="eastAsia" w:cs="Times New Roman"/>
          <w:color w:val="000000" w:themeColor="text1"/>
          <w:u w:val="none" w:color="auto"/>
          <w:lang w:val="en-US" w:eastAsia="zh-CN"/>
          <w14:textFill>
            <w14:solidFill>
              <w14:schemeClr w14:val="tx1"/>
            </w14:solidFill>
          </w14:textFill>
        </w:rPr>
        <w:t>（2）二氧化硫</w:t>
      </w:r>
      <w:r>
        <w:rPr>
          <w:rFonts w:hint="eastAsia" w:ascii="Times New Roman" w:hAnsi="Times New Roman" w:cs="Times New Roman"/>
          <w:color w:val="000000" w:themeColor="text1"/>
          <w:u w:val="none" w:color="auto"/>
          <w:lang w:val="en-US" w:eastAsia="zh-CN"/>
          <w14:textFill>
            <w14:solidFill>
              <w14:schemeClr w14:val="tx1"/>
            </w14:solidFill>
          </w14:textFill>
        </w:rPr>
        <w:t>产生量</w:t>
      </w:r>
    </w:p>
    <w:p>
      <w:pPr>
        <w:pStyle w:val="132"/>
        <w:ind w:firstLine="480"/>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为便于计算，假定</w:t>
      </w:r>
      <w:r>
        <w:rPr>
          <w:rFonts w:hint="default" w:ascii="Times New Roman" w:hAnsi="Times New Roman" w:cs="Times New Roman"/>
          <w:color w:val="000000" w:themeColor="text1"/>
          <w:u w:val="none" w:color="auto"/>
          <w:lang w:eastAsia="zh-CN"/>
          <w14:textFill>
            <w14:solidFill>
              <w14:schemeClr w14:val="tx1"/>
            </w14:solidFill>
          </w14:textFill>
        </w:rPr>
        <w:t>加氢装置管道破裂</w:t>
      </w:r>
      <w:r>
        <w:rPr>
          <w:rFonts w:hint="default" w:ascii="Times New Roman" w:hAnsi="Times New Roman" w:cs="Times New Roman"/>
          <w:color w:val="000000" w:themeColor="text1"/>
          <w:u w:val="none" w:color="auto"/>
          <w14:textFill>
            <w14:solidFill>
              <w14:schemeClr w14:val="tx1"/>
            </w14:solidFill>
          </w14:textFill>
        </w:rPr>
        <w:t>破裂，遇火源发生火灾</w:t>
      </w:r>
      <w:r>
        <w:rPr>
          <w:rFonts w:hint="default" w:ascii="Times New Roman" w:hAnsi="Times New Roman" w:cs="Times New Roman"/>
          <w:color w:val="000000" w:themeColor="text1"/>
          <w:u w:val="none" w:color="auto"/>
          <w:lang w:eastAsia="zh-CN"/>
          <w14:textFill>
            <w14:solidFill>
              <w14:schemeClr w14:val="tx1"/>
            </w14:solidFill>
          </w14:textFill>
        </w:rPr>
        <w:t>，假设泄漏的物料全部燃烧</w:t>
      </w:r>
      <w:r>
        <w:rPr>
          <w:rFonts w:hint="default" w:ascii="Times New Roman" w:hAnsi="Times New Roman" w:cs="Times New Roman"/>
          <w:color w:val="000000" w:themeColor="text1"/>
          <w:u w:val="none" w:color="auto"/>
          <w14:textFill>
            <w14:solidFill>
              <w14:schemeClr w14:val="tx1"/>
            </w14:solidFill>
          </w14:textFill>
        </w:rPr>
        <w:t>。根据HJ169-2018，</w:t>
      </w:r>
      <w:r>
        <w:rPr>
          <w:rFonts w:hint="default" w:ascii="Times New Roman" w:hAnsi="Times New Roman" w:cs="Times New Roman"/>
          <w:color w:val="000000" w:themeColor="text1"/>
          <w:u w:val="none" w:color="auto"/>
          <w:lang w:eastAsia="zh-CN"/>
          <w14:textFill>
            <w14:solidFill>
              <w14:schemeClr w14:val="tx1"/>
            </w14:solidFill>
          </w14:textFill>
        </w:rPr>
        <w:t>采用油品火灾伴生</w:t>
      </w:r>
      <w:r>
        <w:rPr>
          <w:rFonts w:hint="default" w:ascii="Times New Roman" w:hAnsi="Times New Roman" w:cs="Times New Roman"/>
          <w:color w:val="000000" w:themeColor="text1"/>
          <w:u w:val="none" w:color="auto"/>
          <w:lang w:val="en-US" w:eastAsia="zh-CN"/>
          <w14:textFill>
            <w14:solidFill>
              <w14:schemeClr w14:val="tx1"/>
            </w14:solidFill>
          </w14:textFill>
        </w:rPr>
        <w:t>/次生二氧化硫产生量按下式计算：</w:t>
      </w:r>
    </w:p>
    <w:p>
      <w:pPr>
        <w:pStyle w:val="132"/>
        <w:ind w:firstLine="480"/>
        <w:jc w:val="center"/>
        <w:rPr>
          <w:rFonts w:hint="default" w:cs="Times New Roman"/>
          <w:color w:val="000000" w:themeColor="text1"/>
          <w:u w:val="none" w:color="auto"/>
          <w:lang w:val="en-US" w:eastAsia="zh-CN"/>
          <w14:textFill>
            <w14:solidFill>
              <w14:schemeClr w14:val="tx1"/>
            </w14:solidFill>
          </w14:textFill>
        </w:rPr>
      </w:pPr>
      <w:r>
        <w:rPr>
          <w:rFonts w:hint="default" w:cs="Times New Roman"/>
          <w:color w:val="000000" w:themeColor="text1"/>
          <w:position w:val="-14"/>
          <w:u w:val="none" w:color="auto"/>
          <w:lang w:val="en-US" w:eastAsia="zh-CN"/>
          <w14:textFill>
            <w14:solidFill>
              <w14:schemeClr w14:val="tx1"/>
            </w14:solidFill>
          </w14:textFill>
        </w:rPr>
        <w:object>
          <v:shape id="_x0000_i1040" o:spt="75" type="#_x0000_t75" style="height:26.2pt;width:102pt;" o:ole="t" filled="f" o:preferrelative="t" stroked="f" coordsize="21600,21600">
            <v:path/>
            <v:fill on="f" focussize="0,0"/>
            <v:stroke on="f"/>
            <v:imagedata r:id="rId63" o:title=""/>
            <o:lock v:ext="edit" aspectratio="t"/>
            <w10:wrap type="none"/>
            <w10:anchorlock/>
          </v:shape>
          <o:OLEObject Type="Embed" ProgID="Equation.KSEE3" ShapeID="_x0000_i1040" DrawAspect="Content" ObjectID="_1468075740" r:id="rId62">
            <o:LockedField>false</o:LockedField>
          </o:OLEObject>
        </w:object>
      </w:r>
    </w:p>
    <w:p>
      <w:pPr>
        <w:pStyle w:val="132"/>
        <w:ind w:firstLine="480"/>
        <w:jc w:val="left"/>
        <w:rPr>
          <w:rFonts w:hint="eastAsia" w:cs="Times New Roman"/>
          <w:color w:val="000000" w:themeColor="text1"/>
          <w:u w:val="none" w:color="auto"/>
          <w:vertAlign w:val="baseline"/>
          <w:lang w:val="en-US" w:eastAsia="zh-CN"/>
          <w14:textFill>
            <w14:solidFill>
              <w14:schemeClr w14:val="tx1"/>
            </w14:solidFill>
          </w14:textFill>
        </w:rPr>
      </w:pPr>
      <w:r>
        <w:rPr>
          <w:rFonts w:hint="eastAsia" w:cs="Times New Roman"/>
          <w:color w:val="000000" w:themeColor="text1"/>
          <w:u w:val="none" w:color="auto"/>
          <w:lang w:val="en-US" w:eastAsia="zh-CN"/>
          <w14:textFill>
            <w14:solidFill>
              <w14:schemeClr w14:val="tx1"/>
            </w14:solidFill>
          </w14:textFill>
        </w:rPr>
        <w:t>式中：G</w:t>
      </w:r>
      <w:r>
        <w:rPr>
          <w:rFonts w:hint="eastAsia" w:cs="Times New Roman"/>
          <w:color w:val="000000" w:themeColor="text1"/>
          <w:u w:val="none" w:color="auto"/>
          <w:vertAlign w:val="subscript"/>
          <w:lang w:val="en-US" w:eastAsia="zh-CN"/>
          <w14:textFill>
            <w14:solidFill>
              <w14:schemeClr w14:val="tx1"/>
            </w14:solidFill>
          </w14:textFill>
        </w:rPr>
        <w:t>二氧化硫</w:t>
      </w:r>
      <w:r>
        <w:rPr>
          <w:rFonts w:hint="eastAsia" w:cs="Times New Roman"/>
          <w:color w:val="000000" w:themeColor="text1"/>
          <w:u w:val="none" w:color="auto"/>
          <w:vertAlign w:val="baseline"/>
          <w:lang w:val="en-US" w:eastAsia="zh-CN"/>
          <w14:textFill>
            <w14:solidFill>
              <w14:schemeClr w14:val="tx1"/>
            </w14:solidFill>
          </w14:textFill>
        </w:rPr>
        <w:t>—二氧化硫排放速率，kg/h</w:t>
      </w:r>
    </w:p>
    <w:p>
      <w:pPr>
        <w:pStyle w:val="132"/>
        <w:ind w:firstLine="1200" w:firstLineChars="500"/>
        <w:jc w:val="left"/>
        <w:rPr>
          <w:rFonts w:hint="eastAsia" w:cs="Times New Roman"/>
          <w:color w:val="000000" w:themeColor="text1"/>
          <w:u w:val="none" w:color="auto"/>
          <w:vertAlign w:val="baseline"/>
          <w:lang w:val="en-US" w:eastAsia="zh-CN"/>
          <w14:textFill>
            <w14:solidFill>
              <w14:schemeClr w14:val="tx1"/>
            </w14:solidFill>
          </w14:textFill>
        </w:rPr>
      </w:pPr>
      <w:r>
        <w:rPr>
          <w:rFonts w:hint="eastAsia" w:cs="Times New Roman"/>
          <w:color w:val="000000" w:themeColor="text1"/>
          <w:u w:val="none" w:color="auto"/>
          <w:vertAlign w:val="baseline"/>
          <w:lang w:val="en-US" w:eastAsia="zh-CN"/>
          <w14:textFill>
            <w14:solidFill>
              <w14:schemeClr w14:val="tx1"/>
            </w14:solidFill>
          </w14:textFill>
        </w:rPr>
        <w:t>B—物质燃烧量，kg/h</w:t>
      </w:r>
    </w:p>
    <w:p>
      <w:pPr>
        <w:pStyle w:val="132"/>
        <w:ind w:firstLine="1200" w:firstLineChars="500"/>
        <w:jc w:val="left"/>
        <w:rPr>
          <w:rFonts w:hint="eastAsia" w:cs="Times New Roman"/>
          <w:color w:val="000000" w:themeColor="text1"/>
          <w:u w:val="none" w:color="auto"/>
          <w:vertAlign w:val="baseline"/>
          <w:lang w:val="en-US" w:eastAsia="zh-CN"/>
          <w14:textFill>
            <w14:solidFill>
              <w14:schemeClr w14:val="tx1"/>
            </w14:solidFill>
          </w14:textFill>
        </w:rPr>
      </w:pPr>
      <w:r>
        <w:rPr>
          <w:rFonts w:hint="eastAsia" w:cs="Times New Roman"/>
          <w:color w:val="000000" w:themeColor="text1"/>
          <w:u w:val="none" w:color="auto"/>
          <w:vertAlign w:val="baseline"/>
          <w:lang w:val="en-US" w:eastAsia="zh-CN"/>
          <w14:textFill>
            <w14:solidFill>
              <w14:schemeClr w14:val="tx1"/>
            </w14:solidFill>
          </w14:textFill>
        </w:rPr>
        <w:t>S—物质中硫的含量，%</w:t>
      </w:r>
    </w:p>
    <w:p>
      <w:pPr>
        <w:pStyle w:val="132"/>
        <w:ind w:firstLine="480"/>
        <w:rPr>
          <w:rFonts w:hint="default" w:cs="Times New Roman"/>
          <w:color w:val="000000" w:themeColor="text1"/>
          <w:u w:val="none" w:color="auto"/>
          <w:lang w:val="en-US" w:eastAsia="zh-CN"/>
          <w14:textFill>
            <w14:solidFill>
              <w14:schemeClr w14:val="tx1"/>
            </w14:solidFill>
          </w14:textFill>
        </w:rPr>
      </w:pPr>
      <w:r>
        <w:rPr>
          <w:rFonts w:hint="eastAsia" w:cs="Times New Roman"/>
          <w:color w:val="000000" w:themeColor="text1"/>
          <w:u w:val="none" w:color="auto"/>
          <w:lang w:val="en-US" w:eastAsia="zh-CN"/>
          <w14:textFill>
            <w14:solidFill>
              <w14:schemeClr w14:val="tx1"/>
            </w14:solidFill>
          </w14:textFill>
        </w:rPr>
        <w:t>根据以上公式计算出各物质燃烧的过程中SO</w:t>
      </w:r>
      <w:r>
        <w:rPr>
          <w:rFonts w:hint="eastAsia" w:cs="Times New Roman"/>
          <w:color w:val="000000" w:themeColor="text1"/>
          <w:u w:val="none" w:color="auto"/>
          <w:vertAlign w:val="subscript"/>
          <w:lang w:val="en-US" w:eastAsia="zh-CN"/>
          <w14:textFill>
            <w14:solidFill>
              <w14:schemeClr w14:val="tx1"/>
            </w14:solidFill>
          </w14:textFill>
        </w:rPr>
        <w:t>2</w:t>
      </w:r>
      <w:r>
        <w:rPr>
          <w:rFonts w:hint="eastAsia" w:cs="Times New Roman"/>
          <w:color w:val="000000" w:themeColor="text1"/>
          <w:u w:val="none" w:color="auto"/>
          <w:lang w:val="en-US" w:eastAsia="zh-CN"/>
          <w14:textFill>
            <w14:solidFill>
              <w14:schemeClr w14:val="tx1"/>
            </w14:solidFill>
          </w14:textFill>
        </w:rPr>
        <w:t>的产生量见下表所示。</w:t>
      </w:r>
    </w:p>
    <w:p>
      <w:pPr>
        <w:pStyle w:val="14"/>
        <w:keepNext w:val="0"/>
        <w:keepLines w:val="0"/>
        <w:pageBreakBefore w:val="0"/>
        <w:widowControl w:val="0"/>
        <w:kinsoku/>
        <w:wordWrap/>
        <w:overflowPunct/>
        <w:topLinePunct w:val="0"/>
        <w:autoSpaceDE/>
        <w:autoSpaceDN/>
        <w:bidi w:val="0"/>
        <w:adjustRightInd/>
        <w:snapToGrid/>
        <w:spacing w:line="240" w:lineRule="auto"/>
        <w:ind w:firstLine="1205" w:firstLineChars="500"/>
        <w:jc w:val="center"/>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ind w:firstLine="1205" w:firstLineChars="500"/>
        <w:jc w:val="center"/>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ind w:firstLine="1205" w:firstLineChars="500"/>
        <w:jc w:val="center"/>
        <w:textAlignment w:val="auto"/>
        <w:rPr>
          <w:color w:val="000000" w:themeColor="text1"/>
          <w14:textFill>
            <w14:solidFill>
              <w14:schemeClr w14:val="tx1"/>
            </w14:solidFill>
          </w14:textFill>
        </w:rPr>
      </w:pPr>
    </w:p>
    <w:p>
      <w:pPr>
        <w:pStyle w:val="14"/>
        <w:keepNext w:val="0"/>
        <w:keepLines w:val="0"/>
        <w:pageBreakBefore w:val="0"/>
        <w:widowControl w:val="0"/>
        <w:kinsoku/>
        <w:wordWrap/>
        <w:overflowPunct/>
        <w:topLinePunct w:val="0"/>
        <w:autoSpaceDE/>
        <w:autoSpaceDN/>
        <w:bidi w:val="0"/>
        <w:adjustRightInd/>
        <w:snapToGrid/>
        <w:spacing w:line="240" w:lineRule="auto"/>
        <w:ind w:firstLine="1205" w:firstLineChars="500"/>
        <w:jc w:val="center"/>
        <w:textAlignment w:val="auto"/>
        <w:rPr>
          <w:rFonts w:hint="default" w:eastAsia="宋体" w:cs="Times New Roman"/>
          <w:color w:val="000000" w:themeColor="text1"/>
          <w:u w:val="none" w:color="auto"/>
          <w:vertAlign w:val="baseline"/>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eastAsia" w:cs="Times New Roman"/>
          <w:color w:val="000000" w:themeColor="text1"/>
          <w:u w:val="none" w:color="auto"/>
          <w:lang w:val="en-US" w:eastAsia="zh-CN"/>
          <w14:textFill>
            <w14:solidFill>
              <w14:schemeClr w14:val="tx1"/>
            </w14:solidFill>
          </w14:textFill>
        </w:rPr>
        <w:t>SO</w:t>
      </w:r>
      <w:r>
        <w:rPr>
          <w:rFonts w:hint="eastAsia" w:cs="Times New Roman"/>
          <w:color w:val="000000" w:themeColor="text1"/>
          <w:u w:val="none" w:color="auto"/>
          <w:vertAlign w:val="subscript"/>
          <w:lang w:val="en-US" w:eastAsia="zh-CN"/>
          <w14:textFill>
            <w14:solidFill>
              <w14:schemeClr w14:val="tx1"/>
            </w14:solidFill>
          </w14:textFill>
        </w:rPr>
        <w:t>2</w:t>
      </w:r>
      <w:r>
        <w:rPr>
          <w:rFonts w:hint="default" w:ascii="Times New Roman" w:hAnsi="Times New Roman" w:cs="Times New Roman"/>
          <w:b/>
          <w:color w:val="000000" w:themeColor="text1"/>
          <w:szCs w:val="24"/>
          <w:u w:val="none" w:color="auto"/>
          <w14:textFill>
            <w14:solidFill>
              <w14:schemeClr w14:val="tx1"/>
            </w14:solidFill>
          </w14:textFill>
        </w:rPr>
        <w:t>的产生量</w:t>
      </w:r>
      <w:r>
        <w:rPr>
          <w:rFonts w:hint="eastAsia" w:ascii="Times New Roman" w:hAnsi="Times New Roman" w:cs="Times New Roman"/>
          <w:b/>
          <w:color w:val="000000" w:themeColor="text1"/>
          <w:szCs w:val="24"/>
          <w:u w:val="none" w:color="auto"/>
          <w:lang w:val="en-US" w:eastAsia="zh-CN"/>
          <w14:textFill>
            <w14:solidFill>
              <w14:schemeClr w14:val="tx1"/>
            </w14:solidFill>
          </w14:textFill>
        </w:rPr>
        <w:t>一览表</w:t>
      </w:r>
    </w:p>
    <w:tbl>
      <w:tblPr>
        <w:tblStyle w:val="209"/>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397"/>
        <w:gridCol w:w="2216"/>
        <w:gridCol w:w="2456"/>
        <w:gridCol w:w="200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95" w:hRule="atLeast"/>
        </w:trPr>
        <w:tc>
          <w:tcPr>
            <w:tcW w:w="1320" w:type="pct"/>
            <w:tcBorders>
              <w:top w:val="single" w:color="000000" w:sz="12" w:space="0"/>
              <w:bottom w:val="single" w:color="000000" w:sz="6" w:space="0"/>
              <w:tl2br w:val="single" w:color="auto" w:sz="4" w:space="0"/>
            </w:tcBorders>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right"/>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 xml:space="preserve">   参数</w:t>
            </w:r>
          </w:p>
          <w:p>
            <w:pPr>
              <w:keepNext w:val="0"/>
              <w:keepLines w:val="0"/>
              <w:suppressLineNumbers w:val="0"/>
              <w:adjustRightInd w:val="0"/>
              <w:snapToGrid w:val="0"/>
              <w:spacing w:before="0" w:beforeAutospacing="0" w:after="0" w:afterAutospacing="0" w:line="240" w:lineRule="exact"/>
              <w:ind w:left="0" w:right="0"/>
              <w:jc w:val="left"/>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物质</w:t>
            </w:r>
          </w:p>
        </w:tc>
        <w:tc>
          <w:tcPr>
            <w:tcW w:w="1220"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物质中</w:t>
            </w:r>
            <w:r>
              <w:rPr>
                <w:rFonts w:hint="eastAsia" w:cs="Times New Roman"/>
                <w:color w:val="000000" w:themeColor="text1"/>
                <w:sz w:val="21"/>
                <w:szCs w:val="21"/>
                <w:u w:val="none" w:color="auto"/>
                <w:lang w:val="en-US" w:eastAsia="zh-CN"/>
                <w14:textFill>
                  <w14:solidFill>
                    <w14:schemeClr w14:val="tx1"/>
                  </w14:solidFill>
                </w14:textFill>
              </w:rPr>
              <w:t>硫</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含量（%）</w:t>
            </w:r>
          </w:p>
        </w:tc>
        <w:tc>
          <w:tcPr>
            <w:tcW w:w="1352"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物质燃烧量（</w:t>
            </w:r>
            <w:r>
              <w:rPr>
                <w:rFonts w:hint="eastAsia" w:cs="Times New Roman"/>
                <w:color w:val="000000" w:themeColor="text1"/>
                <w:u w:val="none" w:color="auto"/>
                <w:vertAlign w:val="baseline"/>
                <w:lang w:val="en-US" w:eastAsia="zh-CN"/>
                <w14:textFill>
                  <w14:solidFill>
                    <w14:schemeClr w14:val="tx1"/>
                  </w14:solidFill>
                </w14:textFill>
              </w:rPr>
              <w:t>kg/h</w:t>
            </w:r>
            <w:r>
              <w:rPr>
                <w:rFonts w:hint="eastAsia" w:cs="Times New Roman"/>
                <w:color w:val="000000" w:themeColor="text1"/>
                <w:sz w:val="21"/>
                <w:szCs w:val="21"/>
                <w:u w:val="none" w:color="auto"/>
                <w:lang w:val="en-US" w:eastAsia="zh-CN"/>
                <w14:textFill>
                  <w14:solidFill>
                    <w14:schemeClr w14:val="tx1"/>
                  </w14:solidFill>
                </w14:textFill>
              </w:rPr>
              <w:t>）</w:t>
            </w:r>
          </w:p>
        </w:tc>
        <w:tc>
          <w:tcPr>
            <w:tcW w:w="1106" w:type="pct"/>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2"/>
                <w:sz w:val="21"/>
                <w:szCs w:val="21"/>
                <w:u w:val="none" w:color="auto"/>
                <w:lang w:val="en-US" w:eastAsia="zh-CN" w:bidi="ar-SA"/>
                <w14:textFill>
                  <w14:solidFill>
                    <w14:schemeClr w14:val="tx1"/>
                  </w14:solidFill>
                </w14:textFill>
              </w:rPr>
            </w:pPr>
            <w:r>
              <w:rPr>
                <w:rFonts w:hint="eastAsia" w:cs="Times New Roman"/>
                <w:color w:val="000000" w:themeColor="text1"/>
                <w:u w:val="none" w:color="auto"/>
                <w:lang w:val="en-US" w:eastAsia="zh-CN"/>
                <w14:textFill>
                  <w14:solidFill>
                    <w14:schemeClr w14:val="tx1"/>
                  </w14:solidFill>
                </w14:textFill>
              </w:rPr>
              <w:t>SO</w:t>
            </w:r>
            <w:r>
              <w:rPr>
                <w:rFonts w:hint="eastAsia" w:cs="Times New Roman"/>
                <w:color w:val="000000" w:themeColor="text1"/>
                <w:u w:val="none" w:color="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产生量</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（kg/</w:t>
            </w:r>
            <w:r>
              <w:rPr>
                <w:rFonts w:hint="eastAsia" w:cs="Times New Roman"/>
                <w:color w:val="000000" w:themeColor="text1"/>
                <w:sz w:val="21"/>
                <w:szCs w:val="21"/>
                <w:u w:val="none" w:color="auto"/>
                <w:lang w:val="en-US" w:eastAsia="zh-CN"/>
                <w14:textFill>
                  <w14:solidFill>
                    <w14:schemeClr w14:val="tx1"/>
                  </w14:solidFill>
                </w14:textFill>
              </w:rPr>
              <w:t>h</w:t>
            </w:r>
            <w:r>
              <w:rPr>
                <w:rFonts w:hint="eastAsia" w:ascii="Times New Roman" w:hAnsi="Times New Roman" w:cs="Times New Roman"/>
                <w:color w:val="000000" w:themeColor="text1"/>
                <w:sz w:val="21"/>
                <w:szCs w:val="21"/>
                <w:u w:val="none" w:color="auto"/>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320" w:type="pct"/>
            <w:tcBorders>
              <w:top w:val="single" w:color="000000" w:sz="6" w:space="0"/>
            </w:tcBorders>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bCs/>
                <w:color w:val="000000" w:themeColor="text1"/>
                <w:sz w:val="21"/>
                <w14:textFill>
                  <w14:solidFill>
                    <w14:schemeClr w14:val="tx1"/>
                  </w14:solidFill>
                </w14:textFill>
              </w:rPr>
              <w:t>（烷基苯料）航煤组分油</w:t>
            </w:r>
          </w:p>
        </w:tc>
        <w:tc>
          <w:tcPr>
            <w:tcW w:w="1220"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0.00556</w:t>
            </w:r>
          </w:p>
        </w:tc>
        <w:tc>
          <w:tcPr>
            <w:tcW w:w="1352"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19620</w:t>
            </w:r>
          </w:p>
        </w:tc>
        <w:tc>
          <w:tcPr>
            <w:tcW w:w="1106"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eastAsia" w:cs="Times New Roman"/>
                <w:color w:val="000000" w:themeColor="text1"/>
                <w:kern w:val="2"/>
                <w:sz w:val="21"/>
                <w:szCs w:val="21"/>
                <w:u w:val="none" w:color="auto"/>
                <w:lang w:val="en-US" w:eastAsia="zh-CN" w:bidi="ar"/>
                <w14:textFill>
                  <w14:solidFill>
                    <w14:schemeClr w14:val="tx1"/>
                  </w14:solidFill>
                </w14:textFill>
              </w:rPr>
              <w:t>2.18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320" w:type="pct"/>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bCs/>
                <w:color w:val="000000" w:themeColor="text1"/>
                <w:sz w:val="21"/>
                <w14:textFill>
                  <w14:solidFill>
                    <w14:schemeClr w14:val="tx1"/>
                  </w14:solidFill>
                </w14:textFill>
              </w:rPr>
              <w:t>GPS-200溶剂油</w:t>
            </w:r>
          </w:p>
        </w:tc>
        <w:tc>
          <w:tcPr>
            <w:tcW w:w="1220"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0.00556</w:t>
            </w:r>
          </w:p>
        </w:tc>
        <w:tc>
          <w:tcPr>
            <w:tcW w:w="1352"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15696</w:t>
            </w:r>
          </w:p>
        </w:tc>
        <w:tc>
          <w:tcPr>
            <w:tcW w:w="1106" w:type="pct"/>
            <w:tcMar>
              <w:left w:w="28" w:type="dxa"/>
              <w:right w:w="28" w:type="dxa"/>
            </w:tcMar>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eastAsia" w:cs="Times New Roman"/>
                <w:color w:val="000000" w:themeColor="text1"/>
                <w:kern w:val="2"/>
                <w:sz w:val="21"/>
                <w:szCs w:val="21"/>
                <w:u w:val="none" w:color="auto"/>
                <w:lang w:val="en-US" w:eastAsia="zh-CN" w:bidi="ar"/>
                <w14:textFill>
                  <w14:solidFill>
                    <w14:schemeClr w14:val="tx1"/>
                  </w14:solidFill>
                </w14:textFill>
              </w:rPr>
              <w:t>1.75</w:t>
            </w:r>
          </w:p>
        </w:tc>
      </w:tr>
    </w:tbl>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风险预测与评价</w:t>
      </w:r>
    </w:p>
    <w:p>
      <w:pPr>
        <w:pStyle w:val="5"/>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大气环境风险预测与评价</w:t>
      </w:r>
    </w:p>
    <w:p>
      <w:pPr>
        <w:pStyle w:val="6"/>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预测模型</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气体性质</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根据《建设项目环境风险评价导则》(HJ/T 169-2018)附录G，采用理查德森数(R</w:t>
      </w:r>
      <w:r>
        <w:rPr>
          <w:rFonts w:hint="default" w:ascii="Times New Roman" w:hAnsi="Times New Roman" w:cs="Times New Roman"/>
          <w:color w:val="000000" w:themeColor="text1"/>
          <w:u w:val="none" w:color="auto"/>
          <w:vertAlign w:val="subscript"/>
          <w14:textFill>
            <w14:solidFill>
              <w14:schemeClr w14:val="tx1"/>
            </w14:solidFill>
          </w14:textFill>
        </w:rPr>
        <w:t>i</w:t>
      </w:r>
      <w:r>
        <w:rPr>
          <w:rFonts w:hint="default" w:ascii="Times New Roman" w:hAnsi="Times New Roman" w:cs="Times New Roman"/>
          <w:color w:val="000000" w:themeColor="text1"/>
          <w:u w:val="none" w:color="auto"/>
          <w14:textFill>
            <w14:solidFill>
              <w14:schemeClr w14:val="tx1"/>
            </w14:solidFill>
          </w14:textFill>
        </w:rPr>
        <w:t>)作为标准，判断项目泄漏/扩散气体是否为重质气体。</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000000" w:themeColor="text1"/>
          <w:u w:val="none" w:color="auto"/>
          <w:lang w:val="en-US" w:eastAsia="zh-CN"/>
          <w14:textFill>
            <w14:solidFill>
              <w14:schemeClr w14:val="tx1"/>
            </w14:solidFill>
          </w14:textFill>
        </w:rPr>
      </w:pPr>
      <w:r>
        <w:rPr>
          <w:rFonts w:hint="eastAsia" w:ascii="Times New Roman" w:hAnsi="Times New Roman" w:cs="Times New Roman"/>
          <w:color w:val="000000" w:themeColor="text1"/>
          <w:u w:val="none" w:color="auto"/>
          <w:lang w:val="en-US" w:eastAsia="zh-CN"/>
          <w14:textFill>
            <w14:solidFill>
              <w14:schemeClr w14:val="tx1"/>
            </w14:solidFill>
          </w14:textFill>
        </w:rPr>
        <w:t>排放类型</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根据《建设项目环境风险评价导则》(HJ/T 169-2018)附录G，判定项目泄漏/扩散气体是连续排放还是瞬时排放，通过对比排放时间T</w:t>
      </w:r>
      <w:r>
        <w:rPr>
          <w:rFonts w:hint="default" w:ascii="Times New Roman" w:hAnsi="Times New Roman" w:cs="Times New Roman"/>
          <w:color w:val="000000" w:themeColor="text1"/>
          <w:u w:val="none" w:color="auto"/>
          <w:vertAlign w:val="subscript"/>
          <w14:textFill>
            <w14:solidFill>
              <w14:schemeClr w14:val="tx1"/>
            </w14:solidFill>
          </w14:textFill>
        </w:rPr>
        <w:t>d</w:t>
      </w:r>
      <w:r>
        <w:rPr>
          <w:rFonts w:hint="default" w:ascii="Times New Roman" w:hAnsi="Times New Roman" w:cs="Times New Roman"/>
          <w:color w:val="000000" w:themeColor="text1"/>
          <w:u w:val="none" w:color="auto"/>
          <w14:textFill>
            <w14:solidFill>
              <w14:schemeClr w14:val="tx1"/>
            </w14:solidFill>
          </w14:textFill>
        </w:rPr>
        <w:t>和污染物到达最近的受体点(网格点或敏感点)的时间T确定。</w:t>
      </w:r>
    </w:p>
    <w:p>
      <w:pPr>
        <w:pStyle w:val="132"/>
        <w:ind w:firstLine="480"/>
        <w:jc w:val="center"/>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T=2X/U</w:t>
      </w:r>
      <w:r>
        <w:rPr>
          <w:rFonts w:hint="default" w:ascii="Times New Roman" w:hAnsi="Times New Roman" w:cs="Times New Roman"/>
          <w:color w:val="000000" w:themeColor="text1"/>
          <w:u w:val="none" w:color="auto"/>
          <w:vertAlign w:val="subscript"/>
          <w14:textFill>
            <w14:solidFill>
              <w14:schemeClr w14:val="tx1"/>
            </w14:solidFill>
          </w14:textFill>
        </w:rPr>
        <w:t>r</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式中：</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X——事故发生地与计算点的距离，m。项目与最近敏感点的近距离为4</w:t>
      </w:r>
      <w:r>
        <w:rPr>
          <w:rFonts w:hint="eastAsia" w:cs="Times New Roman"/>
          <w:color w:val="000000" w:themeColor="text1"/>
          <w:u w:val="none" w:color="auto"/>
          <w:lang w:val="en-US" w:eastAsia="zh-CN"/>
          <w14:textFill>
            <w14:solidFill>
              <w14:schemeClr w14:val="tx1"/>
            </w14:solidFill>
          </w14:textFill>
        </w:rPr>
        <w:t>55</w:t>
      </w:r>
      <w:r>
        <w:rPr>
          <w:rFonts w:hint="default" w:ascii="Times New Roman" w:hAnsi="Times New Roman" w:cs="Times New Roman"/>
          <w:color w:val="000000" w:themeColor="text1"/>
          <w:u w:val="none" w:color="auto"/>
          <w14:textFill>
            <w14:solidFill>
              <w14:schemeClr w14:val="tx1"/>
            </w14:solidFill>
          </w14:textFill>
        </w:rPr>
        <w:t>m；</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U</w:t>
      </w:r>
      <w:r>
        <w:rPr>
          <w:rFonts w:hint="default" w:ascii="Times New Roman" w:hAnsi="Times New Roman" w:cs="Times New Roman"/>
          <w:color w:val="000000" w:themeColor="text1"/>
          <w:u w:val="none" w:color="auto"/>
          <w:vertAlign w:val="subscript"/>
          <w14:textFill>
            <w14:solidFill>
              <w14:schemeClr w14:val="tx1"/>
            </w14:solidFill>
          </w14:textFill>
        </w:rPr>
        <w:t>r</w:t>
      </w:r>
      <w:r>
        <w:rPr>
          <w:rFonts w:hint="default" w:ascii="Times New Roman" w:hAnsi="Times New Roman" w:cs="Times New Roman"/>
          <w:color w:val="000000" w:themeColor="text1"/>
          <w:u w:val="none" w:color="auto"/>
          <w14:textFill>
            <w14:solidFill>
              <w14:schemeClr w14:val="tx1"/>
            </w14:solidFill>
          </w14:textFill>
        </w:rPr>
        <w:t>——10m高处风速，m/s。假设风速和风向在T时间段内保持不变。取1.</w:t>
      </w:r>
      <w:r>
        <w:rPr>
          <w:rFonts w:hint="eastAsia" w:cs="Times New Roman"/>
          <w:color w:val="000000" w:themeColor="text1"/>
          <w:u w:val="none" w:color="auto"/>
          <w:lang w:val="en-US" w:eastAsia="zh-CN"/>
          <w14:textFill>
            <w14:solidFill>
              <w14:schemeClr w14:val="tx1"/>
            </w14:solidFill>
          </w14:textFill>
        </w:rPr>
        <w:t>9</w:t>
      </w:r>
      <w:r>
        <w:rPr>
          <w:rFonts w:hint="default" w:ascii="Times New Roman" w:hAnsi="Times New Roman" w:cs="Times New Roman"/>
          <w:color w:val="000000" w:themeColor="text1"/>
          <w:u w:val="none" w:color="auto"/>
          <w14:textFill>
            <w14:solidFill>
              <w14:schemeClr w14:val="tx1"/>
            </w14:solidFill>
          </w14:textFill>
        </w:rPr>
        <w:t>m/s。</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当T</w:t>
      </w:r>
      <w:r>
        <w:rPr>
          <w:rFonts w:hint="default" w:ascii="Times New Roman" w:hAnsi="Times New Roman" w:cs="Times New Roman"/>
          <w:color w:val="000000" w:themeColor="text1"/>
          <w:u w:val="none" w:color="auto"/>
          <w:vertAlign w:val="subscript"/>
          <w14:textFill>
            <w14:solidFill>
              <w14:schemeClr w14:val="tx1"/>
            </w14:solidFill>
          </w14:textFill>
        </w:rPr>
        <w:t>d</w:t>
      </w:r>
      <w:r>
        <w:rPr>
          <w:rFonts w:hint="default" w:ascii="Times New Roman" w:hAnsi="Times New Roman" w:cs="Times New Roman"/>
          <w:color w:val="000000" w:themeColor="text1"/>
          <w:u w:val="none" w:color="auto"/>
          <w14:textFill>
            <w14:solidFill>
              <w14:schemeClr w14:val="tx1"/>
            </w14:solidFill>
          </w14:textFill>
        </w:rPr>
        <w:t>＞T时，可被认为是连续排放的；当T</w:t>
      </w:r>
      <w:r>
        <w:rPr>
          <w:rFonts w:hint="default" w:ascii="Times New Roman" w:hAnsi="Times New Roman" w:cs="Times New Roman"/>
          <w:color w:val="000000" w:themeColor="text1"/>
          <w:u w:val="none" w:color="auto"/>
          <w:vertAlign w:val="subscript"/>
          <w14:textFill>
            <w14:solidFill>
              <w14:schemeClr w14:val="tx1"/>
            </w14:solidFill>
          </w14:textFill>
        </w:rPr>
        <w:t>d</w:t>
      </w:r>
      <w:r>
        <w:rPr>
          <w:rFonts w:hint="default" w:ascii="Times New Roman" w:hAnsi="Times New Roman" w:eastAsia="宋体" w:cs="Times New Roman"/>
          <w:color w:val="000000" w:themeColor="text1"/>
          <w:u w:val="none" w:color="auto"/>
          <w14:textFill>
            <w14:solidFill>
              <w14:schemeClr w14:val="tx1"/>
            </w14:solidFill>
          </w14:textFill>
        </w:rPr>
        <w:t>≤</w:t>
      </w:r>
      <w:r>
        <w:rPr>
          <w:rFonts w:hint="default" w:ascii="Times New Roman" w:hAnsi="Times New Roman" w:cs="Times New Roman"/>
          <w:color w:val="000000" w:themeColor="text1"/>
          <w:u w:val="none" w:color="auto"/>
          <w14:textFill>
            <w14:solidFill>
              <w14:schemeClr w14:val="tx1"/>
            </w14:solidFill>
          </w14:textFill>
        </w:rPr>
        <w:t>T时，可被认为是瞬时排放。</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经计算，泄露气体到达最近受体点的时间约为</w:t>
      </w:r>
      <w:r>
        <w:rPr>
          <w:rFonts w:hint="eastAsia" w:cs="Times New Roman"/>
          <w:color w:val="000000" w:themeColor="text1"/>
          <w:u w:val="none" w:color="auto"/>
          <w:lang w:val="en-US" w:eastAsia="zh-CN"/>
          <w14:textFill>
            <w14:solidFill>
              <w14:schemeClr w14:val="tx1"/>
            </w14:solidFill>
          </w14:textFill>
        </w:rPr>
        <w:t>478</w:t>
      </w:r>
      <w:r>
        <w:rPr>
          <w:rFonts w:hint="default" w:ascii="Times New Roman" w:hAnsi="Times New Roman" w:cs="Times New Roman"/>
          <w:color w:val="000000" w:themeColor="text1"/>
          <w:u w:val="none" w:color="auto"/>
          <w14:textFill>
            <w14:solidFill>
              <w14:schemeClr w14:val="tx1"/>
            </w14:solidFill>
          </w14:textFill>
        </w:rPr>
        <w:t>s，小于泄露时间30min，可判定为持续泄露。</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eastAsia" w:cs="Times New Roman"/>
          <w:color w:val="000000" w:themeColor="text1"/>
          <w:u w:val="none" w:color="auto"/>
          <w:lang w:val="en-US" w:eastAsia="zh-CN"/>
          <w14:textFill>
            <w14:solidFill>
              <w14:schemeClr w14:val="tx1"/>
            </w14:solidFill>
          </w14:textFill>
        </w:rPr>
        <w:t>（2）</w:t>
      </w:r>
      <w:r>
        <w:rPr>
          <w:rFonts w:hint="default" w:ascii="Times New Roman" w:hAnsi="Times New Roman" w:eastAsia="宋体" w:cs="Times New Roman"/>
          <w:bCs w:val="0"/>
          <w:color w:val="000000" w:themeColor="text1"/>
          <w:kern w:val="2"/>
          <w:sz w:val="24"/>
          <w:szCs w:val="21"/>
          <w:u w:val="none" w:color="auto"/>
          <w:lang w:val="en-US" w:eastAsia="zh-CN" w:bidi="ar-SA"/>
          <w14:textFill>
            <w14:solidFill>
              <w14:schemeClr w14:val="tx1"/>
            </w14:solidFill>
          </w14:textFill>
        </w:rPr>
        <w:t>理查德森数(Ri)计算</w:t>
      </w:r>
    </w:p>
    <w:p>
      <w:pPr>
        <w:pStyle w:val="132"/>
        <w:keepNext w:val="0"/>
        <w:keepLines w:val="0"/>
        <w:pageBreakBefore w:val="0"/>
        <w:widowControl w:val="0"/>
        <w:kinsoku/>
        <w:wordWrap/>
        <w:overflowPunct/>
        <w:topLinePunct w:val="0"/>
        <w:autoSpaceDE/>
        <w:autoSpaceDN/>
        <w:bidi w:val="0"/>
        <w:snapToGrid w:val="0"/>
        <w:spacing w:line="480" w:lineRule="exact"/>
        <w:ind w:firstLine="48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根据《建设项目环境风险评价导则》(HJ/T 169-2018)附录G，选择连续排放理查德森数计算公式。</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drawing>
          <wp:inline distT="0" distB="0" distL="114300" distR="114300">
            <wp:extent cx="1645920" cy="541655"/>
            <wp:effectExtent l="0" t="0" r="11430" b="10795"/>
            <wp:docPr id="2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1"/>
                    <pic:cNvPicPr>
                      <a:picLocks noChangeAspect="1"/>
                    </pic:cNvPicPr>
                  </pic:nvPicPr>
                  <pic:blipFill>
                    <a:blip r:embed="rId64"/>
                    <a:stretch>
                      <a:fillRect/>
                    </a:stretch>
                  </pic:blipFill>
                  <pic:spPr>
                    <a:xfrm>
                      <a:off x="0" y="0"/>
                      <a:ext cx="1645920" cy="541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napToGrid w:val="0"/>
        <w:spacing w:line="480" w:lineRule="exact"/>
        <w:ind w:firstLine="482"/>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式中：</w:t>
      </w:r>
    </w:p>
    <w:p>
      <w:pPr>
        <w:keepNext w:val="0"/>
        <w:keepLines w:val="0"/>
        <w:pageBreakBefore w:val="0"/>
        <w:widowControl w:val="0"/>
        <w:kinsoku/>
        <w:wordWrap/>
        <w:overflowPunct/>
        <w:topLinePunct w:val="0"/>
        <w:autoSpaceDE/>
        <w:autoSpaceDN/>
        <w:bidi w:val="0"/>
        <w:snapToGrid w:val="0"/>
        <w:spacing w:line="480" w:lineRule="exact"/>
        <w:ind w:firstLine="482"/>
        <w:jc w:val="both"/>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ρ</w:t>
      </w:r>
      <w:r>
        <w:rPr>
          <w:rFonts w:hint="default" w:ascii="Times New Roman" w:hAnsi="Times New Roman" w:cs="Times New Roman"/>
          <w:color w:val="000000" w:themeColor="text1"/>
          <w:u w:val="none" w:color="auto"/>
          <w:vertAlign w:val="subscript"/>
          <w14:textFill>
            <w14:solidFill>
              <w14:schemeClr w14:val="tx1"/>
            </w14:solidFill>
          </w14:textFill>
        </w:rPr>
        <w:t>rel</w:t>
      </w:r>
      <w:r>
        <w:rPr>
          <w:rFonts w:hint="default" w:ascii="Times New Roman" w:hAnsi="Times New Roman" w:cs="Times New Roman"/>
          <w:color w:val="000000" w:themeColor="text1"/>
          <w:u w:val="none" w:color="auto"/>
          <w14:textFill>
            <w14:solidFill>
              <w14:schemeClr w14:val="tx1"/>
            </w14:solidFill>
          </w14:textFill>
        </w:rPr>
        <w:t>——排放物质进入大气的初始密度，kg/m</w:t>
      </w:r>
      <w:r>
        <w:rPr>
          <w:rFonts w:hint="default" w:ascii="Times New Roman" w:hAnsi="Times New Roman" w:cs="Times New Roman"/>
          <w:color w:val="000000" w:themeColor="text1"/>
          <w:u w:val="none" w:color="auto"/>
          <w:vertAlign w:val="superscript"/>
          <w14:textFill>
            <w14:solidFill>
              <w14:schemeClr w14:val="tx1"/>
            </w14:solidFill>
          </w14:textFill>
        </w:rPr>
        <w:t>3</w:t>
      </w:r>
      <w:r>
        <w:rPr>
          <w:rFonts w:hint="default" w:ascii="Times New Roman" w:hAnsi="Times New Roman" w:cs="Times New Roman"/>
          <w:color w:val="000000" w:themeColor="text1"/>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480" w:lineRule="exact"/>
        <w:ind w:firstLine="482"/>
        <w:jc w:val="both"/>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ρ</w:t>
      </w:r>
      <w:r>
        <w:rPr>
          <w:rFonts w:hint="default" w:ascii="Times New Roman" w:hAnsi="Times New Roman" w:cs="Times New Roman"/>
          <w:color w:val="000000" w:themeColor="text1"/>
          <w:u w:val="none" w:color="auto"/>
          <w:vertAlign w:val="subscript"/>
          <w14:textFill>
            <w14:solidFill>
              <w14:schemeClr w14:val="tx1"/>
            </w14:solidFill>
          </w14:textFill>
        </w:rPr>
        <w:t>a</w:t>
      </w:r>
      <w:r>
        <w:rPr>
          <w:rFonts w:hint="default" w:ascii="Times New Roman" w:hAnsi="Times New Roman" w:cs="Times New Roman"/>
          <w:color w:val="000000" w:themeColor="text1"/>
          <w:u w:val="none" w:color="auto"/>
          <w14:textFill>
            <w14:solidFill>
              <w14:schemeClr w14:val="tx1"/>
            </w14:solidFill>
          </w14:textFill>
        </w:rPr>
        <w:t>——环境空气密度，kg/m</w:t>
      </w:r>
      <w:r>
        <w:rPr>
          <w:rFonts w:hint="default" w:ascii="Times New Roman" w:hAnsi="Times New Roman" w:cs="Times New Roman"/>
          <w:color w:val="000000" w:themeColor="text1"/>
          <w:u w:val="none" w:color="auto"/>
          <w:vertAlign w:val="superscript"/>
          <w14:textFill>
            <w14:solidFill>
              <w14:schemeClr w14:val="tx1"/>
            </w14:solidFill>
          </w14:textFill>
        </w:rPr>
        <w:t>3</w:t>
      </w:r>
      <w:r>
        <w:rPr>
          <w:rFonts w:hint="default" w:ascii="Times New Roman" w:hAnsi="Times New Roman" w:cs="Times New Roman"/>
          <w:color w:val="000000" w:themeColor="text1"/>
          <w:u w:val="none" w:color="auto"/>
          <w14:textFill>
            <w14:solidFill>
              <w14:schemeClr w14:val="tx1"/>
            </w14:solidFill>
          </w14:textFill>
        </w:rPr>
        <w:t>。标准情况下(20℃，1atm)的空气密度ρ</w:t>
      </w:r>
      <w:r>
        <w:rPr>
          <w:rFonts w:hint="default" w:ascii="Times New Roman" w:hAnsi="Times New Roman" w:cs="Times New Roman"/>
          <w:color w:val="000000" w:themeColor="text1"/>
          <w:u w:val="none" w:color="auto"/>
          <w:vertAlign w:val="subscript"/>
          <w14:textFill>
            <w14:solidFill>
              <w14:schemeClr w14:val="tx1"/>
            </w14:solidFill>
          </w14:textFill>
        </w:rPr>
        <w:t>a</w:t>
      </w:r>
      <w:r>
        <w:rPr>
          <w:rFonts w:hint="default" w:ascii="Times New Roman" w:hAnsi="Times New Roman" w:cs="Times New Roman"/>
          <w:color w:val="000000" w:themeColor="text1"/>
          <w:u w:val="none" w:color="auto"/>
          <w14:textFill>
            <w14:solidFill>
              <w14:schemeClr w14:val="tx1"/>
            </w14:solidFill>
          </w14:textFill>
        </w:rPr>
        <w:t>=1.205kg/m</w:t>
      </w:r>
      <w:r>
        <w:rPr>
          <w:rFonts w:hint="default" w:ascii="Times New Roman" w:hAnsi="Times New Roman" w:cs="Times New Roman"/>
          <w:color w:val="000000" w:themeColor="text1"/>
          <w:u w:val="none" w:color="auto"/>
          <w:vertAlign w:val="superscript"/>
          <w14:textFill>
            <w14:solidFill>
              <w14:schemeClr w14:val="tx1"/>
            </w14:solidFill>
          </w14:textFill>
        </w:rPr>
        <w:t>3</w:t>
      </w:r>
      <w:r>
        <w:rPr>
          <w:rFonts w:hint="default" w:ascii="Times New Roman" w:hAnsi="Times New Roman" w:cs="Times New Roman"/>
          <w:color w:val="000000" w:themeColor="text1"/>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480" w:lineRule="exact"/>
        <w:ind w:firstLine="482"/>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Q——连续排放烟羽的排放速率，kg/s；</w:t>
      </w:r>
    </w:p>
    <w:p>
      <w:pPr>
        <w:keepNext w:val="0"/>
        <w:keepLines w:val="0"/>
        <w:pageBreakBefore w:val="0"/>
        <w:widowControl w:val="0"/>
        <w:kinsoku/>
        <w:wordWrap/>
        <w:overflowPunct/>
        <w:topLinePunct w:val="0"/>
        <w:autoSpaceDE/>
        <w:autoSpaceDN/>
        <w:bidi w:val="0"/>
        <w:snapToGrid w:val="0"/>
        <w:spacing w:line="480" w:lineRule="exact"/>
        <w:ind w:firstLine="482"/>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g——重力加速度，9.81m/s</w:t>
      </w:r>
      <w:r>
        <w:rPr>
          <w:rFonts w:hint="default" w:ascii="Times New Roman" w:hAnsi="Times New Roman" w:cs="Times New Roman"/>
          <w:color w:val="000000" w:themeColor="text1"/>
          <w:u w:val="none" w:color="auto"/>
          <w:vertAlign w:val="superscript"/>
          <w14:textFill>
            <w14:solidFill>
              <w14:schemeClr w14:val="tx1"/>
            </w14:solidFill>
          </w14:textFill>
        </w:rPr>
        <w:t>2</w:t>
      </w:r>
      <w:r>
        <w:rPr>
          <w:rFonts w:hint="default" w:ascii="Times New Roman" w:hAnsi="Times New Roman" w:cs="Times New Roman"/>
          <w:color w:val="000000" w:themeColor="text1"/>
          <w:u w:val="none" w:color="auto"/>
          <w14:textFill>
            <w14:solidFill>
              <w14:schemeClr w14:val="tx1"/>
            </w14:solidFill>
          </w14:textFill>
        </w:rPr>
        <w:t>；</w:t>
      </w:r>
    </w:p>
    <w:p>
      <w:pPr>
        <w:keepNext w:val="0"/>
        <w:keepLines w:val="0"/>
        <w:pageBreakBefore w:val="0"/>
        <w:widowControl w:val="0"/>
        <w:kinsoku/>
        <w:wordWrap/>
        <w:overflowPunct/>
        <w:topLinePunct w:val="0"/>
        <w:autoSpaceDE/>
        <w:autoSpaceDN/>
        <w:bidi w:val="0"/>
        <w:snapToGrid w:val="0"/>
        <w:spacing w:line="480" w:lineRule="exact"/>
        <w:ind w:firstLine="482"/>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D</w:t>
      </w:r>
      <w:r>
        <w:rPr>
          <w:rFonts w:hint="default" w:ascii="Times New Roman" w:hAnsi="Times New Roman" w:cs="Times New Roman"/>
          <w:color w:val="000000" w:themeColor="text1"/>
          <w:u w:val="none" w:color="auto"/>
          <w:vertAlign w:val="subscript"/>
          <w14:textFill>
            <w14:solidFill>
              <w14:schemeClr w14:val="tx1"/>
            </w14:solidFill>
          </w14:textFill>
        </w:rPr>
        <w:t>rel</w:t>
      </w:r>
      <w:r>
        <w:rPr>
          <w:rFonts w:hint="default" w:ascii="Times New Roman" w:hAnsi="Times New Roman" w:cs="Times New Roman"/>
          <w:color w:val="000000" w:themeColor="text1"/>
          <w:u w:val="none" w:color="auto"/>
          <w14:textFill>
            <w14:solidFill>
              <w14:schemeClr w14:val="tx1"/>
            </w14:solidFill>
          </w14:textFill>
        </w:rPr>
        <w:t xml:space="preserve">——初始的烟团宽度，即源直径，m； </w:t>
      </w:r>
    </w:p>
    <w:p>
      <w:pPr>
        <w:keepNext w:val="0"/>
        <w:keepLines w:val="0"/>
        <w:pageBreakBefore w:val="0"/>
        <w:widowControl w:val="0"/>
        <w:kinsoku/>
        <w:wordWrap/>
        <w:overflowPunct/>
        <w:topLinePunct w:val="0"/>
        <w:autoSpaceDE/>
        <w:autoSpaceDN/>
        <w:bidi w:val="0"/>
        <w:snapToGrid w:val="0"/>
        <w:spacing w:line="480" w:lineRule="exact"/>
        <w:ind w:firstLine="482"/>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U</w:t>
      </w:r>
      <w:r>
        <w:rPr>
          <w:rFonts w:hint="default" w:ascii="Times New Roman" w:hAnsi="Times New Roman" w:cs="Times New Roman"/>
          <w:color w:val="000000" w:themeColor="text1"/>
          <w:u w:val="none" w:color="auto"/>
          <w:vertAlign w:val="subscript"/>
          <w14:textFill>
            <w14:solidFill>
              <w14:schemeClr w14:val="tx1"/>
            </w14:solidFill>
          </w14:textFill>
        </w:rPr>
        <w:t>r</w:t>
      </w:r>
      <w:r>
        <w:rPr>
          <w:rFonts w:hint="default" w:ascii="Times New Roman" w:hAnsi="Times New Roman" w:cs="Times New Roman"/>
          <w:color w:val="000000" w:themeColor="text1"/>
          <w:u w:val="none" w:color="auto"/>
          <w14:textFill>
            <w14:solidFill>
              <w14:schemeClr w14:val="tx1"/>
            </w14:solidFill>
          </w14:textFill>
        </w:rPr>
        <w:t>——10m高处风速，m/s。</w:t>
      </w:r>
    </w:p>
    <w:p>
      <w:pPr>
        <w:pStyle w:val="20"/>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000000" w:themeColor="text1"/>
          <w:u w:val="none" w:color="auto"/>
          <w:lang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根据项目风险源项设定下各风险因子的参数，计算得理查德森数(R</w:t>
      </w:r>
      <w:r>
        <w:rPr>
          <w:rFonts w:hint="default" w:ascii="Times New Roman" w:hAnsi="Times New Roman" w:cs="Times New Roman"/>
          <w:color w:val="000000" w:themeColor="text1"/>
          <w:u w:val="none" w:color="auto"/>
          <w:vertAlign w:val="subscript"/>
          <w14:textFill>
            <w14:solidFill>
              <w14:schemeClr w14:val="tx1"/>
            </w14:solidFill>
          </w14:textFill>
        </w:rPr>
        <w:t>i</w:t>
      </w:r>
      <w:r>
        <w:rPr>
          <w:rFonts w:hint="default" w:ascii="Times New Roman" w:hAnsi="Times New Roman" w:cs="Times New Roman"/>
          <w:color w:val="000000" w:themeColor="text1"/>
          <w:u w:val="none" w:color="auto"/>
          <w14:textFill>
            <w14:solidFill>
              <w14:schemeClr w14:val="tx1"/>
            </w14:solidFill>
          </w14:textFill>
        </w:rPr>
        <w:t>)</w:t>
      </w:r>
      <w:r>
        <w:rPr>
          <w:rFonts w:hint="eastAsia" w:ascii="Times New Roman" w:hAnsi="Times New Roman" w:cs="Times New Roman"/>
          <w:color w:val="000000" w:themeColor="text1"/>
          <w:u w:val="none" w:color="auto"/>
          <w:lang w:eastAsia="zh-CN"/>
          <w14:textFill>
            <w14:solidFill>
              <w14:schemeClr w14:val="tx1"/>
            </w14:solidFill>
          </w14:textFill>
        </w:rPr>
        <w:t>如下表所示。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u w:val="none" w:color="auto"/>
          <w14:textFill>
            <w14:solidFill>
              <w14:schemeClr w14:val="tx1"/>
            </w14:solidFill>
          </w14:textFill>
        </w:rPr>
        <w:t>项目风险因子理查德森数(R</w:t>
      </w:r>
      <w:r>
        <w:rPr>
          <w:rFonts w:hint="default" w:ascii="Times New Roman" w:hAnsi="Times New Roman" w:cs="Times New Roman"/>
          <w:b/>
          <w:bCs w:val="0"/>
          <w:color w:val="000000" w:themeColor="text1"/>
          <w:u w:val="none" w:color="auto"/>
          <w:vertAlign w:val="subscript"/>
          <w14:textFill>
            <w14:solidFill>
              <w14:schemeClr w14:val="tx1"/>
            </w14:solidFill>
          </w14:textFill>
        </w:rPr>
        <w:t>i</w:t>
      </w:r>
      <w:r>
        <w:rPr>
          <w:rFonts w:hint="default" w:ascii="Times New Roman" w:hAnsi="Times New Roman" w:cs="Times New Roman"/>
          <w:b/>
          <w:bCs w:val="0"/>
          <w:color w:val="000000" w:themeColor="text1"/>
          <w:u w:val="none" w:color="auto"/>
          <w14:textFill>
            <w14:solidFill>
              <w14:schemeClr w14:val="tx1"/>
            </w14:solidFill>
          </w14:textFill>
        </w:rPr>
        <w:t>)一览表</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31"/>
        <w:gridCol w:w="1132"/>
        <w:gridCol w:w="1134"/>
        <w:gridCol w:w="1136"/>
        <w:gridCol w:w="1136"/>
        <w:gridCol w:w="1136"/>
        <w:gridCol w:w="1141"/>
        <w:gridCol w:w="113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23" w:type="pct"/>
            <w:vMerge w:val="restart"/>
            <w:tcBorders>
              <w:top w:val="single" w:color="000000" w:sz="12" w:space="0"/>
              <w:left w:val="nil"/>
              <w:bottom w:val="single" w:color="000000" w:sz="2" w:space="0"/>
              <w:right w:val="single" w:color="000000" w:sz="2" w:space="0"/>
              <w:tl2br w:val="nil"/>
              <w:tr2bl w:val="nil"/>
            </w:tcBorders>
            <w:noWrap/>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风险因子</w:t>
            </w:r>
          </w:p>
        </w:tc>
        <w:tc>
          <w:tcPr>
            <w:tcW w:w="3750" w:type="pct"/>
            <w:gridSpan w:val="6"/>
            <w:tcBorders>
              <w:top w:val="single" w:color="000000" w:sz="12" w:space="0"/>
              <w:bottom w:val="single" w:color="000000" w:sz="2" w:space="0"/>
              <w:right w:val="single" w:color="000000" w:sz="2" w:space="0"/>
              <w:tl2br w:val="nil"/>
              <w:tr2bl w:val="nil"/>
            </w:tcBorders>
            <w:noWrap/>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参数取值</w:t>
            </w:r>
          </w:p>
        </w:tc>
        <w:tc>
          <w:tcPr>
            <w:tcW w:w="625" w:type="pct"/>
            <w:tcBorders>
              <w:top w:val="single" w:color="000000" w:sz="12" w:space="0"/>
              <w:bottom w:val="single" w:color="000000" w:sz="2" w:space="0"/>
              <w:right w:val="nil"/>
              <w:tl2br w:val="nil"/>
              <w:tr2bl w:val="nil"/>
            </w:tcBorders>
            <w:noWrap/>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计算结果</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23" w:type="pct"/>
            <w:vMerge w:val="continue"/>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623"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ρ</w:t>
            </w:r>
            <w:r>
              <w:rPr>
                <w:rFonts w:hint="default" w:ascii="Times New Roman" w:hAnsi="Times New Roman" w:eastAsia="宋体" w:cs="Times New Roman"/>
                <w:color w:val="000000" w:themeColor="text1"/>
                <w:kern w:val="0"/>
                <w:sz w:val="21"/>
                <w:szCs w:val="21"/>
                <w:u w:val="none" w:color="auto"/>
                <w:vertAlign w:val="subscript"/>
                <w14:textFill>
                  <w14:solidFill>
                    <w14:schemeClr w14:val="tx1"/>
                  </w14:solidFill>
                </w14:textFill>
              </w:rPr>
              <w:t>rel</w:t>
            </w:r>
          </w:p>
        </w:tc>
        <w:tc>
          <w:tcPr>
            <w:tcW w:w="62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ρ</w:t>
            </w:r>
            <w:r>
              <w:rPr>
                <w:rFonts w:hint="default" w:ascii="Times New Roman" w:hAnsi="Times New Roman" w:eastAsia="宋体" w:cs="Times New Roman"/>
                <w:color w:val="000000" w:themeColor="text1"/>
                <w:kern w:val="0"/>
                <w:sz w:val="21"/>
                <w:szCs w:val="21"/>
                <w:u w:val="none" w:color="auto"/>
                <w:vertAlign w:val="subscript"/>
                <w14:textFill>
                  <w14:solidFill>
                    <w14:schemeClr w14:val="tx1"/>
                  </w14:solidFill>
                </w14:textFill>
              </w:rPr>
              <w:t>a</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Q(kg/s)</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g(m/s</w:t>
            </w:r>
            <w:r>
              <w:rPr>
                <w:rFonts w:hint="default" w:ascii="Times New Roman" w:hAnsi="Times New Roman" w:eastAsia="宋体" w:cs="Times New Roman"/>
                <w:color w:val="000000" w:themeColor="text1"/>
                <w:kern w:val="0"/>
                <w:sz w:val="21"/>
                <w:szCs w:val="21"/>
                <w:u w:val="none" w:color="auto"/>
                <w:vertAlign w:val="superscript"/>
                <w14:textFill>
                  <w14:solidFill>
                    <w14:schemeClr w14:val="tx1"/>
                  </w14:solidFill>
                </w14:textFill>
              </w:rPr>
              <w:t>2</w:t>
            </w: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D</w:t>
            </w:r>
            <w:r>
              <w:rPr>
                <w:rFonts w:hint="default" w:ascii="Times New Roman" w:hAnsi="Times New Roman" w:eastAsia="宋体" w:cs="Times New Roman"/>
                <w:color w:val="000000" w:themeColor="text1"/>
                <w:kern w:val="0"/>
                <w:sz w:val="21"/>
                <w:szCs w:val="21"/>
                <w:u w:val="none" w:color="auto"/>
                <w:vertAlign w:val="subscript"/>
                <w14:textFill>
                  <w14:solidFill>
                    <w14:schemeClr w14:val="tx1"/>
                  </w14:solidFill>
                </w14:textFill>
              </w:rPr>
              <w:t>rel</w:t>
            </w:r>
          </w:p>
        </w:tc>
        <w:tc>
          <w:tcPr>
            <w:tcW w:w="625" w:type="pct"/>
            <w:noWrap/>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U</w:t>
            </w:r>
            <w:r>
              <w:rPr>
                <w:rFonts w:hint="default" w:ascii="Times New Roman" w:hAnsi="Times New Roman" w:eastAsia="宋体" w:cs="Times New Roman"/>
                <w:color w:val="000000" w:themeColor="text1"/>
                <w:kern w:val="0"/>
                <w:sz w:val="21"/>
                <w:szCs w:val="21"/>
                <w:u w:val="none" w:color="auto"/>
                <w:vertAlign w:val="subscript"/>
                <w14:textFill>
                  <w14:solidFill>
                    <w14:schemeClr w14:val="tx1"/>
                  </w14:solidFill>
                </w14:textFill>
              </w:rPr>
              <w:t>r</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R</w:t>
            </w:r>
            <w:r>
              <w:rPr>
                <w:rFonts w:hint="default" w:ascii="Times New Roman" w:hAnsi="Times New Roman" w:eastAsia="宋体" w:cs="Times New Roman"/>
                <w:color w:val="000000" w:themeColor="text1"/>
                <w:kern w:val="0"/>
                <w:sz w:val="21"/>
                <w:szCs w:val="21"/>
                <w:u w:val="none" w:color="auto"/>
                <w:vertAlign w:val="subscript"/>
                <w14:textFill>
                  <w14:solidFill>
                    <w14:schemeClr w14:val="tx1"/>
                  </w14:solidFill>
                </w14:textFill>
              </w:rPr>
              <w:t>i</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23"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eastAsia" w:cs="Times New Roman"/>
                <w:i w:val="0"/>
                <w:color w:val="000000" w:themeColor="text1"/>
                <w:kern w:val="2"/>
                <w:sz w:val="21"/>
                <w:szCs w:val="21"/>
                <w:u w:val="none" w:color="auto"/>
                <w:lang w:val="en-US" w:eastAsia="zh-CN" w:bidi="ar-SA"/>
                <w14:textFill>
                  <w14:solidFill>
                    <w14:schemeClr w14:val="tx1"/>
                  </w14:solidFill>
                </w14:textFill>
              </w:rPr>
              <w:t>SO</w:t>
            </w:r>
            <w:r>
              <w:rPr>
                <w:rFonts w:hint="eastAsia" w:cs="Times New Roman"/>
                <w:i w:val="0"/>
                <w:color w:val="000000" w:themeColor="text1"/>
                <w:kern w:val="2"/>
                <w:sz w:val="21"/>
                <w:szCs w:val="21"/>
                <w:u w:val="none" w:color="auto"/>
                <w:vertAlign w:val="subscript"/>
                <w:lang w:val="en-US" w:eastAsia="zh-CN" w:bidi="ar-SA"/>
                <w14:textFill>
                  <w14:solidFill>
                    <w14:schemeClr w14:val="tx1"/>
                  </w14:solidFill>
                </w14:textFill>
              </w:rPr>
              <w:t>2</w:t>
            </w:r>
          </w:p>
        </w:tc>
        <w:tc>
          <w:tcPr>
            <w:tcW w:w="1132" w:type="dxa"/>
            <w:noWrap w:val="0"/>
            <w:tcMar>
              <w:left w:w="28" w:type="dxa"/>
              <w:right w:w="28" w:type="dxa"/>
            </w:tcMar>
            <w:vAlign w:val="center"/>
          </w:tcPr>
          <w:p>
            <w:pPr>
              <w:keepNext w:val="0"/>
              <w:keepLines w:val="0"/>
              <w:widowControl/>
              <w:suppressLineNumbers w:val="0"/>
              <w:adjustRightInd w:val="0"/>
              <w:snapToGrid/>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lang w:val="en-US" w:eastAsia="zh-CN"/>
                <w14:textFill>
                  <w14:solidFill>
                    <w14:schemeClr w14:val="tx1"/>
                  </w14:solidFill>
                </w14:textFill>
              </w:rPr>
              <w:t>1.997</w:t>
            </w:r>
          </w:p>
        </w:tc>
        <w:tc>
          <w:tcPr>
            <w:tcW w:w="62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1.205</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0.001</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9.81</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0.2</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1.5</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0.12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23"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eastAsia" w:cs="Times New Roman"/>
                <w:i w:val="0"/>
                <w:color w:val="000000" w:themeColor="text1"/>
                <w:kern w:val="2"/>
                <w:sz w:val="21"/>
                <w:szCs w:val="21"/>
                <w:u w:val="none" w:color="auto"/>
                <w:lang w:val="en-US" w:eastAsia="zh-CN" w:bidi="ar-SA"/>
                <w14:textFill>
                  <w14:solidFill>
                    <w14:schemeClr w14:val="tx1"/>
                  </w14:solidFill>
                </w14:textFill>
              </w:rPr>
              <w:t>CO</w:t>
            </w:r>
          </w:p>
        </w:tc>
        <w:tc>
          <w:tcPr>
            <w:tcW w:w="1132" w:type="dxa"/>
            <w:noWrap w:val="0"/>
            <w:tcMar>
              <w:left w:w="28" w:type="dxa"/>
              <w:right w:w="28" w:type="dxa"/>
            </w:tcMar>
            <w:vAlign w:val="center"/>
          </w:tcPr>
          <w:p>
            <w:pPr>
              <w:keepNext w:val="0"/>
              <w:keepLines w:val="0"/>
              <w:widowControl/>
              <w:suppressLineNumbers w:val="0"/>
              <w:adjustRightInd w:val="0"/>
              <w:snapToGrid/>
              <w:spacing w:before="0" w:beforeAutospacing="0" w:after="0" w:afterAutospacing="0"/>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lang w:val="en-US" w:eastAsia="zh-CN"/>
                <w14:textFill>
                  <w14:solidFill>
                    <w14:schemeClr w14:val="tx1"/>
                  </w14:solidFill>
                </w14:textFill>
              </w:rPr>
              <w:t>1.25</w:t>
            </w:r>
          </w:p>
        </w:tc>
        <w:tc>
          <w:tcPr>
            <w:tcW w:w="62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1.205</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3.21</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9.81</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0.2</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1.5</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623" w:type="pct"/>
            <w:noWrap w:val="0"/>
            <w:tcMar>
              <w:left w:w="28" w:type="dxa"/>
              <w:right w:w="28"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2"/>
                <w:sz w:val="21"/>
                <w:szCs w:val="21"/>
                <w:u w:val="none" w:color="auto"/>
                <w:lang w:val="en-US" w:eastAsia="zh-CN" w:bidi="ar-SA"/>
                <w14:textFill>
                  <w14:solidFill>
                    <w14:schemeClr w14:val="tx1"/>
                  </w14:solidFill>
                </w14:textFill>
              </w:rPr>
            </w:pPr>
            <w:r>
              <w:rPr>
                <w:rFonts w:hint="eastAsia" w:cs="Times New Roman"/>
                <w:i w:val="0"/>
                <w:color w:val="000000" w:themeColor="text1"/>
                <w:kern w:val="2"/>
                <w:sz w:val="21"/>
                <w:szCs w:val="21"/>
                <w:u w:val="none" w:color="auto"/>
                <w:lang w:val="en-US" w:eastAsia="zh-CN" w:bidi="ar-SA"/>
                <w14:textFill>
                  <w14:solidFill>
                    <w14:schemeClr w14:val="tx1"/>
                  </w14:solidFill>
                </w14:textFill>
              </w:rPr>
              <w:t>H</w:t>
            </w:r>
            <w:r>
              <w:rPr>
                <w:rFonts w:hint="eastAsia" w:cs="Times New Roman"/>
                <w:i w:val="0"/>
                <w:color w:val="000000" w:themeColor="text1"/>
                <w:kern w:val="2"/>
                <w:sz w:val="21"/>
                <w:szCs w:val="21"/>
                <w:u w:val="none" w:color="auto"/>
                <w:vertAlign w:val="subscript"/>
                <w:lang w:val="en-US" w:eastAsia="zh-CN" w:bidi="ar-SA"/>
                <w14:textFill>
                  <w14:solidFill>
                    <w14:schemeClr w14:val="tx1"/>
                  </w14:solidFill>
                </w14:textFill>
              </w:rPr>
              <w:t>2</w:t>
            </w:r>
            <w:r>
              <w:rPr>
                <w:rFonts w:hint="eastAsia" w:cs="Times New Roman"/>
                <w:i w:val="0"/>
                <w:color w:val="000000" w:themeColor="text1"/>
                <w:kern w:val="2"/>
                <w:sz w:val="21"/>
                <w:szCs w:val="21"/>
                <w:u w:val="none" w:color="auto"/>
                <w:lang w:val="en-US" w:eastAsia="zh-CN" w:bidi="ar-SA"/>
                <w14:textFill>
                  <w14:solidFill>
                    <w14:schemeClr w14:val="tx1"/>
                  </w14:solidFill>
                </w14:textFill>
              </w:rPr>
              <w:t>S</w:t>
            </w:r>
          </w:p>
        </w:tc>
        <w:tc>
          <w:tcPr>
            <w:tcW w:w="623"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1.518</w:t>
            </w:r>
          </w:p>
        </w:tc>
        <w:tc>
          <w:tcPr>
            <w:tcW w:w="624"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1.205</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2.53</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9.81</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0.2</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eastAsia"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1.5</w:t>
            </w:r>
          </w:p>
        </w:tc>
        <w:tc>
          <w:tcPr>
            <w:tcW w:w="625" w:type="pct"/>
            <w:noWrap w:val="0"/>
            <w:tcMar>
              <w:left w:w="28" w:type="dxa"/>
              <w:right w:w="28" w:type="dxa"/>
            </w:tcMar>
            <w:vAlign w:val="center"/>
          </w:tcPr>
          <w:p>
            <w:pPr>
              <w:keepNext w:val="0"/>
              <w:keepLines w:val="0"/>
              <w:widowControl/>
              <w:suppressLineNumbers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0.85</w:t>
            </w:r>
          </w:p>
        </w:tc>
      </w:tr>
    </w:tbl>
    <w:p>
      <w:pPr>
        <w:pStyle w:val="1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000000" w:themeColor="text1"/>
          <w:u w:val="none" w:color="auto"/>
          <w:lang w:val="en-US" w:eastAsia="zh-CN"/>
          <w14:textFill>
            <w14:solidFill>
              <w14:schemeClr w14:val="tx1"/>
            </w14:solidFill>
          </w14:textFill>
        </w:rPr>
      </w:pPr>
      <w:r>
        <w:rPr>
          <w:rFonts w:hint="eastAsia" w:cs="Times New Roman"/>
          <w:color w:val="000000" w:themeColor="text1"/>
          <w:u w:val="none" w:color="auto"/>
          <w:lang w:val="en-US" w:eastAsia="zh-CN"/>
          <w14:textFill>
            <w14:solidFill>
              <w14:schemeClr w14:val="tx1"/>
            </w14:solidFill>
          </w14:textFill>
        </w:rPr>
        <w:t>（3）</w:t>
      </w:r>
      <w:r>
        <w:rPr>
          <w:rFonts w:hint="eastAsia" w:ascii="Times New Roman" w:hAnsi="Times New Roman" w:cs="Times New Roman"/>
          <w:color w:val="000000" w:themeColor="text1"/>
          <w:u w:val="none" w:color="auto"/>
          <w:lang w:eastAsia="zh-CN"/>
          <w14:textFill>
            <w14:solidFill>
              <w14:schemeClr w14:val="tx1"/>
            </w14:solidFill>
          </w14:textFill>
        </w:rPr>
        <w:t>气体性质判定</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根据《建设项目环境风险评价导则》(HJ/T 169-2018)附录G，对于连续排放，R</w:t>
      </w:r>
      <w:r>
        <w:rPr>
          <w:rFonts w:hint="default" w:ascii="Times New Roman" w:hAnsi="Times New Roman" w:cs="Times New Roman"/>
          <w:color w:val="000000" w:themeColor="text1"/>
          <w:u w:val="none" w:color="auto"/>
          <w:vertAlign w:val="subscript"/>
          <w14:textFill>
            <w14:solidFill>
              <w14:schemeClr w14:val="tx1"/>
            </w14:solidFill>
          </w14:textFill>
        </w:rPr>
        <w:t>i</w:t>
      </w:r>
      <w:r>
        <w:rPr>
          <w:rFonts w:hint="default" w:ascii="Times New Roman" w:hAnsi="Times New Roman" w:cs="Times New Roman"/>
          <w:color w:val="000000" w:themeColor="text1"/>
          <w:u w:val="none" w:color="auto"/>
          <w14:textFill>
            <w14:solidFill>
              <w14:schemeClr w14:val="tx1"/>
            </w14:solidFill>
          </w14:textFill>
        </w:rPr>
        <w:t>≥1/6为重质气体，R</w:t>
      </w:r>
      <w:r>
        <w:rPr>
          <w:rFonts w:hint="default" w:ascii="Times New Roman" w:hAnsi="Times New Roman" w:cs="Times New Roman"/>
          <w:color w:val="000000" w:themeColor="text1"/>
          <w:u w:val="none" w:color="auto"/>
          <w:vertAlign w:val="subscript"/>
          <w14:textFill>
            <w14:solidFill>
              <w14:schemeClr w14:val="tx1"/>
            </w14:solidFill>
          </w14:textFill>
        </w:rPr>
        <w:t>i</w:t>
      </w:r>
      <w:r>
        <w:rPr>
          <w:rFonts w:hint="default" w:ascii="Times New Roman" w:hAnsi="Times New Roman" w:cs="Times New Roman"/>
          <w:color w:val="000000" w:themeColor="text1"/>
          <w:u w:val="none" w:color="auto"/>
          <w14:textFill>
            <w14:solidFill>
              <w14:schemeClr w14:val="tx1"/>
            </w14:solidFill>
          </w14:textFill>
        </w:rPr>
        <w:t>＜1/6为轻质气体。</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eastAsia" w:cs="Times New Roman"/>
          <w:color w:val="000000" w:themeColor="text1"/>
          <w:u w:val="none" w:color="auto"/>
          <w:lang w:eastAsia="zh-CN"/>
          <w14:textFill>
            <w14:solidFill>
              <w14:schemeClr w14:val="tx1"/>
            </w14:solidFill>
          </w14:textFill>
        </w:rPr>
        <w:t>由上表可知</w:t>
      </w:r>
      <w:r>
        <w:rPr>
          <w:rFonts w:hint="default" w:ascii="Times New Roman" w:hAnsi="Times New Roman" w:cs="Times New Roman"/>
          <w:color w:val="000000" w:themeColor="text1"/>
          <w:u w:val="none" w:color="auto"/>
          <w14:textFill>
            <w14:solidFill>
              <w14:schemeClr w14:val="tx1"/>
            </w14:solidFill>
          </w14:textFill>
        </w:rPr>
        <w:t>，本项目风险因子中</w:t>
      </w:r>
      <w:r>
        <w:rPr>
          <w:rFonts w:hint="eastAsia" w:cs="Times New Roman"/>
          <w:color w:val="000000" w:themeColor="text1"/>
          <w:u w:val="none" w:color="auto"/>
          <w:lang w:eastAsia="zh-CN"/>
          <w14:textFill>
            <w14:solidFill>
              <w14:schemeClr w14:val="tx1"/>
            </w14:solidFill>
          </w14:textFill>
        </w:rPr>
        <w:t>均</w:t>
      </w:r>
      <w:r>
        <w:rPr>
          <w:rFonts w:hint="default" w:ascii="Times New Roman" w:hAnsi="Times New Roman" w:cs="Times New Roman"/>
          <w:color w:val="000000" w:themeColor="text1"/>
          <w:u w:val="none" w:color="auto"/>
          <w14:textFill>
            <w14:solidFill>
              <w14:schemeClr w14:val="tx1"/>
            </w14:solidFill>
          </w14:textFill>
        </w:rPr>
        <w:t>为重质气体。</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2、预测模式选择</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根据《建设项目环境风险评价导则》(HJ/T 169-2018)附录G，</w:t>
      </w:r>
      <w:r>
        <w:rPr>
          <w:rFonts w:hint="eastAsia" w:cs="Times New Roman"/>
          <w:color w:val="000000" w:themeColor="text1"/>
          <w:u w:val="none" w:color="auto"/>
          <w:lang w:eastAsia="zh-CN"/>
          <w14:textFill>
            <w14:solidFill>
              <w14:schemeClr w14:val="tx1"/>
            </w14:solidFill>
          </w14:textFill>
        </w:rPr>
        <w:t>重质气体</w:t>
      </w:r>
      <w:r>
        <w:rPr>
          <w:rFonts w:hint="default" w:ascii="Times New Roman" w:hAnsi="Times New Roman" w:cs="Times New Roman"/>
          <w:color w:val="000000" w:themeColor="text1"/>
          <w:u w:val="none" w:color="auto"/>
          <w14:textFill>
            <w14:solidFill>
              <w14:schemeClr w14:val="tx1"/>
            </w14:solidFill>
          </w14:textFill>
        </w:rPr>
        <w:t>模型进行风险预测。</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预测参数</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1、事故源参数</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根据分析识别和风险事故情形分析，事故主要包括火灾事故和气体与液体泄漏事故，项目风险事故源参数见表</w:t>
      </w:r>
      <w:r>
        <w:rPr>
          <w:rFonts w:hint="eastAsia" w:cs="Times New Roman"/>
          <w:color w:val="000000" w:themeColor="text1"/>
          <w:u w:val="none" w:color="auto"/>
          <w:lang w:val="en-US" w:eastAsia="zh-CN"/>
          <w14:textFill>
            <w14:solidFill>
              <w14:schemeClr w14:val="tx1"/>
            </w14:solidFill>
          </w14:textFill>
        </w:rPr>
        <w:t>9.5-2</w:t>
      </w:r>
      <w:r>
        <w:rPr>
          <w:rFonts w:hint="default" w:ascii="Times New Roman" w:hAnsi="Times New Roman" w:cs="Times New Roman"/>
          <w:color w:val="000000" w:themeColor="text1"/>
          <w:u w:val="none" w:color="auto"/>
          <w14:textFill>
            <w14:solidFill>
              <w14:schemeClr w14:val="tx1"/>
            </w14:solidFill>
          </w14:textFill>
        </w:rPr>
        <w:t>。</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2、气象参数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本项目为</w:t>
      </w:r>
      <w:r>
        <w:rPr>
          <w:rFonts w:hint="eastAsia" w:cs="Times New Roman"/>
          <w:color w:val="000000" w:themeColor="text1"/>
          <w:u w:val="none" w:color="auto"/>
          <w:lang w:eastAsia="zh-CN"/>
          <w14:textFill>
            <w14:solidFill>
              <w14:schemeClr w14:val="tx1"/>
            </w14:solidFill>
          </w14:textFill>
        </w:rPr>
        <w:t>二</w:t>
      </w:r>
      <w:r>
        <w:rPr>
          <w:rFonts w:hint="default" w:ascii="Times New Roman" w:hAnsi="Times New Roman" w:cs="Times New Roman"/>
          <w:color w:val="000000" w:themeColor="text1"/>
          <w:u w:val="none" w:color="auto"/>
          <w14:textFill>
            <w14:solidFill>
              <w14:schemeClr w14:val="tx1"/>
            </w14:solidFill>
          </w14:textFill>
        </w:rPr>
        <w:t>级评价，根据《建设项目环境风险评价导则》(HJ/T 169-2018)，</w:t>
      </w:r>
      <w:r>
        <w:rPr>
          <w:rFonts w:hint="eastAsia" w:cs="Times New Roman"/>
          <w:color w:val="000000" w:themeColor="text1"/>
          <w:u w:val="none" w:color="auto"/>
          <w:lang w:eastAsia="zh-CN"/>
          <w14:textFill>
            <w14:solidFill>
              <w14:schemeClr w14:val="tx1"/>
            </w14:solidFill>
          </w14:textFill>
        </w:rPr>
        <w:t>二</w:t>
      </w:r>
      <w:r>
        <w:rPr>
          <w:rFonts w:hint="default" w:ascii="Times New Roman" w:hAnsi="Times New Roman" w:cs="Times New Roman"/>
          <w:color w:val="000000" w:themeColor="text1"/>
          <w:u w:val="none" w:color="auto"/>
          <w14:textFill>
            <w14:solidFill>
              <w14:schemeClr w14:val="tx1"/>
            </w14:solidFill>
          </w14:textFill>
        </w:rPr>
        <w:t>级评价选取最不利气象条件</w:t>
      </w:r>
      <w:r>
        <w:rPr>
          <w:rFonts w:hint="eastAsia" w:cs="Times New Roman"/>
          <w:color w:val="000000" w:themeColor="text1"/>
          <w:u w:val="none" w:color="auto"/>
          <w:lang w:eastAsia="zh-CN"/>
          <w14:textFill>
            <w14:solidFill>
              <w14:schemeClr w14:val="tx1"/>
            </w14:solidFill>
          </w14:textFill>
        </w:rPr>
        <w:t>进行后果预测</w:t>
      </w:r>
      <w:r>
        <w:rPr>
          <w:rFonts w:hint="default" w:ascii="Times New Roman" w:hAnsi="Times New Roman" w:cs="Times New Roman"/>
          <w:color w:val="000000" w:themeColor="text1"/>
          <w:u w:val="none" w:color="auto"/>
          <w14:textFill>
            <w14:solidFill>
              <w14:schemeClr w14:val="tx1"/>
            </w14:solidFill>
          </w14:textFill>
        </w:rPr>
        <w:t>，项目大气风险预测模型主要参数见表</w:t>
      </w:r>
      <w:r>
        <w:rPr>
          <w:rFonts w:hint="eastAsia" w:cs="Times New Roman"/>
          <w:color w:val="000000" w:themeColor="text1"/>
          <w:u w:val="none" w:color="auto"/>
          <w:lang w:val="en-US" w:eastAsia="zh-CN"/>
          <w14:textFill>
            <w14:solidFill>
              <w14:schemeClr w14:val="tx1"/>
            </w14:solidFill>
          </w14:textFill>
        </w:rPr>
        <w:t>9.5-2</w:t>
      </w:r>
      <w:r>
        <w:rPr>
          <w:rFonts w:hint="default" w:ascii="Times New Roman" w:hAnsi="Times New Roman" w:cs="Times New Roman"/>
          <w:color w:val="000000" w:themeColor="text1"/>
          <w:u w:val="none" w:color="auto"/>
          <w14:textFill>
            <w14:solidFill>
              <w14:schemeClr w14:val="tx1"/>
            </w14:solidFill>
          </w14:textFill>
        </w:rPr>
        <w:t>。常见气象条件来源于</w:t>
      </w:r>
      <w:r>
        <w:rPr>
          <w:rFonts w:hint="eastAsia" w:cs="Times New Roman"/>
          <w:color w:val="000000" w:themeColor="text1"/>
          <w:u w:val="none" w:color="auto"/>
          <w:lang w:eastAsia="zh-CN"/>
          <w14:textFill>
            <w14:solidFill>
              <w14:schemeClr w14:val="tx1"/>
            </w14:solidFill>
          </w14:textFill>
        </w:rPr>
        <w:t>临湘</w:t>
      </w:r>
      <w:r>
        <w:rPr>
          <w:rFonts w:hint="default" w:ascii="Times New Roman" w:hAnsi="Times New Roman" w:cs="Times New Roman"/>
          <w:color w:val="000000" w:themeColor="text1"/>
          <w:u w:val="none" w:color="auto"/>
          <w14:textFill>
            <w14:solidFill>
              <w14:schemeClr w14:val="tx1"/>
            </w14:solidFill>
          </w14:textFill>
        </w:rPr>
        <w:t>气象站2018年气象统计资料。</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u w:val="none" w:color="auto"/>
          <w14:textFill>
            <w14:solidFill>
              <w14:schemeClr w14:val="tx1"/>
            </w14:solidFill>
          </w14:textFill>
        </w:rPr>
        <w:t xml:space="preserve"> 大气风险预测模型主要参数表</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57"/>
        <w:gridCol w:w="3839"/>
        <w:gridCol w:w="408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参数类型</w:t>
            </w: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选项</w:t>
            </w:r>
          </w:p>
        </w:tc>
        <w:tc>
          <w:tcPr>
            <w:tcW w:w="2249"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参数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restar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基本情况</w:t>
            </w: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事故源经度/(°)</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113°18'54.10"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事故源纬度/(°)</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29°27'55.21"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事故源类型</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火灾、泄漏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restar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气象参数</w:t>
            </w: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气象条件类型</w:t>
            </w:r>
          </w:p>
        </w:tc>
        <w:tc>
          <w:tcPr>
            <w:tcW w:w="2249"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最不利气象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风速/(m/s)</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eastAsia="zh-CN"/>
                <w14:textFill>
                  <w14:solidFill>
                    <w14:schemeClr w14:val="tx1"/>
                  </w14:solidFill>
                </w14:textFill>
              </w:rPr>
              <w:t>风向</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Cs w:val="21"/>
                <w:u w:val="none" w:color="auto"/>
                <w14:textFill>
                  <w14:solidFill>
                    <w14:schemeClr w14:val="tx1"/>
                  </w14:solidFill>
                </w14:textFill>
              </w:rPr>
              <w:t>NNE</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环境温度/</w:t>
            </w: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t>25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相对湿度/%</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稳定度</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F</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restar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其他参数</w:t>
            </w: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地表粗糙度/m</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1cm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是否考虑地形</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不考虑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exact"/>
        </w:trPr>
        <w:tc>
          <w:tcPr>
            <w:tcW w:w="637" w:type="pct"/>
            <w:vMerge w:val="continue"/>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p>
        </w:tc>
        <w:tc>
          <w:tcPr>
            <w:tcW w:w="2113" w:type="pct"/>
            <w:noWrap w:val="0"/>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地形数据精度/m</w:t>
            </w:r>
          </w:p>
        </w:tc>
        <w:tc>
          <w:tcPr>
            <w:tcW w:w="2249" w:type="pct"/>
            <w:noWrap w:val="0"/>
            <w:tcMar>
              <w:left w:w="28" w:type="dxa"/>
              <w:right w:w="28" w:type="dxa"/>
            </w:tcMar>
            <w:vAlign w:val="center"/>
          </w:tcPr>
          <w:p>
            <w:pPr>
              <w:keepNext w:val="0"/>
              <w:keepLines w:val="0"/>
              <w:suppressLineNumbers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w:t>
            </w:r>
          </w:p>
        </w:tc>
      </w:tr>
    </w:tbl>
    <w:p>
      <w:pPr>
        <w:pStyle w:val="14"/>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3、大气毒性终点浓度值选取</w:t>
      </w:r>
    </w:p>
    <w:p>
      <w:pPr>
        <w:pStyle w:val="13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大气毒性终点浓度值分为1级和2级。其中1级为当大气中危险物质浓度低于该限值时，绝大多数人员暴露1h不会对生命造成威胁，当超过该限值时，有可能对人群造成生命威胁；2级为当大气中危险物质浓度低于该限值时，暴露1h一般不会对人体造成不可逆的伤害，或出现的症状一般不会损伤该个体采取有效防护措施的能力。</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u w:val="none" w:color="auto"/>
          <w:lang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根据《建设项目环境风险评价导则》(HJ/T 169-2018)附录H，</w:t>
      </w:r>
      <w:r>
        <w:rPr>
          <w:rFonts w:hint="default" w:ascii="Times New Roman" w:hAnsi="Times New Roman" w:cs="Times New Roman"/>
          <w:color w:val="000000" w:themeColor="text1"/>
          <w:u w:val="none" w:color="auto"/>
          <w:lang w:eastAsia="zh-CN"/>
          <w14:textFill>
            <w14:solidFill>
              <w14:schemeClr w14:val="tx1"/>
            </w14:solidFill>
          </w14:textFill>
        </w:rPr>
        <w:t>选取部分有</w:t>
      </w:r>
      <w:r>
        <w:rPr>
          <w:rFonts w:hint="default" w:ascii="Times New Roman" w:hAnsi="Times New Roman" w:cs="Times New Roman"/>
          <w:color w:val="000000" w:themeColor="text1"/>
          <w:u w:val="none" w:color="auto"/>
          <w14:textFill>
            <w14:solidFill>
              <w14:schemeClr w14:val="tx1"/>
            </w14:solidFill>
          </w14:textFill>
        </w:rPr>
        <w:t>项目风险因子大气毒性终点浓度值如</w:t>
      </w:r>
      <w:r>
        <w:rPr>
          <w:rFonts w:hint="default" w:ascii="Times New Roman" w:hAnsi="Times New Roman" w:cs="Times New Roman"/>
          <w:color w:val="000000" w:themeColor="text1"/>
          <w:u w:val="none" w:color="auto"/>
          <w:lang w:eastAsia="zh-CN"/>
          <w14:textFill>
            <w14:solidFill>
              <w14:schemeClr w14:val="tx1"/>
            </w14:solidFill>
          </w14:textFill>
        </w:rPr>
        <w:t>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default" w:ascii="Times New Roman" w:hAnsi="Times New Roman" w:cs="Times New Roman"/>
          <w:b/>
          <w:bCs w:val="0"/>
          <w:color w:val="000000" w:themeColor="text1"/>
          <w:u w:val="none" w:color="auto"/>
          <w14:textFill>
            <w14:solidFill>
              <w14:schemeClr w14:val="tx1"/>
            </w14:solidFill>
          </w14:textFill>
        </w:rPr>
        <w:t>项目风险因子大气毒性终点浓度值取值表</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20"/>
        <w:gridCol w:w="1359"/>
        <w:gridCol w:w="1208"/>
        <w:gridCol w:w="2106"/>
        <w:gridCol w:w="1986"/>
        <w:gridCol w:w="170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6" w:type="pct"/>
            <w:tcBorders>
              <w:top w:val="single" w:color="000000" w:sz="12" w:space="0"/>
              <w:left w:val="nil"/>
              <w:bottom w:val="single" w:color="000000" w:sz="2" w:space="0"/>
              <w:right w:val="single" w:color="000000" w:sz="2" w:space="0"/>
              <w:tl2br w:val="nil"/>
              <w:tr2bl w:val="nil"/>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bookmarkStart w:id="511" w:name="OLE_LINK4"/>
            <w:r>
              <w:rPr>
                <w:rFonts w:hint="default" w:ascii="Times New Roman" w:hAnsi="Times New Roman" w:eastAsia="宋体" w:cs="Times New Roman"/>
                <w:color w:val="000000" w:themeColor="text1"/>
                <w:sz w:val="21"/>
                <w:szCs w:val="21"/>
                <w:u w:val="none" w:color="auto"/>
                <w14:textFill>
                  <w14:solidFill>
                    <w14:schemeClr w14:val="tx1"/>
                  </w14:solidFill>
                </w14:textFill>
              </w:rPr>
              <w:t>序号</w:t>
            </w:r>
          </w:p>
        </w:tc>
        <w:tc>
          <w:tcPr>
            <w:tcW w:w="748"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风险因子</w:t>
            </w:r>
          </w:p>
        </w:tc>
        <w:tc>
          <w:tcPr>
            <w:tcW w:w="665"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单位</w:t>
            </w:r>
          </w:p>
        </w:tc>
        <w:tc>
          <w:tcPr>
            <w:tcW w:w="1159"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大气毒性终点浓度-1</w:t>
            </w:r>
          </w:p>
        </w:tc>
        <w:tc>
          <w:tcPr>
            <w:tcW w:w="1093" w:type="pct"/>
            <w:tcBorders>
              <w:top w:val="single" w:color="000000" w:sz="12" w:space="0"/>
              <w:bottom w:val="single" w:color="000000" w:sz="2" w:space="0"/>
              <w:right w:val="single" w:color="000000" w:sz="2" w:space="0"/>
              <w:tl2br w:val="nil"/>
              <w:tr2bl w:val="nil"/>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大气毒性终点浓度-2</w:t>
            </w:r>
          </w:p>
        </w:tc>
        <w:tc>
          <w:tcPr>
            <w:tcW w:w="937" w:type="pct"/>
            <w:tcBorders>
              <w:top w:val="single" w:color="000000" w:sz="12" w:space="0"/>
              <w:bottom w:val="single" w:color="000000" w:sz="2" w:space="0"/>
              <w:right w:val="nil"/>
              <w:tl2br w:val="nil"/>
              <w:tr2bl w:val="nil"/>
            </w:tcBorders>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依据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6"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1</w:t>
            </w:r>
          </w:p>
        </w:tc>
        <w:tc>
          <w:tcPr>
            <w:tcW w:w="748"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eastAsia" w:cs="Times New Roman"/>
                <w:color w:val="000000" w:themeColor="text1"/>
                <w:kern w:val="2"/>
                <w:sz w:val="21"/>
                <w:szCs w:val="21"/>
                <w:u w:val="none" w:color="auto"/>
                <w:lang w:val="en-US" w:eastAsia="zh-CN" w:bidi="ar"/>
                <w14:textFill>
                  <w14:solidFill>
                    <w14:schemeClr w14:val="tx1"/>
                  </w14:solidFill>
                </w14:textFill>
              </w:rPr>
              <w:t>SO</w:t>
            </w:r>
            <w:r>
              <w:rPr>
                <w:rFonts w:hint="eastAsia" w:cs="Times New Roman"/>
                <w:color w:val="000000" w:themeColor="text1"/>
                <w:kern w:val="2"/>
                <w:sz w:val="21"/>
                <w:szCs w:val="21"/>
                <w:u w:val="none" w:color="auto"/>
                <w:vertAlign w:val="subscript"/>
                <w:lang w:val="en-US" w:eastAsia="zh-CN" w:bidi="ar"/>
                <w14:textFill>
                  <w14:solidFill>
                    <w14:schemeClr w14:val="tx1"/>
                  </w14:solidFill>
                </w14:textFill>
              </w:rPr>
              <w:t>2</w:t>
            </w:r>
          </w:p>
        </w:tc>
        <w:tc>
          <w:tcPr>
            <w:tcW w:w="665"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mg/m</w:t>
            </w:r>
            <w:r>
              <w:rPr>
                <w:rFonts w:hint="default" w:ascii="Times New Roman" w:hAnsi="Times New Roman" w:eastAsia="宋体" w:cs="Times New Roman"/>
                <w:color w:val="000000" w:themeColor="text1"/>
                <w:sz w:val="21"/>
                <w:szCs w:val="21"/>
                <w:u w:val="none" w:color="auto"/>
                <w:vertAlign w:val="superscript"/>
                <w14:textFill>
                  <w14:solidFill>
                    <w14:schemeClr w14:val="tx1"/>
                  </w14:solidFill>
                </w14:textFill>
              </w:rPr>
              <w:t>3</w:t>
            </w:r>
          </w:p>
        </w:tc>
        <w:tc>
          <w:tcPr>
            <w:tcW w:w="1159"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79</w:t>
            </w:r>
          </w:p>
        </w:tc>
        <w:tc>
          <w:tcPr>
            <w:tcW w:w="109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2</w:t>
            </w:r>
          </w:p>
        </w:tc>
        <w:tc>
          <w:tcPr>
            <w:tcW w:w="937" w:type="pct"/>
            <w:vMerge w:val="restar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《建设项目环境风险评价导则》(HJ/T 169-2018)附录H</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6"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2</w:t>
            </w:r>
          </w:p>
        </w:tc>
        <w:tc>
          <w:tcPr>
            <w:tcW w:w="748"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14:textFill>
                  <w14:solidFill>
                    <w14:schemeClr w14:val="tx1"/>
                  </w14:solidFill>
                </w14:textFill>
              </w:rPr>
              <w:t>CO</w:t>
            </w:r>
          </w:p>
        </w:tc>
        <w:tc>
          <w:tcPr>
            <w:tcW w:w="665"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mg/m</w:t>
            </w:r>
            <w:r>
              <w:rPr>
                <w:rFonts w:hint="default" w:ascii="Times New Roman" w:hAnsi="Times New Roman" w:eastAsia="宋体" w:cs="Times New Roman"/>
                <w:color w:val="000000" w:themeColor="text1"/>
                <w:sz w:val="21"/>
                <w:szCs w:val="21"/>
                <w:u w:val="none" w:color="auto"/>
                <w:vertAlign w:val="superscript"/>
                <w14:textFill>
                  <w14:solidFill>
                    <w14:schemeClr w14:val="tx1"/>
                  </w14:solidFill>
                </w14:textFill>
              </w:rPr>
              <w:t>3</w:t>
            </w:r>
          </w:p>
        </w:tc>
        <w:tc>
          <w:tcPr>
            <w:tcW w:w="1159"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380</w:t>
            </w:r>
          </w:p>
        </w:tc>
        <w:tc>
          <w:tcPr>
            <w:tcW w:w="109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95</w:t>
            </w:r>
          </w:p>
        </w:tc>
        <w:tc>
          <w:tcPr>
            <w:tcW w:w="937"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396"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cs="Times New Roman"/>
                <w:color w:val="000000" w:themeColor="text1"/>
                <w:sz w:val="21"/>
                <w:szCs w:val="21"/>
                <w:u w:val="none" w:color="auto"/>
                <w:lang w:val="en-US" w:eastAsia="zh-CN"/>
                <w14:textFill>
                  <w14:solidFill>
                    <w14:schemeClr w14:val="tx1"/>
                  </w14:solidFill>
                </w14:textFill>
              </w:rPr>
              <w:t>3</w:t>
            </w:r>
          </w:p>
        </w:tc>
        <w:tc>
          <w:tcPr>
            <w:tcW w:w="748"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u w:val="none" w:color="auto"/>
                <w:lang w:val="en-US" w:eastAsia="zh-CN" w:bidi="ar"/>
                <w14:textFill>
                  <w14:solidFill>
                    <w14:schemeClr w14:val="tx1"/>
                  </w14:solidFill>
                </w14:textFill>
              </w:rPr>
            </w:pPr>
            <w:r>
              <w:rPr>
                <w:rFonts w:hint="eastAsia" w:eastAsia="宋体" w:cs="Times New Roman"/>
                <w:color w:val="000000" w:themeColor="text1"/>
                <w:kern w:val="2"/>
                <w:sz w:val="21"/>
                <w:szCs w:val="21"/>
                <w:u w:val="none" w:color="auto"/>
                <w:lang w:val="en-US" w:eastAsia="zh-CN" w:bidi="ar"/>
                <w14:textFill>
                  <w14:solidFill>
                    <w14:schemeClr w14:val="tx1"/>
                  </w14:solidFill>
                </w14:textFill>
              </w:rPr>
              <w:t>硫化氢</w:t>
            </w:r>
          </w:p>
        </w:tc>
        <w:tc>
          <w:tcPr>
            <w:tcW w:w="665"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r>
              <w:rPr>
                <w:rFonts w:hint="default" w:ascii="Times New Roman" w:hAnsi="Times New Roman" w:eastAsia="宋体" w:cs="Times New Roman"/>
                <w:color w:val="000000" w:themeColor="text1"/>
                <w:sz w:val="21"/>
                <w:szCs w:val="21"/>
                <w:u w:val="none" w:color="auto"/>
                <w14:textFill>
                  <w14:solidFill>
                    <w14:schemeClr w14:val="tx1"/>
                  </w14:solidFill>
                </w14:textFill>
              </w:rPr>
              <w:t>mg/m</w:t>
            </w:r>
            <w:r>
              <w:rPr>
                <w:rFonts w:hint="default" w:ascii="Times New Roman" w:hAnsi="Times New Roman" w:eastAsia="宋体" w:cs="Times New Roman"/>
                <w:color w:val="000000" w:themeColor="text1"/>
                <w:sz w:val="21"/>
                <w:szCs w:val="21"/>
                <w:u w:val="none" w:color="auto"/>
                <w:vertAlign w:val="superscript"/>
                <w14:textFill>
                  <w14:solidFill>
                    <w14:schemeClr w14:val="tx1"/>
                  </w14:solidFill>
                </w14:textFill>
              </w:rPr>
              <w:t>3</w:t>
            </w:r>
          </w:p>
        </w:tc>
        <w:tc>
          <w:tcPr>
            <w:tcW w:w="1159"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eastAsia="宋体" w:cs="Times New Roman"/>
                <w:color w:val="000000" w:themeColor="text1"/>
                <w:sz w:val="21"/>
                <w:szCs w:val="21"/>
                <w:u w:val="none" w:color="auto"/>
                <w:lang w:val="en-US" w:eastAsia="zh-CN"/>
                <w14:textFill>
                  <w14:solidFill>
                    <w14:schemeClr w14:val="tx1"/>
                  </w14:solidFill>
                </w14:textFill>
              </w:rPr>
              <w:t>70</w:t>
            </w:r>
          </w:p>
        </w:tc>
        <w:tc>
          <w:tcPr>
            <w:tcW w:w="1093" w:type="pct"/>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lang w:val="en-US" w:eastAsia="zh-CN"/>
                <w14:textFill>
                  <w14:solidFill>
                    <w14:schemeClr w14:val="tx1"/>
                  </w14:solidFill>
                </w14:textFill>
              </w:rPr>
            </w:pPr>
            <w:r>
              <w:rPr>
                <w:rFonts w:hint="eastAsia" w:eastAsia="宋体" w:cs="Times New Roman"/>
                <w:color w:val="000000" w:themeColor="text1"/>
                <w:sz w:val="21"/>
                <w:szCs w:val="21"/>
                <w:u w:val="none" w:color="auto"/>
                <w:lang w:val="en-US" w:eastAsia="zh-CN"/>
                <w14:textFill>
                  <w14:solidFill>
                    <w14:schemeClr w14:val="tx1"/>
                  </w14:solidFill>
                </w14:textFill>
              </w:rPr>
              <w:t>38</w:t>
            </w:r>
          </w:p>
        </w:tc>
        <w:tc>
          <w:tcPr>
            <w:tcW w:w="937" w:type="pct"/>
            <w:vMerge w:val="continue"/>
            <w:noWrap w:val="0"/>
            <w:tcMar>
              <w:left w:w="28" w:type="dxa"/>
              <w:right w:w="28" w:type="dxa"/>
            </w:tcMar>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000000" w:themeColor="text1"/>
                <w:sz w:val="21"/>
                <w:szCs w:val="21"/>
                <w:u w:val="none" w:color="auto"/>
                <w14:textFill>
                  <w14:solidFill>
                    <w14:schemeClr w14:val="tx1"/>
                  </w14:solidFill>
                </w14:textFill>
              </w:rPr>
            </w:pPr>
          </w:p>
        </w:tc>
      </w:tr>
      <w:bookmarkEnd w:id="511"/>
    </w:tbl>
    <w:p>
      <w:pPr>
        <w:pStyle w:val="14"/>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4、网格设置及其他参数</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以北风为主导风向，考虑下风向5km范围，计算点设置50m间距，计算平面离地高度为1.5m，计算时间为</w:t>
      </w:r>
      <w:r>
        <w:rPr>
          <w:rFonts w:hint="eastAsia" w:cs="Times New Roman"/>
          <w:color w:val="000000" w:themeColor="text1"/>
          <w:u w:val="none" w:color="auto"/>
          <w:lang w:val="en-US" w:eastAsia="zh-CN"/>
          <w14:textFill>
            <w14:solidFill>
              <w14:schemeClr w14:val="tx1"/>
            </w14:solidFill>
          </w14:textFill>
        </w:rPr>
        <w:t>1</w:t>
      </w:r>
      <w:r>
        <w:rPr>
          <w:rFonts w:hint="default" w:ascii="Times New Roman" w:hAnsi="Times New Roman" w:cs="Times New Roman"/>
          <w:color w:val="000000" w:themeColor="text1"/>
          <w:u w:val="none" w:color="auto"/>
          <w14:textFill>
            <w14:solidFill>
              <w14:schemeClr w14:val="tx1"/>
            </w14:solidFill>
          </w14:textFill>
        </w:rPr>
        <w:t>h，间隔为10min，统计15min平均浓度，风向为</w:t>
      </w:r>
      <w:r>
        <w:rPr>
          <w:rFonts w:hint="eastAsia" w:cs="Times New Roman"/>
          <w:color w:val="000000" w:themeColor="text1"/>
          <w:u w:val="none" w:color="auto"/>
          <w:lang w:eastAsia="zh-CN"/>
          <w14:textFill>
            <w14:solidFill>
              <w14:schemeClr w14:val="tx1"/>
            </w14:solidFill>
          </w14:textFill>
        </w:rPr>
        <w:t>东北风</w:t>
      </w:r>
      <w:r>
        <w:rPr>
          <w:rFonts w:hint="default" w:ascii="Times New Roman" w:hAnsi="Times New Roman" w:cs="Times New Roman"/>
          <w:color w:val="000000" w:themeColor="text1"/>
          <w:u w:val="none" w:color="auto"/>
          <w14:textFill>
            <w14:solidFill>
              <w14:schemeClr w14:val="tx1"/>
            </w14:solidFill>
          </w14:textFill>
        </w:rPr>
        <w:t>，泄漏地面为干水泥。</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二氧化硫泄露预测结果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根据预测模式和预测参数，二氧化硫泄露扩散后轴向最大浓度分布情况分别见表9.5-4和图9.5-1。</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二氧化硫泄露后轴线各点的最大浓度一览表</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396"/>
        <w:gridCol w:w="3294"/>
        <w:gridCol w:w="3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05"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u w:val="none" w:color="auto"/>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距离 (m)</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浓度出现时间(min)</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u w:val="none" w:color="auto"/>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高峰浓度 (mg/m</w:t>
            </w:r>
            <w:r>
              <w:rPr>
                <w:rFonts w:hint="default" w:ascii="Times New Roman" w:hAnsi="Times New Roman" w:eastAsia="宋体" w:cs="Times New Roman"/>
                <w:i w:val="0"/>
                <w:color w:val="000000" w:themeColor="text1"/>
                <w:kern w:val="0"/>
                <w:sz w:val="21"/>
                <w:szCs w:val="21"/>
                <w:u w:val="none" w:color="auto"/>
                <w:vertAlign w:val="superscript"/>
                <w:lang w:val="en-US" w:eastAsia="zh-CN" w:bidi="ar"/>
                <w14:textFill>
                  <w14:solidFill>
                    <w14:schemeClr w14:val="tx1"/>
                  </w14:solidFill>
                </w14:textFill>
              </w:rPr>
              <w:t>3</w:t>
            </w: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0.11</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53.22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0.67</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1.22</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1.78</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2.33</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2.89</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310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3.44</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4.56</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5.11</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5.67</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6.22</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6.78</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7.33</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7.89</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8.44</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810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9.00</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860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9.56</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10.67</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11.22</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22.33</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3010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42.44</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56.56</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4810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67.45</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4860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68.00</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4910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68.56</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4960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69.11</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0.01</w:t>
            </w:r>
          </w:p>
        </w:tc>
      </w:tr>
    </w:tbl>
    <w:p>
      <w:pPr>
        <w:pStyle w:val="132"/>
        <w:ind w:firstLine="480"/>
        <w:rPr>
          <w:rFonts w:hint="eastAsia" w:cs="Times New Roman"/>
          <w:color w:val="000000" w:themeColor="text1"/>
          <w:u w:val="none" w:color="auto"/>
          <w:lang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在全部时间里超过给定阈值的最大廓线，即最大影响区域。</w:t>
      </w:r>
      <w:r>
        <w:rPr>
          <w:rFonts w:hint="eastAsia" w:cs="Times New Roman"/>
          <w:color w:val="000000" w:themeColor="text1"/>
          <w:u w:val="none" w:color="auto"/>
          <w:lang w:eastAsia="zh-CN"/>
          <w14:textFill>
            <w14:solidFill>
              <w14:schemeClr w14:val="tx1"/>
            </w14:solidFill>
          </w14:textFill>
        </w:rPr>
        <w:t>二氧化硫</w:t>
      </w:r>
      <w:r>
        <w:rPr>
          <w:rFonts w:hint="default" w:ascii="Times New Roman" w:hAnsi="Times New Roman" w:cs="Times New Roman"/>
          <w:color w:val="000000" w:themeColor="text1"/>
          <w:u w:val="none" w:color="auto"/>
          <w14:textFill>
            <w14:solidFill>
              <w14:schemeClr w14:val="tx1"/>
            </w14:solidFill>
          </w14:textFill>
        </w:rPr>
        <w:t>发生泄露后，预测浓度</w:t>
      </w:r>
      <w:r>
        <w:rPr>
          <w:rFonts w:hint="eastAsia" w:cs="Times New Roman"/>
          <w:color w:val="000000" w:themeColor="text1"/>
          <w:u w:val="none" w:color="auto"/>
          <w:lang w:eastAsia="zh-CN"/>
          <w14:textFill>
            <w14:solidFill>
              <w14:schemeClr w14:val="tx1"/>
            </w14:solidFill>
          </w14:textFill>
        </w:rPr>
        <w:t>均未超过大气毒性终点浓度阙值。</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二氧化硫</w:t>
      </w:r>
      <w:r>
        <w:rPr>
          <w:rFonts w:hint="default" w:ascii="Times New Roman" w:hAnsi="Times New Roman" w:cs="Times New Roman"/>
          <w:b/>
          <w:bCs w:val="0"/>
          <w:color w:val="000000" w:themeColor="text1"/>
          <w:u w:val="none" w:color="auto"/>
          <w14:textFill>
            <w14:solidFill>
              <w14:schemeClr w14:val="tx1"/>
            </w14:solidFill>
          </w14:textFill>
        </w:rPr>
        <w:t>泄露最大影响范围一览表</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24"/>
        <w:gridCol w:w="3590"/>
        <w:gridCol w:w="1201"/>
        <w:gridCol w:w="246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气象条件</w:t>
            </w:r>
          </w:p>
        </w:tc>
        <w:tc>
          <w:tcPr>
            <w:tcW w:w="2637" w:type="pct"/>
            <w:gridSpan w:val="2"/>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阈值(mg/m</w:t>
            </w:r>
            <w:r>
              <w:rPr>
                <w:rFonts w:hint="default" w:ascii="Times New Roman" w:hAnsi="Times New Roman" w:cs="Times New Roman"/>
                <w:color w:val="000000" w:themeColor="text1"/>
                <w:kern w:val="0"/>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影响范围半径(m)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vMerge w:val="restar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最不利</w:t>
            </w:r>
          </w:p>
        </w:tc>
        <w:tc>
          <w:tcPr>
            <w:tcW w:w="1976"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毒性终点浓度-2</w:t>
            </w:r>
          </w:p>
        </w:tc>
        <w:tc>
          <w:tcPr>
            <w:tcW w:w="661"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2</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432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vMerge w:val="continue"/>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976"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毒性终点浓度-1</w:t>
            </w:r>
          </w:p>
        </w:tc>
        <w:tc>
          <w:tcPr>
            <w:tcW w:w="661"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79</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46</w:t>
            </w:r>
          </w:p>
        </w:tc>
      </w:tr>
    </w:tbl>
    <w:p>
      <w:pPr>
        <w:pStyle w:val="132"/>
        <w:ind w:firstLine="480"/>
        <w:rPr>
          <w:rFonts w:hint="default" w:ascii="Times New Roman" w:hAnsi="Times New Roman" w:cs="Times New Roman"/>
          <w:color w:val="000000" w:themeColor="text1"/>
          <w:u w:val="none" w:color="auto"/>
          <w:vertAlign w:val="baseline"/>
          <w:lang w:val="en-US"/>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根据上表可知，最不利气象条件下</w:t>
      </w:r>
      <w:r>
        <w:rPr>
          <w:rFonts w:hint="default" w:ascii="Times New Roman" w:hAnsi="Times New Roman" w:cs="Times New Roman"/>
          <w:color w:val="000000" w:themeColor="text1"/>
          <w:u w:val="none" w:color="auto"/>
          <w:lang w:val="en-US" w:eastAsia="zh-CN"/>
          <w14:textFill>
            <w14:solidFill>
              <w14:schemeClr w14:val="tx1"/>
            </w14:solidFill>
          </w14:textFill>
        </w:rPr>
        <w:t>二氧化硫</w:t>
      </w:r>
      <w:r>
        <w:rPr>
          <w:rFonts w:hint="default" w:ascii="Times New Roman" w:hAnsi="Times New Roman" w:cs="Times New Roman"/>
          <w:color w:val="000000" w:themeColor="text1"/>
          <w:u w:val="none" w:color="auto"/>
          <w14:textFill>
            <w14:solidFill>
              <w14:schemeClr w14:val="tx1"/>
            </w14:solidFill>
          </w14:textFill>
        </w:rPr>
        <w:t>在大气中扩散轴向最大浓度为</w:t>
      </w:r>
      <w:r>
        <w:rPr>
          <w:rFonts w:hint="default" w:ascii="Times New Roman" w:hAnsi="Times New Roman" w:cs="Times New Roman"/>
          <w:color w:val="000000" w:themeColor="text1"/>
          <w:u w:val="none" w:color="auto"/>
          <w:lang w:val="en-US" w:eastAsia="zh-CN"/>
          <w14:textFill>
            <w14:solidFill>
              <w14:schemeClr w14:val="tx1"/>
            </w14:solidFill>
          </w14:textFill>
        </w:rPr>
        <w:t>53.22mg/m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3</w:t>
      </w:r>
      <w:r>
        <w:rPr>
          <w:rFonts w:hint="default" w:ascii="Times New Roman" w:hAnsi="Times New Roman" w:cs="Times New Roman"/>
          <w:color w:val="000000" w:themeColor="text1"/>
          <w:u w:val="none" w:color="auto"/>
          <w:vertAlign w:val="baseline"/>
          <w:lang w:val="en-US" w:eastAsia="zh-CN"/>
          <w14:textFill>
            <w14:solidFill>
              <w14:schemeClr w14:val="tx1"/>
            </w14:solidFill>
          </w14:textFill>
        </w:rPr>
        <w:t>，</w:t>
      </w:r>
      <w:r>
        <w:rPr>
          <w:rFonts w:hint="default" w:ascii="Times New Roman" w:hAnsi="Times New Roman" w:cs="Times New Roman"/>
          <w:color w:val="000000" w:themeColor="text1"/>
          <w:kern w:val="0"/>
          <w:u w:val="none" w:color="auto"/>
          <w14:textFill>
            <w14:solidFill>
              <w14:schemeClr w14:val="tx1"/>
            </w14:solidFill>
          </w14:textFill>
        </w:rPr>
        <w:t>距离泄漏源距离为</w:t>
      </w:r>
      <w:r>
        <w:rPr>
          <w:rFonts w:hint="default" w:ascii="Times New Roman" w:hAnsi="Times New Roman" w:cs="Times New Roman"/>
          <w:color w:val="000000" w:themeColor="text1"/>
          <w:u w:val="none" w:color="auto"/>
          <w:vertAlign w:val="baseline"/>
          <w:lang w:val="en-US" w:eastAsia="zh-CN"/>
          <w14:textFill>
            <w14:solidFill>
              <w14:schemeClr w14:val="tx1"/>
            </w14:solidFill>
          </w14:textFill>
        </w:rPr>
        <w:t>10m，出现时间为0.11min。</w:t>
      </w:r>
    </w:p>
    <w:p>
      <w:pPr>
        <w:pStyle w:val="14"/>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2691765"/>
            <wp:effectExtent l="0" t="0" r="254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5"/>
                    <a:stretch>
                      <a:fillRect/>
                    </a:stretch>
                  </pic:blipFill>
                  <pic:spPr>
                    <a:xfrm>
                      <a:off x="0" y="0"/>
                      <a:ext cx="5274310" cy="2691765"/>
                    </a:xfrm>
                    <a:prstGeom prst="rect">
                      <a:avLst/>
                    </a:prstGeom>
                  </pic:spPr>
                </pic:pic>
              </a:graphicData>
            </a:graphic>
          </wp:inline>
        </w:drawing>
      </w:r>
    </w:p>
    <w:p>
      <w:pPr>
        <w:jc w:val="center"/>
        <w:rPr>
          <w:rFonts w:hint="default"/>
          <w:b/>
          <w:bCs/>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9.5-1  二氧化硫泄露后轴线浓度随距离变化曲线图</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CO泄露预测结果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根据预测模式和预测参数，一氧化碳泄露扩散后轴向最大浓度分布情况分别见表9.5-6和图9.5-2。</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一氧化碳泄露后轴线各点的最大浓度一览表</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396"/>
        <w:gridCol w:w="3294"/>
        <w:gridCol w:w="3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05"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u w:val="none" w:color="auto"/>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距离 (m)</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浓度出现时间(min)</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u w:val="none" w:color="auto"/>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高峰浓度 (mg/m</w:t>
            </w:r>
            <w:r>
              <w:rPr>
                <w:rFonts w:hint="default" w:ascii="Times New Roman" w:hAnsi="Times New Roman" w:eastAsia="宋体" w:cs="Times New Roman"/>
                <w:i w:val="0"/>
                <w:color w:val="000000" w:themeColor="text1"/>
                <w:kern w:val="0"/>
                <w:sz w:val="21"/>
                <w:szCs w:val="21"/>
                <w:u w:val="none" w:color="auto"/>
                <w:vertAlign w:val="superscript"/>
                <w:lang w:val="en-US" w:eastAsia="zh-CN" w:bidi="ar"/>
                <w14:textFill>
                  <w14:solidFill>
                    <w14:schemeClr w14:val="tx1"/>
                  </w14:solidFill>
                </w14:textFill>
              </w:rPr>
              <w:t>3</w:t>
            </w: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0.11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28451.00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0.67</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2467.00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1.22</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1037.70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1.78</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580.89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2.33</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376.27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2.89</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266.13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310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3.44</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199.58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4.00</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156.05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4.56</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125.88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5.11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104.04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5.67</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87.66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6.22</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75.04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6.78</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65.08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7.33</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57.07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7.89</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50.53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810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8.44</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45.10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860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9.00</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40.55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9.56</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36.69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10.11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10.67</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22.33</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9.93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3010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42.44</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5.79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56.56</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3.95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4810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67.45</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4860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68.00</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4910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68.56</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4960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eastAsia" w:cs="Times New Roman"/>
                <w:i w:val="0"/>
                <w:color w:val="000000" w:themeColor="text1"/>
                <w:kern w:val="0"/>
                <w:sz w:val="21"/>
                <w:szCs w:val="21"/>
                <w:u w:val="none" w:color="auto"/>
                <w:lang w:val="en-US" w:eastAsia="zh-CN" w:bidi="ar"/>
                <w14:textFill>
                  <w14:solidFill>
                    <w14:schemeClr w14:val="tx1"/>
                  </w14:solidFill>
                </w14:textFill>
              </w:rPr>
              <w:t>69.11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1"/>
                <w:szCs w:val="21"/>
                <w:u w:val="none"/>
                <w:lang w:val="en-US" w:eastAsia="zh-CN" w:bidi="ar"/>
                <w14:textFill>
                  <w14:solidFill>
                    <w14:schemeClr w14:val="tx1"/>
                  </w14:solidFill>
                </w14:textFill>
              </w:rPr>
              <w:t>2.97</w:t>
            </w:r>
          </w:p>
        </w:tc>
      </w:tr>
    </w:tbl>
    <w:p>
      <w:pPr>
        <w:pStyle w:val="132"/>
        <w:ind w:firstLine="480"/>
        <w:rPr>
          <w:rFonts w:hint="eastAsia" w:cs="Times New Roman"/>
          <w:color w:val="000000" w:themeColor="text1"/>
          <w:u w:val="none" w:color="auto"/>
          <w:lang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在全部时间里超过给定阈值的最大廓线，即最大影响区域。</w:t>
      </w:r>
      <w:r>
        <w:rPr>
          <w:rFonts w:hint="eastAsia" w:cs="Times New Roman"/>
          <w:color w:val="000000" w:themeColor="text1"/>
          <w:u w:val="none" w:color="auto"/>
          <w:lang w:eastAsia="zh-CN"/>
          <w14:textFill>
            <w14:solidFill>
              <w14:schemeClr w14:val="tx1"/>
            </w14:solidFill>
          </w14:textFill>
        </w:rPr>
        <w:t>一氧化碳</w:t>
      </w:r>
      <w:r>
        <w:rPr>
          <w:rFonts w:hint="default" w:ascii="Times New Roman" w:hAnsi="Times New Roman" w:cs="Times New Roman"/>
          <w:color w:val="000000" w:themeColor="text1"/>
          <w:u w:val="none" w:color="auto"/>
          <w14:textFill>
            <w14:solidFill>
              <w14:schemeClr w14:val="tx1"/>
            </w14:solidFill>
          </w14:textFill>
        </w:rPr>
        <w:t>发生泄露后，预测浓度</w:t>
      </w:r>
      <w:r>
        <w:rPr>
          <w:rFonts w:hint="eastAsia" w:cs="Times New Roman"/>
          <w:color w:val="000000" w:themeColor="text1"/>
          <w:u w:val="none" w:color="auto"/>
          <w:lang w:eastAsia="zh-CN"/>
          <w14:textFill>
            <w14:solidFill>
              <w14:schemeClr w14:val="tx1"/>
            </w14:solidFill>
          </w14:textFill>
        </w:rPr>
        <w:t>均未超过大气毒性终点浓度阙值。</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一氧化碳</w:t>
      </w:r>
      <w:r>
        <w:rPr>
          <w:rFonts w:hint="default" w:ascii="Times New Roman" w:hAnsi="Times New Roman" w:cs="Times New Roman"/>
          <w:b/>
          <w:bCs w:val="0"/>
          <w:color w:val="000000" w:themeColor="text1"/>
          <w:u w:val="none" w:color="auto"/>
          <w14:textFill>
            <w14:solidFill>
              <w14:schemeClr w14:val="tx1"/>
            </w14:solidFill>
          </w14:textFill>
        </w:rPr>
        <w:t>泄露最大影响范围一览表</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24"/>
        <w:gridCol w:w="3590"/>
        <w:gridCol w:w="1201"/>
        <w:gridCol w:w="246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气象条件</w:t>
            </w:r>
          </w:p>
        </w:tc>
        <w:tc>
          <w:tcPr>
            <w:tcW w:w="2637" w:type="pct"/>
            <w:gridSpan w:val="2"/>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阈值(mg/m</w:t>
            </w:r>
            <w:r>
              <w:rPr>
                <w:rFonts w:hint="default" w:ascii="Times New Roman" w:hAnsi="Times New Roman" w:cs="Times New Roman"/>
                <w:color w:val="000000" w:themeColor="text1"/>
                <w:kern w:val="0"/>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影响范围半径(m)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vMerge w:val="restar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最不利</w:t>
            </w:r>
          </w:p>
        </w:tc>
        <w:tc>
          <w:tcPr>
            <w:tcW w:w="1976"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毒性终点浓度-2</w:t>
            </w:r>
          </w:p>
        </w:tc>
        <w:tc>
          <w:tcPr>
            <w:tcW w:w="661"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95</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vMerge w:val="continue"/>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976"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毒性终点浓度-1</w:t>
            </w:r>
          </w:p>
        </w:tc>
        <w:tc>
          <w:tcPr>
            <w:tcW w:w="661"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380</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14</w:t>
            </w:r>
          </w:p>
        </w:tc>
      </w:tr>
    </w:tbl>
    <w:p>
      <w:pPr>
        <w:pStyle w:val="132"/>
        <w:ind w:firstLine="480"/>
        <w:rPr>
          <w:rFonts w:hint="default" w:ascii="Times New Roman" w:hAnsi="Times New Roman" w:cs="Times New Roman"/>
          <w:color w:val="000000" w:themeColor="text1"/>
          <w:u w:val="none" w:color="auto"/>
          <w:vertAlign w:val="baseline"/>
          <w:lang w:val="en-US"/>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根据上表可知，最不利气象条件下</w:t>
      </w:r>
      <w:r>
        <w:rPr>
          <w:rFonts w:hint="eastAsia" w:cs="Times New Roman"/>
          <w:color w:val="000000" w:themeColor="text1"/>
          <w:u w:val="none" w:color="auto"/>
          <w:lang w:val="en-US" w:eastAsia="zh-CN"/>
          <w14:textFill>
            <w14:solidFill>
              <w14:schemeClr w14:val="tx1"/>
            </w14:solidFill>
          </w14:textFill>
        </w:rPr>
        <w:t>一氧化碳</w:t>
      </w:r>
      <w:r>
        <w:rPr>
          <w:rFonts w:hint="default" w:ascii="Times New Roman" w:hAnsi="Times New Roman" w:cs="Times New Roman"/>
          <w:color w:val="000000" w:themeColor="text1"/>
          <w:u w:val="none" w:color="auto"/>
          <w14:textFill>
            <w14:solidFill>
              <w14:schemeClr w14:val="tx1"/>
            </w14:solidFill>
          </w14:textFill>
        </w:rPr>
        <w:t>在大气中扩散轴向最大浓度为</w:t>
      </w:r>
      <w:r>
        <w:rPr>
          <w:rFonts w:hint="default" w:ascii="Times New Roman" w:hAnsi="Times New Roman" w:cs="Times New Roman"/>
          <w:color w:val="000000" w:themeColor="text1"/>
          <w:u w:val="none" w:color="auto"/>
          <w:lang w:val="en-US" w:eastAsia="zh-CN"/>
          <w14:textFill>
            <w14:solidFill>
              <w14:schemeClr w14:val="tx1"/>
            </w14:solidFill>
          </w14:textFill>
        </w:rPr>
        <w:t>28451.00</w:t>
      </w:r>
      <w:r>
        <w:rPr>
          <w:rFonts w:hint="eastAsia" w:cs="Times New Roman"/>
          <w:color w:val="000000" w:themeColor="text1"/>
          <w:u w:val="none" w:color="auto"/>
          <w:lang w:val="en-US" w:eastAsia="zh-CN"/>
          <w14:textFill>
            <w14:solidFill>
              <w14:schemeClr w14:val="tx1"/>
            </w14:solidFill>
          </w14:textFill>
        </w:rPr>
        <w:t>mg/m</w:t>
      </w:r>
      <w:r>
        <w:rPr>
          <w:rFonts w:hint="eastAsia" w:cs="Times New Roman"/>
          <w:color w:val="000000" w:themeColor="text1"/>
          <w:u w:val="none" w:color="auto"/>
          <w:vertAlign w:val="superscript"/>
          <w:lang w:val="en-US" w:eastAsia="zh-CN"/>
          <w14:textFill>
            <w14:solidFill>
              <w14:schemeClr w14:val="tx1"/>
            </w14:solidFill>
          </w14:textFill>
        </w:rPr>
        <w:t>3</w:t>
      </w:r>
      <w:r>
        <w:rPr>
          <w:rFonts w:hint="eastAsia" w:cs="Times New Roman"/>
          <w:color w:val="000000" w:themeColor="text1"/>
          <w:u w:val="none" w:color="auto"/>
          <w:vertAlign w:val="baseline"/>
          <w:lang w:val="en-US" w:eastAsia="zh-CN"/>
          <w14:textFill>
            <w14:solidFill>
              <w14:schemeClr w14:val="tx1"/>
            </w14:solidFill>
          </w14:textFill>
        </w:rPr>
        <w:t>，</w:t>
      </w:r>
      <w:r>
        <w:rPr>
          <w:rFonts w:hint="default" w:ascii="Times New Roman" w:hAnsi="Times New Roman" w:cs="Times New Roman"/>
          <w:color w:val="000000" w:themeColor="text1"/>
          <w:kern w:val="0"/>
          <w:u w:val="none" w:color="auto"/>
          <w14:textFill>
            <w14:solidFill>
              <w14:schemeClr w14:val="tx1"/>
            </w14:solidFill>
          </w14:textFill>
        </w:rPr>
        <w:t>距离泄漏源距离为</w:t>
      </w:r>
      <w:r>
        <w:rPr>
          <w:rFonts w:hint="eastAsia" w:cs="Times New Roman"/>
          <w:color w:val="000000" w:themeColor="text1"/>
          <w:u w:val="none" w:color="auto"/>
          <w:vertAlign w:val="baseline"/>
          <w:lang w:val="en-US" w:eastAsia="zh-CN"/>
          <w14:textFill>
            <w14:solidFill>
              <w14:schemeClr w14:val="tx1"/>
            </w14:solidFill>
          </w14:textFill>
        </w:rPr>
        <w:t>10m，出现时间为0.11min。</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2721610"/>
            <wp:effectExtent l="0" t="0" r="254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6"/>
                    <a:stretch>
                      <a:fillRect/>
                    </a:stretch>
                  </pic:blipFill>
                  <pic:spPr>
                    <a:xfrm>
                      <a:off x="0" y="0"/>
                      <a:ext cx="5274310" cy="2721610"/>
                    </a:xfrm>
                    <a:prstGeom prst="rect">
                      <a:avLst/>
                    </a:prstGeom>
                  </pic:spPr>
                </pic:pic>
              </a:graphicData>
            </a:graphic>
          </wp:inline>
        </w:drawing>
      </w:r>
    </w:p>
    <w:p>
      <w:pPr>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9.5-2  一氧化碳泄露后轴线浓度随距离变化曲线图</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硫化氢泄露预测结果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根据预测模式和预测参数，硫化氢泄露扩散后轴向最大浓度分布情况分别见表9.5-8和图9.5-4。</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硫化氢泄露后轴线各点的最大浓度一览表</w:t>
      </w:r>
    </w:p>
    <w:tbl>
      <w:tblPr>
        <w:tblStyle w:val="4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396"/>
        <w:gridCol w:w="3294"/>
        <w:gridCol w:w="3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105"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u w:val="none" w:color="auto"/>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距离 (m)</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浓度出现时间(min)</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sz w:val="21"/>
                <w:szCs w:val="21"/>
                <w:u w:val="none" w:color="auto"/>
                <w14:textFill>
                  <w14:solidFill>
                    <w14:schemeClr w14:val="tx1"/>
                  </w14:solidFill>
                </w14:textFill>
              </w:rPr>
            </w:pP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高峰浓度 (mg/m</w:t>
            </w:r>
            <w:r>
              <w:rPr>
                <w:rFonts w:hint="default" w:ascii="Times New Roman" w:hAnsi="Times New Roman" w:eastAsia="宋体" w:cs="Times New Roman"/>
                <w:i w:val="0"/>
                <w:color w:val="000000" w:themeColor="text1"/>
                <w:kern w:val="0"/>
                <w:sz w:val="21"/>
                <w:szCs w:val="21"/>
                <w:u w:val="none" w:color="auto"/>
                <w:vertAlign w:val="superscript"/>
                <w:lang w:val="en-US" w:eastAsia="zh-CN" w:bidi="ar"/>
                <w14:textFill>
                  <w14:solidFill>
                    <w14:schemeClr w14:val="tx1"/>
                  </w14:solidFill>
                </w14:textFill>
              </w:rPr>
              <w:t>3</w:t>
            </w:r>
            <w: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222170.00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0.67</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19264.00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1.22</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8102.80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1.78</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4535.90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2.33</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2938.20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2.89</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2078.10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310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3.44</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1558.50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4.00</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1218.60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4.56</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982.99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5.11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812.40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5.67</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684.52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6.22</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585.94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660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6.78</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508.18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7.33</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445.65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7.89</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394.55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810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8.44</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352.18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860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9.00</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316.63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9.56</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286.47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960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10.11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260.65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1010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10.67</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238.34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22.33</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77.57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3010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42.44</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4010</w:t>
            </w:r>
          </w:p>
        </w:tc>
        <w:tc>
          <w:tcPr>
            <w:tcW w:w="1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56.56</w:t>
            </w:r>
          </w:p>
        </w:tc>
        <w:tc>
          <w:tcPr>
            <w:tcW w:w="185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30.85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4810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67.45</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24.19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4860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68.00</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23.86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4910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68.56</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23.53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13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u w:val="none" w:color="auto"/>
                <w:lang w:val="en-US" w:eastAsia="zh-CN" w:bidi="ar"/>
                <w14:textFill>
                  <w14:solidFill>
                    <w14:schemeClr w14:val="tx1"/>
                  </w14:solidFill>
                </w14:textFill>
              </w:rPr>
              <w:t>4960</w:t>
            </w:r>
          </w:p>
        </w:tc>
        <w:tc>
          <w:tcPr>
            <w:tcW w:w="329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69.11</w:t>
            </w:r>
          </w:p>
        </w:tc>
        <w:tc>
          <w:tcPr>
            <w:tcW w:w="33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themeColor="text1"/>
                <w:kern w:val="0"/>
                <w:sz w:val="21"/>
                <w:szCs w:val="21"/>
                <w:u w:val="none" w:color="auto"/>
                <w:lang w:val="en-US" w:eastAsia="zh-CN" w:bidi="ar"/>
                <w14:textFill>
                  <w14:solidFill>
                    <w14:schemeClr w14:val="tx1"/>
                  </w14:solidFill>
                </w14:textFill>
              </w:rPr>
            </w:pPr>
            <w:r>
              <w:rPr>
                <w:rFonts w:hint="default" w:ascii="Times New Roman" w:hAnsi="Times New Roman" w:eastAsia="等线" w:cs="Times New Roman"/>
                <w:i w:val="0"/>
                <w:color w:val="000000" w:themeColor="text1"/>
                <w:kern w:val="0"/>
                <w:sz w:val="22"/>
                <w:szCs w:val="22"/>
                <w:u w:val="none"/>
                <w:lang w:val="en-US" w:eastAsia="zh-CN" w:bidi="ar"/>
                <w14:textFill>
                  <w14:solidFill>
                    <w14:schemeClr w14:val="tx1"/>
                  </w14:solidFill>
                </w14:textFill>
              </w:rPr>
              <w:t>23.22</w:t>
            </w:r>
          </w:p>
        </w:tc>
      </w:tr>
    </w:tbl>
    <w:p>
      <w:pPr>
        <w:pStyle w:val="132"/>
        <w:ind w:firstLine="480"/>
        <w:rPr>
          <w:rFonts w:hint="eastAsia" w:cs="Times New Roman"/>
          <w:color w:val="000000" w:themeColor="text1"/>
          <w:u w:val="none" w:color="auto"/>
          <w:lang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在全部时间里超过给定阈值的最大廓线，即最大影响区域。</w:t>
      </w:r>
      <w:r>
        <w:rPr>
          <w:rFonts w:hint="eastAsia" w:cs="Times New Roman"/>
          <w:color w:val="000000" w:themeColor="text1"/>
          <w:u w:val="none" w:color="auto"/>
          <w:lang w:eastAsia="zh-CN"/>
          <w14:textFill>
            <w14:solidFill>
              <w14:schemeClr w14:val="tx1"/>
            </w14:solidFill>
          </w14:textFill>
        </w:rPr>
        <w:t>硫化氢</w:t>
      </w:r>
      <w:r>
        <w:rPr>
          <w:rFonts w:hint="default" w:ascii="Times New Roman" w:hAnsi="Times New Roman" w:cs="Times New Roman"/>
          <w:color w:val="000000" w:themeColor="text1"/>
          <w:u w:val="none" w:color="auto"/>
          <w14:textFill>
            <w14:solidFill>
              <w14:schemeClr w14:val="tx1"/>
            </w14:solidFill>
          </w14:textFill>
        </w:rPr>
        <w:t>发生泄露后，预测浓度</w:t>
      </w:r>
      <w:r>
        <w:rPr>
          <w:rFonts w:hint="eastAsia" w:cs="Times New Roman"/>
          <w:color w:val="000000" w:themeColor="text1"/>
          <w:u w:val="none" w:color="auto"/>
          <w:lang w:eastAsia="zh-CN"/>
          <w14:textFill>
            <w14:solidFill>
              <w14:schemeClr w14:val="tx1"/>
            </w14:solidFill>
          </w14:textFill>
        </w:rPr>
        <w:t>均未超过大气毒性终点浓度阙值。</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硫化氢</w:t>
      </w:r>
      <w:r>
        <w:rPr>
          <w:rFonts w:hint="default" w:ascii="Times New Roman" w:hAnsi="Times New Roman" w:cs="Times New Roman"/>
          <w:b/>
          <w:bCs w:val="0"/>
          <w:color w:val="000000" w:themeColor="text1"/>
          <w:u w:val="none" w:color="auto"/>
          <w14:textFill>
            <w14:solidFill>
              <w14:schemeClr w14:val="tx1"/>
            </w14:solidFill>
          </w14:textFill>
        </w:rPr>
        <w:t>泄露最大影响范围一览表</w:t>
      </w:r>
      <w:r>
        <w:rPr>
          <w:rFonts w:hint="eastAsia"/>
          <w:color w:val="000000" w:themeColor="text1"/>
          <w:lang w:val="en-US" w:eastAsia="zh-CN"/>
          <w14:textFill>
            <w14:solidFill>
              <w14:schemeClr w14:val="tx1"/>
            </w14:solidFill>
          </w14:textFill>
        </w:rPr>
        <w:t xml:space="preserve"> </w:t>
      </w:r>
    </w:p>
    <w:tbl>
      <w:tblPr>
        <w:tblStyle w:val="209"/>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24"/>
        <w:gridCol w:w="3590"/>
        <w:gridCol w:w="1201"/>
        <w:gridCol w:w="246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气象条件</w:t>
            </w:r>
          </w:p>
        </w:tc>
        <w:tc>
          <w:tcPr>
            <w:tcW w:w="2637" w:type="pct"/>
            <w:gridSpan w:val="2"/>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阈值(mg/m</w:t>
            </w:r>
            <w:r>
              <w:rPr>
                <w:rFonts w:hint="default" w:ascii="Times New Roman" w:hAnsi="Times New Roman" w:cs="Times New Roman"/>
                <w:color w:val="000000" w:themeColor="text1"/>
                <w:kern w:val="0"/>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影响范围半径(m)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vMerge w:val="restar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最不利</w:t>
            </w:r>
          </w:p>
        </w:tc>
        <w:tc>
          <w:tcPr>
            <w:tcW w:w="1976"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毒性终点浓度-2</w:t>
            </w:r>
          </w:p>
        </w:tc>
        <w:tc>
          <w:tcPr>
            <w:tcW w:w="661"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38</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4" w:type="pct"/>
            <w:vMerge w:val="continue"/>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sz w:val="21"/>
                <w:szCs w:val="21"/>
                <w:u w:val="none" w:color="auto"/>
                <w14:textFill>
                  <w14:solidFill>
                    <w14:schemeClr w14:val="tx1"/>
                  </w14:solidFill>
                </w14:textFill>
              </w:rPr>
            </w:pPr>
          </w:p>
        </w:tc>
        <w:tc>
          <w:tcPr>
            <w:tcW w:w="1976"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毒性终点浓度-1</w:t>
            </w:r>
          </w:p>
        </w:tc>
        <w:tc>
          <w:tcPr>
            <w:tcW w:w="661"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70</w:t>
            </w:r>
          </w:p>
        </w:tc>
        <w:tc>
          <w:tcPr>
            <w:tcW w:w="1358" w:type="pct"/>
            <w:tcMar>
              <w:left w:w="28" w:type="dxa"/>
              <w:right w:w="28" w:type="dxa"/>
            </w:tcMar>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cs="Times New Roman"/>
                <w:color w:val="000000" w:themeColor="text1"/>
                <w:kern w:val="0"/>
                <w:sz w:val="21"/>
                <w:szCs w:val="21"/>
                <w:u w:val="none" w:color="auto"/>
                <w:lang w:val="en-US" w:eastAsia="zh-CN"/>
                <w14:textFill>
                  <w14:solidFill>
                    <w14:schemeClr w14:val="tx1"/>
                  </w14:solidFill>
                </w14:textFill>
              </w:rPr>
              <w:t>110</w:t>
            </w:r>
          </w:p>
        </w:tc>
      </w:tr>
    </w:tbl>
    <w:p>
      <w:pPr>
        <w:pStyle w:val="132"/>
        <w:ind w:firstLine="480"/>
        <w:rPr>
          <w:rFonts w:hint="default" w:ascii="Times New Roman" w:hAnsi="Times New Roman" w:cs="Times New Roman"/>
          <w:color w:val="000000" w:themeColor="text1"/>
          <w:u w:val="none" w:color="auto"/>
          <w:vertAlign w:val="baseline"/>
          <w:lang w:val="en-US"/>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根据上表可知，最不利气象条件下</w:t>
      </w:r>
      <w:r>
        <w:rPr>
          <w:rFonts w:hint="eastAsia" w:cs="Times New Roman"/>
          <w:color w:val="000000" w:themeColor="text1"/>
          <w:u w:val="none" w:color="auto"/>
          <w:lang w:val="en-US" w:eastAsia="zh-CN"/>
          <w14:textFill>
            <w14:solidFill>
              <w14:schemeClr w14:val="tx1"/>
            </w14:solidFill>
          </w14:textFill>
        </w:rPr>
        <w:t>一氧化碳</w:t>
      </w:r>
      <w:r>
        <w:rPr>
          <w:rFonts w:hint="default" w:ascii="Times New Roman" w:hAnsi="Times New Roman" w:cs="Times New Roman"/>
          <w:color w:val="000000" w:themeColor="text1"/>
          <w:u w:val="none" w:color="auto"/>
          <w14:textFill>
            <w14:solidFill>
              <w14:schemeClr w14:val="tx1"/>
            </w14:solidFill>
          </w14:textFill>
        </w:rPr>
        <w:t>在大气中扩散轴向最大浓度为</w:t>
      </w:r>
      <w:r>
        <w:rPr>
          <w:rFonts w:hint="default" w:ascii="Times New Roman" w:hAnsi="Times New Roman" w:cs="Times New Roman"/>
          <w:color w:val="000000" w:themeColor="text1"/>
          <w:u w:val="none" w:color="auto"/>
          <w:lang w:val="en-US" w:eastAsia="zh-CN"/>
          <w14:textFill>
            <w14:solidFill>
              <w14:schemeClr w14:val="tx1"/>
            </w14:solidFill>
          </w14:textFill>
        </w:rPr>
        <w:t>222170.00</w:t>
      </w:r>
      <w:r>
        <w:rPr>
          <w:rFonts w:hint="eastAsia" w:cs="Times New Roman"/>
          <w:color w:val="000000" w:themeColor="text1"/>
          <w:u w:val="none" w:color="auto"/>
          <w:lang w:val="en-US" w:eastAsia="zh-CN"/>
          <w14:textFill>
            <w14:solidFill>
              <w14:schemeClr w14:val="tx1"/>
            </w14:solidFill>
          </w14:textFill>
        </w:rPr>
        <w:t>mg/m</w:t>
      </w:r>
      <w:r>
        <w:rPr>
          <w:rFonts w:hint="eastAsia" w:cs="Times New Roman"/>
          <w:color w:val="000000" w:themeColor="text1"/>
          <w:u w:val="none" w:color="auto"/>
          <w:vertAlign w:val="superscript"/>
          <w:lang w:val="en-US" w:eastAsia="zh-CN"/>
          <w14:textFill>
            <w14:solidFill>
              <w14:schemeClr w14:val="tx1"/>
            </w14:solidFill>
          </w14:textFill>
        </w:rPr>
        <w:t>3</w:t>
      </w:r>
      <w:r>
        <w:rPr>
          <w:rFonts w:hint="eastAsia" w:cs="Times New Roman"/>
          <w:color w:val="000000" w:themeColor="text1"/>
          <w:u w:val="none" w:color="auto"/>
          <w:vertAlign w:val="baseline"/>
          <w:lang w:val="en-US" w:eastAsia="zh-CN"/>
          <w14:textFill>
            <w14:solidFill>
              <w14:schemeClr w14:val="tx1"/>
            </w14:solidFill>
          </w14:textFill>
        </w:rPr>
        <w:t>，</w:t>
      </w:r>
      <w:r>
        <w:rPr>
          <w:rFonts w:hint="default" w:ascii="Times New Roman" w:hAnsi="Times New Roman" w:cs="Times New Roman"/>
          <w:color w:val="000000" w:themeColor="text1"/>
          <w:kern w:val="0"/>
          <w:u w:val="none" w:color="auto"/>
          <w14:textFill>
            <w14:solidFill>
              <w14:schemeClr w14:val="tx1"/>
            </w14:solidFill>
          </w14:textFill>
        </w:rPr>
        <w:t>距离泄漏源距离为</w:t>
      </w:r>
      <w:r>
        <w:rPr>
          <w:rFonts w:hint="eastAsia" w:cs="Times New Roman"/>
          <w:color w:val="000000" w:themeColor="text1"/>
          <w:u w:val="none" w:color="auto"/>
          <w:vertAlign w:val="baseline"/>
          <w:lang w:val="en-US" w:eastAsia="zh-CN"/>
          <w14:textFill>
            <w14:solidFill>
              <w14:schemeClr w14:val="tx1"/>
            </w14:solidFill>
          </w14:textFill>
        </w:rPr>
        <w:t>10m，出现时间为0.11min。</w:t>
      </w:r>
    </w:p>
    <w:p>
      <w:pPr>
        <w:pStyle w:val="14"/>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2816860"/>
            <wp:effectExtent l="0" t="0" r="254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7"/>
                    <a:stretch>
                      <a:fillRect/>
                    </a:stretch>
                  </pic:blipFill>
                  <pic:spPr>
                    <a:xfrm>
                      <a:off x="0" y="0"/>
                      <a:ext cx="5274310" cy="2816860"/>
                    </a:xfrm>
                    <a:prstGeom prst="rect">
                      <a:avLst/>
                    </a:prstGeom>
                  </pic:spPr>
                </pic:pic>
              </a:graphicData>
            </a:graphic>
          </wp:inline>
        </w:drawing>
      </w:r>
    </w:p>
    <w:p>
      <w:pPr>
        <w:pStyle w:val="14"/>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图</w:t>
      </w:r>
      <w:r>
        <w:rPr>
          <w:rFonts w:hint="eastAsia"/>
          <w:color w:val="000000" w:themeColor="text1"/>
          <w:lang w:val="en-US" w:eastAsia="zh-CN"/>
          <w14:textFill>
            <w14:solidFill>
              <w14:schemeClr w14:val="tx1"/>
            </w14:solidFill>
          </w14:textFill>
        </w:rPr>
        <w:t xml:space="preserve">9.5-4  </w:t>
      </w:r>
      <w:r>
        <w:rPr>
          <w:rFonts w:hint="eastAsia"/>
          <w:b/>
          <w:bCs/>
          <w:color w:val="000000" w:themeColor="text1"/>
          <w:lang w:val="en-US" w:eastAsia="zh-CN"/>
          <w14:textFill>
            <w14:solidFill>
              <w14:schemeClr w14:val="tx1"/>
            </w14:solidFill>
          </w14:textFill>
        </w:rPr>
        <w:t>硫化氢泄露后轴线浓度随距离变化曲线图</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关心点大气伤害概率</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根据《建设项目环境风险评价导则》(HJ/T 169-2018)附录I，CO属于有毒有害的气体，应计算关心点大气伤害概率，计算公式如下：</w:t>
      </w:r>
    </w:p>
    <w:p>
      <w:pPr>
        <w:pStyle w:val="132"/>
        <w:spacing w:line="240" w:lineRule="auto"/>
        <w:ind w:firstLine="0" w:firstLineChars="0"/>
        <w:jc w:val="center"/>
        <w:rPr>
          <w:rFonts w:hint="default" w:ascii="Times New Roman" w:hAnsi="Times New Roman" w:cs="Times New Roman"/>
          <w:iCs/>
          <w:color w:val="000000" w:themeColor="text1"/>
          <w:u w:val="none" w:color="auto"/>
          <w14:textFill>
            <w14:solidFill>
              <w14:schemeClr w14:val="tx1"/>
            </w14:solidFill>
          </w14:textFill>
        </w:rPr>
      </w:pPr>
      <m:oMathPara>
        <m:oMath>
          <m:sSub>
            <m:sSubPr>
              <m:ctrlPr>
                <w:rPr>
                  <w:rFonts w:hint="default" w:ascii="Cambria Math" w:hAnsi="Cambria Math" w:cs="Times New Roman"/>
                  <w:i/>
                  <w:color w:val="000000" w:themeColor="text1"/>
                  <w:u w:val="none" w:color="auto"/>
                  <w14:textFill>
                    <w14:solidFill>
                      <w14:schemeClr w14:val="tx1"/>
                    </w14:solidFill>
                  </w14:textFill>
                </w:rPr>
              </m:ctrlPr>
            </m:sSubPr>
            <m:e>
              <m:r>
                <w:rPr>
                  <w:rFonts w:hint="default" w:ascii="Cambria Math" w:hAnsi="Cambria Math" w:cs="Times New Roman"/>
                  <w:color w:val="000000" w:themeColor="text1"/>
                  <w:u w:val="none" w:color="auto"/>
                  <w14:textFill>
                    <w14:solidFill>
                      <w14:schemeClr w14:val="tx1"/>
                    </w14:solidFill>
                  </w14:textFill>
                </w:rPr>
                <m:t>P</m:t>
              </m:r>
              <m:ctrlPr>
                <w:rPr>
                  <w:rFonts w:hint="default" w:ascii="Cambria Math" w:hAnsi="Cambria Math" w:cs="Times New Roman"/>
                  <w:i/>
                  <w:color w:val="000000" w:themeColor="text1"/>
                  <w:u w:val="none" w:color="auto"/>
                  <w14:textFill>
                    <w14:solidFill>
                      <w14:schemeClr w14:val="tx1"/>
                    </w14:solidFill>
                  </w14:textFill>
                </w:rPr>
              </m:ctrlPr>
            </m:e>
            <m:sub>
              <m:r>
                <w:rPr>
                  <w:rFonts w:hint="default" w:ascii="Cambria Math" w:hAnsi="Cambria Math" w:cs="Times New Roman"/>
                  <w:color w:val="000000" w:themeColor="text1"/>
                  <w:u w:val="none" w:color="auto"/>
                  <w14:textFill>
                    <w14:solidFill>
                      <w14:schemeClr w14:val="tx1"/>
                    </w14:solidFill>
                  </w14:textFill>
                </w:rPr>
                <m:t>E</m:t>
              </m:r>
              <m:ctrlPr>
                <w:rPr>
                  <w:rFonts w:hint="default" w:ascii="Cambria Math" w:hAnsi="Cambria Math" w:cs="Times New Roman"/>
                  <w:i/>
                  <w:color w:val="000000" w:themeColor="text1"/>
                  <w:u w:val="none" w:color="auto"/>
                  <w14:textFill>
                    <w14:solidFill>
                      <w14:schemeClr w14:val="tx1"/>
                    </w14:solidFill>
                  </w14:textFill>
                </w:rPr>
              </m:ctrlPr>
            </m:sub>
          </m:sSub>
          <m:r>
            <w:rPr>
              <w:rFonts w:hint="default" w:ascii="Cambria Math" w:hAnsi="Cambria Math" w:cs="Times New Roman"/>
              <w:color w:val="000000" w:themeColor="text1"/>
              <w:u w:val="none" w:color="auto"/>
              <w14:textFill>
                <w14:solidFill>
                  <w14:schemeClr w14:val="tx1"/>
                </w14:solidFill>
              </w14:textFill>
            </w:rPr>
            <m:t>=0.5*</m:t>
          </m:r>
          <m:d>
            <m:dPr>
              <m:begChr m:val="["/>
              <m:endChr m:val="]"/>
              <m:ctrlPr>
                <w:rPr>
                  <w:rFonts w:hint="default" w:ascii="Cambria Math" w:hAnsi="Cambria Math" w:cs="Times New Roman"/>
                  <w:i/>
                  <w:color w:val="000000" w:themeColor="text1"/>
                  <w:u w:val="none" w:color="auto"/>
                  <w14:textFill>
                    <w14:solidFill>
                      <w14:schemeClr w14:val="tx1"/>
                    </w14:solidFill>
                  </w14:textFill>
                </w:rPr>
              </m:ctrlPr>
            </m:dPr>
            <m:e>
              <m:r>
                <w:rPr>
                  <w:rFonts w:hint="default" w:ascii="Cambria Math" w:hAnsi="Cambria Math" w:cs="Times New Roman"/>
                  <w:color w:val="000000" w:themeColor="text1"/>
                  <w:u w:val="none" w:color="auto"/>
                  <w14:textFill>
                    <w14:solidFill>
                      <w14:schemeClr w14:val="tx1"/>
                    </w14:solidFill>
                  </w14:textFill>
                </w:rPr>
                <m:t>1+</m:t>
              </m:r>
              <m:func>
                <m:funcPr>
                  <m:ctrlPr>
                    <w:rPr>
                      <w:rFonts w:hint="default" w:ascii="Cambria Math" w:hAnsi="Cambria Math" w:cs="Times New Roman"/>
                      <w:color w:val="000000" w:themeColor="text1"/>
                      <w:u w:val="none" w:color="auto"/>
                      <w14:textFill>
                        <w14:solidFill>
                          <w14:schemeClr w14:val="tx1"/>
                        </w14:solidFill>
                      </w14:textFill>
                    </w:rPr>
                  </m:ctrlPr>
                </m:funcPr>
                <m:fName>
                  <m:r>
                    <m:rPr>
                      <m:sty m:val="p"/>
                    </m:rPr>
                    <w:rPr>
                      <w:rFonts w:hint="default" w:ascii="Cambria Math" w:hAnsi="Cambria Math" w:cs="Times New Roman"/>
                      <w:color w:val="000000" w:themeColor="text1"/>
                      <w:u w:val="none" w:color="auto"/>
                      <w14:textFill>
                        <w14:solidFill>
                          <w14:schemeClr w14:val="tx1"/>
                        </w14:solidFill>
                      </w14:textFill>
                    </w:rPr>
                    <m:t>erf</m:t>
                  </m:r>
                  <m:ctrlPr>
                    <w:rPr>
                      <w:rFonts w:hint="default" w:ascii="Cambria Math" w:hAnsi="Cambria Math" w:cs="Times New Roman"/>
                      <w:i/>
                      <w:color w:val="000000" w:themeColor="text1"/>
                      <w:u w:val="none" w:color="auto"/>
                      <w14:textFill>
                        <w14:solidFill>
                          <w14:schemeClr w14:val="tx1"/>
                        </w14:solidFill>
                      </w14:textFill>
                    </w:rPr>
                  </m:ctrlPr>
                </m:fName>
                <m:e>
                  <m:d>
                    <m:dPr>
                      <m:ctrlPr>
                        <w:rPr>
                          <w:rFonts w:hint="default" w:ascii="Cambria Math" w:hAnsi="Cambria Math" w:cs="Times New Roman"/>
                          <w:i/>
                          <w:color w:val="000000" w:themeColor="text1"/>
                          <w:u w:val="none" w:color="auto"/>
                          <w14:textFill>
                            <w14:solidFill>
                              <w14:schemeClr w14:val="tx1"/>
                            </w14:solidFill>
                          </w14:textFill>
                        </w:rPr>
                      </m:ctrlPr>
                    </m:dPr>
                    <m:e>
                      <m:f>
                        <m:fPr>
                          <m:ctrlPr>
                            <w:rPr>
                              <w:rFonts w:hint="default" w:ascii="Cambria Math" w:hAnsi="Cambria Math" w:cs="Times New Roman"/>
                              <w:i/>
                              <w:color w:val="000000" w:themeColor="text1"/>
                              <w:u w:val="none" w:color="auto"/>
                              <w14:textFill>
                                <w14:solidFill>
                                  <w14:schemeClr w14:val="tx1"/>
                                </w14:solidFill>
                              </w14:textFill>
                            </w:rPr>
                          </m:ctrlPr>
                        </m:fPr>
                        <m:num>
                          <m:r>
                            <w:rPr>
                              <w:rFonts w:hint="default" w:ascii="Cambria Math" w:hAnsi="Cambria Math" w:cs="Times New Roman"/>
                              <w:color w:val="000000" w:themeColor="text1"/>
                              <w:u w:val="none" w:color="auto"/>
                              <w14:textFill>
                                <w14:solidFill>
                                  <w14:schemeClr w14:val="tx1"/>
                                </w14:solidFill>
                              </w14:textFill>
                            </w:rPr>
                            <m:t>Y-5</m:t>
                          </m:r>
                          <m:ctrlPr>
                            <w:rPr>
                              <w:rFonts w:hint="default" w:ascii="Cambria Math" w:hAnsi="Cambria Math" w:cs="Times New Roman"/>
                              <w:i/>
                              <w:color w:val="000000" w:themeColor="text1"/>
                              <w:u w:val="none" w:color="auto"/>
                              <w14:textFill>
                                <w14:solidFill>
                                  <w14:schemeClr w14:val="tx1"/>
                                </w14:solidFill>
                              </w14:textFill>
                            </w:rPr>
                          </m:ctrlPr>
                        </m:num>
                        <m:den>
                          <m:rad>
                            <m:radPr>
                              <m:degHide m:val="1"/>
                              <m:ctrlPr>
                                <w:rPr>
                                  <w:rFonts w:hint="default" w:ascii="Cambria Math" w:hAnsi="Cambria Math" w:cs="Times New Roman"/>
                                  <w:i/>
                                  <w:color w:val="000000" w:themeColor="text1"/>
                                  <w:u w:val="none" w:color="auto"/>
                                  <w14:textFill>
                                    <w14:solidFill>
                                      <w14:schemeClr w14:val="tx1"/>
                                    </w14:solidFill>
                                  </w14:textFill>
                                </w:rPr>
                              </m:ctrlPr>
                            </m:radPr>
                            <m:deg>
                              <m:ctrlPr>
                                <w:rPr>
                                  <w:rFonts w:hint="default" w:ascii="Cambria Math" w:hAnsi="Cambria Math" w:cs="Times New Roman"/>
                                  <w:i/>
                                  <w:color w:val="000000" w:themeColor="text1"/>
                                  <w:u w:val="none" w:color="auto"/>
                                  <w14:textFill>
                                    <w14:solidFill>
                                      <w14:schemeClr w14:val="tx1"/>
                                    </w14:solidFill>
                                  </w14:textFill>
                                </w:rPr>
                              </m:ctrlPr>
                            </m:deg>
                            <m:e>
                              <m:r>
                                <w:rPr>
                                  <w:rFonts w:hint="default" w:ascii="Cambria Math" w:hAnsi="Cambria Math" w:cs="Times New Roman"/>
                                  <w:color w:val="000000" w:themeColor="text1"/>
                                  <w:u w:val="none" w:color="auto"/>
                                  <w14:textFill>
                                    <w14:solidFill>
                                      <w14:schemeClr w14:val="tx1"/>
                                    </w14:solidFill>
                                  </w14:textFill>
                                </w:rPr>
                                <m:t>2</m:t>
                              </m:r>
                              <m:ctrlPr>
                                <w:rPr>
                                  <w:rFonts w:hint="default" w:ascii="Cambria Math" w:hAnsi="Cambria Math" w:cs="Times New Roman"/>
                                  <w:i/>
                                  <w:color w:val="000000" w:themeColor="text1"/>
                                  <w:u w:val="none" w:color="auto"/>
                                  <w14:textFill>
                                    <w14:solidFill>
                                      <w14:schemeClr w14:val="tx1"/>
                                    </w14:solidFill>
                                  </w14:textFill>
                                </w:rPr>
                              </m:ctrlPr>
                            </m:e>
                          </m:rad>
                          <m:ctrlPr>
                            <w:rPr>
                              <w:rFonts w:hint="default" w:ascii="Cambria Math" w:hAnsi="Cambria Math" w:cs="Times New Roman"/>
                              <w:i/>
                              <w:color w:val="000000" w:themeColor="text1"/>
                              <w:u w:val="none" w:color="auto"/>
                              <w14:textFill>
                                <w14:solidFill>
                                  <w14:schemeClr w14:val="tx1"/>
                                </w14:solidFill>
                              </w14:textFill>
                            </w:rPr>
                          </m:ctrlPr>
                        </m:den>
                      </m:f>
                      <m:ctrlPr>
                        <w:rPr>
                          <w:rFonts w:hint="default" w:ascii="Cambria Math" w:hAnsi="Cambria Math" w:cs="Times New Roman"/>
                          <w:i/>
                          <w:color w:val="000000" w:themeColor="text1"/>
                          <w:u w:val="none" w:color="auto"/>
                          <w14:textFill>
                            <w14:solidFill>
                              <w14:schemeClr w14:val="tx1"/>
                            </w14:solidFill>
                          </w14:textFill>
                        </w:rPr>
                      </m:ctrlPr>
                    </m:e>
                  </m:d>
                  <m:ctrlPr>
                    <w:rPr>
                      <w:rFonts w:hint="default" w:ascii="Cambria Math" w:hAnsi="Cambria Math" w:cs="Times New Roman"/>
                      <w:color w:val="000000" w:themeColor="text1"/>
                      <w:u w:val="none" w:color="auto"/>
                      <w14:textFill>
                        <w14:solidFill>
                          <w14:schemeClr w14:val="tx1"/>
                        </w14:solidFill>
                      </w14:textFill>
                    </w:rPr>
                  </m:ctrlPr>
                </m:e>
              </m:func>
              <m:ctrlPr>
                <w:rPr>
                  <w:rFonts w:hint="default" w:ascii="Cambria Math" w:hAnsi="Cambria Math" w:cs="Times New Roman"/>
                  <w:i/>
                  <w:color w:val="000000" w:themeColor="text1"/>
                  <w:u w:val="none" w:color="auto"/>
                  <w14:textFill>
                    <w14:solidFill>
                      <w14:schemeClr w14:val="tx1"/>
                    </w14:solidFill>
                  </w14:textFill>
                </w:rPr>
              </m:ctrlPr>
            </m:e>
          </m:d>
          <m:r>
            <w:rPr>
              <w:rFonts w:hint="default" w:ascii="Cambria Math" w:hAnsi="Cambria Math" w:cs="Times New Roman"/>
              <w:color w:val="000000" w:themeColor="text1"/>
              <w:u w:val="none" w:color="auto"/>
              <w14:textFill>
                <w14:solidFill>
                  <w14:schemeClr w14:val="tx1"/>
                </w14:solidFill>
              </w14:textFill>
            </w:rPr>
            <m:t xml:space="preserve">          </m:t>
          </m:r>
          <m:r>
            <m:rPr>
              <m:sty m:val="p"/>
            </m:rPr>
            <w:rPr>
              <w:rFonts w:hint="default" w:ascii="Cambria Math" w:hAnsi="Cambria Math" w:cs="Times New Roman"/>
              <w:color w:val="000000" w:themeColor="text1"/>
              <w:u w:val="none" w:color="auto"/>
              <w14:textFill>
                <w14:solidFill>
                  <w14:schemeClr w14:val="tx1"/>
                </w14:solidFill>
              </w14:textFill>
            </w:rPr>
            <m:t>（Y≥5时）</m:t>
          </m:r>
        </m:oMath>
      </m:oMathPara>
    </w:p>
    <w:p>
      <w:pPr>
        <w:pStyle w:val="132"/>
        <w:spacing w:line="240" w:lineRule="auto"/>
        <w:ind w:firstLine="0" w:firstLineChars="0"/>
        <w:jc w:val="center"/>
        <w:rPr>
          <w:rFonts w:hint="default" w:ascii="Times New Roman" w:hAnsi="Times New Roman" w:cs="Times New Roman"/>
          <w:color w:val="000000" w:themeColor="text1"/>
          <w:u w:val="none" w:color="auto"/>
          <w14:textFill>
            <w14:solidFill>
              <w14:schemeClr w14:val="tx1"/>
            </w14:solidFill>
          </w14:textFill>
        </w:rPr>
      </w:pPr>
    </w:p>
    <w:p>
      <w:pPr>
        <w:pStyle w:val="132"/>
        <w:spacing w:line="240" w:lineRule="auto"/>
        <w:ind w:firstLine="0" w:firstLineChars="0"/>
        <w:jc w:val="center"/>
        <w:rPr>
          <w:rFonts w:hint="default" w:ascii="Times New Roman" w:hAnsi="Times New Roman" w:cs="Times New Roman"/>
          <w:iCs/>
          <w:color w:val="000000" w:themeColor="text1"/>
          <w:u w:val="none" w:color="auto"/>
          <w14:textFill>
            <w14:solidFill>
              <w14:schemeClr w14:val="tx1"/>
            </w14:solidFill>
          </w14:textFill>
        </w:rPr>
      </w:pPr>
      <m:oMathPara>
        <m:oMath>
          <m:sSub>
            <m:sSubPr>
              <m:ctrlPr>
                <w:rPr>
                  <w:rFonts w:hint="default" w:ascii="Cambria Math" w:hAnsi="Cambria Math" w:cs="Times New Roman"/>
                  <w:i/>
                  <w:color w:val="000000" w:themeColor="text1"/>
                  <w:u w:val="none" w:color="auto"/>
                  <w14:textFill>
                    <w14:solidFill>
                      <w14:schemeClr w14:val="tx1"/>
                    </w14:solidFill>
                  </w14:textFill>
                </w:rPr>
              </m:ctrlPr>
            </m:sSubPr>
            <m:e>
              <m:r>
                <w:rPr>
                  <w:rFonts w:hint="default" w:ascii="Cambria Math" w:hAnsi="Cambria Math" w:cs="Times New Roman"/>
                  <w:color w:val="000000" w:themeColor="text1"/>
                  <w:u w:val="none" w:color="auto"/>
                  <w14:textFill>
                    <w14:solidFill>
                      <w14:schemeClr w14:val="tx1"/>
                    </w14:solidFill>
                  </w14:textFill>
                </w:rPr>
                <m:t>P</m:t>
              </m:r>
              <m:ctrlPr>
                <w:rPr>
                  <w:rFonts w:hint="default" w:ascii="Cambria Math" w:hAnsi="Cambria Math" w:cs="Times New Roman"/>
                  <w:i/>
                  <w:color w:val="000000" w:themeColor="text1"/>
                  <w:u w:val="none" w:color="auto"/>
                  <w14:textFill>
                    <w14:solidFill>
                      <w14:schemeClr w14:val="tx1"/>
                    </w14:solidFill>
                  </w14:textFill>
                </w:rPr>
              </m:ctrlPr>
            </m:e>
            <m:sub>
              <m:r>
                <w:rPr>
                  <w:rFonts w:hint="default" w:ascii="Cambria Math" w:hAnsi="Cambria Math" w:cs="Times New Roman"/>
                  <w:color w:val="000000" w:themeColor="text1"/>
                  <w:u w:val="none" w:color="auto"/>
                  <w14:textFill>
                    <w14:solidFill>
                      <w14:schemeClr w14:val="tx1"/>
                    </w14:solidFill>
                  </w14:textFill>
                </w:rPr>
                <m:t>E</m:t>
              </m:r>
              <m:ctrlPr>
                <w:rPr>
                  <w:rFonts w:hint="default" w:ascii="Cambria Math" w:hAnsi="Cambria Math" w:cs="Times New Roman"/>
                  <w:i/>
                  <w:color w:val="000000" w:themeColor="text1"/>
                  <w:u w:val="none" w:color="auto"/>
                  <w14:textFill>
                    <w14:solidFill>
                      <w14:schemeClr w14:val="tx1"/>
                    </w14:solidFill>
                  </w14:textFill>
                </w:rPr>
              </m:ctrlPr>
            </m:sub>
          </m:sSub>
          <m:r>
            <w:rPr>
              <w:rFonts w:hint="default" w:ascii="Cambria Math" w:hAnsi="Cambria Math" w:cs="Times New Roman"/>
              <w:color w:val="000000" w:themeColor="text1"/>
              <w:u w:val="none" w:color="auto"/>
              <w14:textFill>
                <w14:solidFill>
                  <w14:schemeClr w14:val="tx1"/>
                </w14:solidFill>
              </w14:textFill>
            </w:rPr>
            <m:t>=0.5*</m:t>
          </m:r>
          <m:d>
            <m:dPr>
              <m:begChr m:val="["/>
              <m:endChr m:val="]"/>
              <m:ctrlPr>
                <w:rPr>
                  <w:rFonts w:hint="default" w:ascii="Cambria Math" w:hAnsi="Cambria Math" w:cs="Times New Roman"/>
                  <w:i/>
                  <w:color w:val="000000" w:themeColor="text1"/>
                  <w:u w:val="none" w:color="auto"/>
                  <w14:textFill>
                    <w14:solidFill>
                      <w14:schemeClr w14:val="tx1"/>
                    </w14:solidFill>
                  </w14:textFill>
                </w:rPr>
              </m:ctrlPr>
            </m:dPr>
            <m:e>
              <m:r>
                <w:rPr>
                  <w:rFonts w:hint="default" w:ascii="Cambria Math" w:hAnsi="Cambria Math" w:cs="Times New Roman"/>
                  <w:color w:val="000000" w:themeColor="text1"/>
                  <w:u w:val="none" w:color="auto"/>
                  <w14:textFill>
                    <w14:solidFill>
                      <w14:schemeClr w14:val="tx1"/>
                    </w14:solidFill>
                  </w14:textFill>
                </w:rPr>
                <m:t>1</m:t>
              </m:r>
              <m:r>
                <w:rPr>
                  <w:rFonts w:hint="default" w:ascii="Cambria Math" w:hAnsi="Cambria Math" w:eastAsia="微软雅黑" w:cs="Times New Roman"/>
                  <w:color w:val="000000" w:themeColor="text1"/>
                  <w:u w:val="none" w:color="auto"/>
                  <w14:textFill>
                    <w14:solidFill>
                      <w14:schemeClr w14:val="tx1"/>
                    </w14:solidFill>
                  </w14:textFill>
                </w:rPr>
                <m:t>-</m:t>
              </m:r>
              <m:func>
                <m:funcPr>
                  <m:ctrlPr>
                    <w:rPr>
                      <w:rFonts w:hint="default" w:ascii="Cambria Math" w:hAnsi="Cambria Math" w:cs="Times New Roman"/>
                      <w:color w:val="000000" w:themeColor="text1"/>
                      <w:u w:val="none" w:color="auto"/>
                      <w14:textFill>
                        <w14:solidFill>
                          <w14:schemeClr w14:val="tx1"/>
                        </w14:solidFill>
                      </w14:textFill>
                    </w:rPr>
                  </m:ctrlPr>
                </m:funcPr>
                <m:fName>
                  <m:r>
                    <m:rPr>
                      <m:sty m:val="p"/>
                    </m:rPr>
                    <w:rPr>
                      <w:rFonts w:hint="default" w:ascii="Cambria Math" w:hAnsi="Cambria Math" w:cs="Times New Roman"/>
                      <w:color w:val="000000" w:themeColor="text1"/>
                      <w:u w:val="none" w:color="auto"/>
                      <w14:textFill>
                        <w14:solidFill>
                          <w14:schemeClr w14:val="tx1"/>
                        </w14:solidFill>
                      </w14:textFill>
                    </w:rPr>
                    <m:t>erf</m:t>
                  </m:r>
                  <m:ctrlPr>
                    <w:rPr>
                      <w:rFonts w:hint="default" w:ascii="Cambria Math" w:hAnsi="Cambria Math" w:cs="Times New Roman"/>
                      <w:i/>
                      <w:color w:val="000000" w:themeColor="text1"/>
                      <w:u w:val="none" w:color="auto"/>
                      <w14:textFill>
                        <w14:solidFill>
                          <w14:schemeClr w14:val="tx1"/>
                        </w14:solidFill>
                      </w14:textFill>
                    </w:rPr>
                  </m:ctrlPr>
                </m:fName>
                <m:e>
                  <m:d>
                    <m:dPr>
                      <m:ctrlPr>
                        <w:rPr>
                          <w:rFonts w:hint="default" w:ascii="Cambria Math" w:hAnsi="Cambria Math" w:cs="Times New Roman"/>
                          <w:i/>
                          <w:color w:val="000000" w:themeColor="text1"/>
                          <w:u w:val="none" w:color="auto"/>
                          <w14:textFill>
                            <w14:solidFill>
                              <w14:schemeClr w14:val="tx1"/>
                            </w14:solidFill>
                          </w14:textFill>
                        </w:rPr>
                      </m:ctrlPr>
                    </m:dPr>
                    <m:e>
                      <m:f>
                        <m:fPr>
                          <m:ctrlPr>
                            <w:rPr>
                              <w:rFonts w:hint="default" w:ascii="Cambria Math" w:hAnsi="Cambria Math" w:cs="Times New Roman"/>
                              <w:i/>
                              <w:color w:val="000000" w:themeColor="text1"/>
                              <w:u w:val="none" w:color="auto"/>
                              <w14:textFill>
                                <w14:solidFill>
                                  <w14:schemeClr w14:val="tx1"/>
                                </w14:solidFill>
                              </w14:textFill>
                            </w:rPr>
                          </m:ctrlPr>
                        </m:fPr>
                        <m:num>
                          <m:d>
                            <m:dPr>
                              <m:begChr m:val="|"/>
                              <m:endChr m:val="|"/>
                              <m:ctrlPr>
                                <w:rPr>
                                  <w:rFonts w:hint="default" w:ascii="Cambria Math" w:hAnsi="Cambria Math" w:cs="Times New Roman"/>
                                  <w:i/>
                                  <w:color w:val="000000" w:themeColor="text1"/>
                                  <w:u w:val="none" w:color="auto"/>
                                  <w14:textFill>
                                    <w14:solidFill>
                                      <w14:schemeClr w14:val="tx1"/>
                                    </w14:solidFill>
                                  </w14:textFill>
                                </w:rPr>
                              </m:ctrlPr>
                            </m:dPr>
                            <m:e>
                              <m:r>
                                <w:rPr>
                                  <w:rFonts w:hint="default" w:ascii="Cambria Math" w:hAnsi="Cambria Math" w:cs="Times New Roman"/>
                                  <w:color w:val="000000" w:themeColor="text1"/>
                                  <w:u w:val="none" w:color="auto"/>
                                  <w14:textFill>
                                    <w14:solidFill>
                                      <w14:schemeClr w14:val="tx1"/>
                                    </w14:solidFill>
                                  </w14:textFill>
                                </w:rPr>
                                <m:t>Y</m:t>
                              </m:r>
                              <m:r>
                                <w:rPr>
                                  <w:rFonts w:hint="default" w:ascii="Cambria Math" w:hAnsi="Cambria Math" w:eastAsia="微软雅黑" w:cs="Times New Roman"/>
                                  <w:color w:val="000000" w:themeColor="text1"/>
                                  <w:u w:val="none" w:color="auto"/>
                                  <w14:textFill>
                                    <w14:solidFill>
                                      <w14:schemeClr w14:val="tx1"/>
                                    </w14:solidFill>
                                  </w14:textFill>
                                </w:rPr>
                                <m:t>-</m:t>
                              </m:r>
                              <m:r>
                                <w:rPr>
                                  <w:rFonts w:hint="default" w:ascii="Cambria Math" w:hAnsi="Cambria Math" w:cs="Times New Roman"/>
                                  <w:color w:val="000000" w:themeColor="text1"/>
                                  <w:u w:val="none" w:color="auto"/>
                                  <w14:textFill>
                                    <w14:solidFill>
                                      <w14:schemeClr w14:val="tx1"/>
                                    </w14:solidFill>
                                  </w14:textFill>
                                </w:rPr>
                                <m:t>5</m:t>
                              </m:r>
                              <m:ctrlPr>
                                <w:rPr>
                                  <w:rFonts w:hint="default" w:ascii="Cambria Math" w:hAnsi="Cambria Math" w:cs="Times New Roman"/>
                                  <w:i/>
                                  <w:color w:val="000000" w:themeColor="text1"/>
                                  <w:u w:val="none" w:color="auto"/>
                                  <w14:textFill>
                                    <w14:solidFill>
                                      <w14:schemeClr w14:val="tx1"/>
                                    </w14:solidFill>
                                  </w14:textFill>
                                </w:rPr>
                              </m:ctrlPr>
                            </m:e>
                          </m:d>
                          <m:ctrlPr>
                            <w:rPr>
                              <w:rFonts w:hint="default" w:ascii="Cambria Math" w:hAnsi="Cambria Math" w:cs="Times New Roman"/>
                              <w:i/>
                              <w:color w:val="000000" w:themeColor="text1"/>
                              <w:u w:val="none" w:color="auto"/>
                              <w14:textFill>
                                <w14:solidFill>
                                  <w14:schemeClr w14:val="tx1"/>
                                </w14:solidFill>
                              </w14:textFill>
                            </w:rPr>
                          </m:ctrlPr>
                        </m:num>
                        <m:den>
                          <m:rad>
                            <m:radPr>
                              <m:degHide m:val="1"/>
                              <m:ctrlPr>
                                <w:rPr>
                                  <w:rFonts w:hint="default" w:ascii="Cambria Math" w:hAnsi="Cambria Math" w:cs="Times New Roman"/>
                                  <w:i/>
                                  <w:color w:val="000000" w:themeColor="text1"/>
                                  <w:u w:val="none" w:color="auto"/>
                                  <w14:textFill>
                                    <w14:solidFill>
                                      <w14:schemeClr w14:val="tx1"/>
                                    </w14:solidFill>
                                  </w14:textFill>
                                </w:rPr>
                              </m:ctrlPr>
                            </m:radPr>
                            <m:deg>
                              <m:ctrlPr>
                                <w:rPr>
                                  <w:rFonts w:hint="default" w:ascii="Cambria Math" w:hAnsi="Cambria Math" w:cs="Times New Roman"/>
                                  <w:i/>
                                  <w:color w:val="000000" w:themeColor="text1"/>
                                  <w:u w:val="none" w:color="auto"/>
                                  <w14:textFill>
                                    <w14:solidFill>
                                      <w14:schemeClr w14:val="tx1"/>
                                    </w14:solidFill>
                                  </w14:textFill>
                                </w:rPr>
                              </m:ctrlPr>
                            </m:deg>
                            <m:e>
                              <m:r>
                                <w:rPr>
                                  <w:rFonts w:hint="default" w:ascii="Cambria Math" w:hAnsi="Cambria Math" w:cs="Times New Roman"/>
                                  <w:color w:val="000000" w:themeColor="text1"/>
                                  <w:u w:val="none" w:color="auto"/>
                                  <w14:textFill>
                                    <w14:solidFill>
                                      <w14:schemeClr w14:val="tx1"/>
                                    </w14:solidFill>
                                  </w14:textFill>
                                </w:rPr>
                                <m:t>2</m:t>
                              </m:r>
                              <m:ctrlPr>
                                <w:rPr>
                                  <w:rFonts w:hint="default" w:ascii="Cambria Math" w:hAnsi="Cambria Math" w:cs="Times New Roman"/>
                                  <w:i/>
                                  <w:color w:val="000000" w:themeColor="text1"/>
                                  <w:u w:val="none" w:color="auto"/>
                                  <w14:textFill>
                                    <w14:solidFill>
                                      <w14:schemeClr w14:val="tx1"/>
                                    </w14:solidFill>
                                  </w14:textFill>
                                </w:rPr>
                              </m:ctrlPr>
                            </m:e>
                          </m:rad>
                          <m:ctrlPr>
                            <w:rPr>
                              <w:rFonts w:hint="default" w:ascii="Cambria Math" w:hAnsi="Cambria Math" w:cs="Times New Roman"/>
                              <w:i/>
                              <w:color w:val="000000" w:themeColor="text1"/>
                              <w:u w:val="none" w:color="auto"/>
                              <w14:textFill>
                                <w14:solidFill>
                                  <w14:schemeClr w14:val="tx1"/>
                                </w14:solidFill>
                              </w14:textFill>
                            </w:rPr>
                          </m:ctrlPr>
                        </m:den>
                      </m:f>
                      <m:ctrlPr>
                        <w:rPr>
                          <w:rFonts w:hint="default" w:ascii="Cambria Math" w:hAnsi="Cambria Math" w:cs="Times New Roman"/>
                          <w:i/>
                          <w:color w:val="000000" w:themeColor="text1"/>
                          <w:u w:val="none" w:color="auto"/>
                          <w14:textFill>
                            <w14:solidFill>
                              <w14:schemeClr w14:val="tx1"/>
                            </w14:solidFill>
                          </w14:textFill>
                        </w:rPr>
                      </m:ctrlPr>
                    </m:e>
                  </m:d>
                  <m:ctrlPr>
                    <w:rPr>
                      <w:rFonts w:hint="default" w:ascii="Cambria Math" w:hAnsi="Cambria Math" w:cs="Times New Roman"/>
                      <w:color w:val="000000" w:themeColor="text1"/>
                      <w:u w:val="none" w:color="auto"/>
                      <w14:textFill>
                        <w14:solidFill>
                          <w14:schemeClr w14:val="tx1"/>
                        </w14:solidFill>
                      </w14:textFill>
                    </w:rPr>
                  </m:ctrlPr>
                </m:e>
              </m:func>
              <m:ctrlPr>
                <w:rPr>
                  <w:rFonts w:hint="default" w:ascii="Cambria Math" w:hAnsi="Cambria Math" w:cs="Times New Roman"/>
                  <w:i/>
                  <w:color w:val="000000" w:themeColor="text1"/>
                  <w:u w:val="none" w:color="auto"/>
                  <w14:textFill>
                    <w14:solidFill>
                      <w14:schemeClr w14:val="tx1"/>
                    </w14:solidFill>
                  </w14:textFill>
                </w:rPr>
              </m:ctrlPr>
            </m:e>
          </m:d>
          <m:r>
            <w:rPr>
              <w:rFonts w:hint="default" w:ascii="Cambria Math" w:hAnsi="Cambria Math" w:cs="Times New Roman"/>
              <w:color w:val="000000" w:themeColor="text1"/>
              <w:u w:val="none" w:color="auto"/>
              <w14:textFill>
                <w14:solidFill>
                  <w14:schemeClr w14:val="tx1"/>
                </w14:solidFill>
              </w14:textFill>
            </w:rPr>
            <m:t xml:space="preserve">          </m:t>
          </m:r>
          <m:r>
            <m:rPr>
              <m:sty m:val="p"/>
            </m:rPr>
            <w:rPr>
              <w:rFonts w:hint="default" w:ascii="Cambria Math" w:hAnsi="Cambria Math" w:cs="Times New Roman"/>
              <w:color w:val="000000" w:themeColor="text1"/>
              <w:u w:val="none" w:color="auto"/>
              <w14:textFill>
                <w14:solidFill>
                  <w14:schemeClr w14:val="tx1"/>
                </w14:solidFill>
              </w14:textFill>
            </w:rPr>
            <m:t>（Y＜5时）</m:t>
          </m:r>
        </m:oMath>
      </m:oMathPara>
    </w:p>
    <w:p>
      <w:pPr>
        <w:pStyle w:val="132"/>
        <w:ind w:firstLine="480"/>
        <w:rPr>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式中：P</w:t>
      </w:r>
      <w:r>
        <w:rPr>
          <w:color w:val="000000" w:themeColor="text1"/>
          <w:u w:val="none" w:color="auto"/>
          <w:vertAlign w:val="subscript"/>
          <w14:textFill>
            <w14:solidFill>
              <w14:schemeClr w14:val="tx1"/>
            </w14:solidFill>
          </w14:textFill>
        </w:rPr>
        <w:t>E</w:t>
      </w:r>
      <w:r>
        <w:rPr>
          <w:rFonts w:hint="eastAsia"/>
          <w:color w:val="000000" w:themeColor="text1"/>
          <w:u w:val="none" w:color="auto"/>
          <w14:textFill>
            <w14:solidFill>
              <w14:schemeClr w14:val="tx1"/>
            </w14:solidFill>
          </w14:textFill>
        </w:rPr>
        <w:t>—人员吸入毒性物质而导致急性死亡的概率；</w:t>
      </w:r>
    </w:p>
    <w:p>
      <w:pPr>
        <w:pStyle w:val="132"/>
        <w:ind w:firstLine="480"/>
        <w:rPr>
          <w:color w:val="000000" w:themeColor="text1"/>
          <w:u w:val="none" w:color="auto"/>
          <w14:textFill>
            <w14:solidFill>
              <w14:schemeClr w14:val="tx1"/>
            </w14:solidFill>
          </w14:textFill>
        </w:rPr>
      </w:pPr>
      <w:r>
        <w:rPr>
          <w:color w:val="000000" w:themeColor="text1"/>
          <w:u w:val="none" w:color="auto"/>
          <w14:textFill>
            <w14:solidFill>
              <w14:schemeClr w14:val="tx1"/>
            </w14:solidFill>
          </w14:textFill>
        </w:rPr>
        <w:t xml:space="preserve">      Y</w:t>
      </w:r>
      <w:r>
        <w:rPr>
          <w:rFonts w:hint="eastAsia"/>
          <w:color w:val="000000" w:themeColor="text1"/>
          <w:u w:val="none" w:color="auto"/>
          <w14:textFill>
            <w14:solidFill>
              <w14:schemeClr w14:val="tx1"/>
            </w14:solidFill>
          </w14:textFill>
        </w:rPr>
        <w:t>—中间量，量纲1，可由下式计算；</w:t>
      </w:r>
    </w:p>
    <w:p>
      <w:pPr>
        <w:pStyle w:val="132"/>
        <w:ind w:firstLine="480"/>
        <w:rPr>
          <w:color w:val="000000" w:themeColor="text1"/>
          <w:u w:val="none" w:color="auto"/>
          <w14:textFill>
            <w14:solidFill>
              <w14:schemeClr w14:val="tx1"/>
            </w14:solidFill>
          </w14:textFill>
        </w:rPr>
      </w:pPr>
      <m:oMathPara>
        <m:oMath>
          <m:r>
            <w:rPr>
              <w:rFonts w:ascii="Cambria Math" w:hAnsi="Cambria Math"/>
              <w:color w:val="000000" w:themeColor="text1"/>
              <w:u w:val="none" w:color="auto"/>
              <w14:textFill>
                <w14:solidFill>
                  <w14:schemeClr w14:val="tx1"/>
                </w14:solidFill>
              </w14:textFill>
            </w:rPr>
            <m:t>Y</m:t>
          </m:r>
          <m:r>
            <w:rPr>
              <w:rFonts w:hint="eastAsia" w:ascii="Cambria Math" w:hAnsi="Cambria Math"/>
              <w:color w:val="000000" w:themeColor="text1"/>
              <w:u w:val="none" w:color="auto"/>
              <w14:textFill>
                <w14:solidFill>
                  <w14:schemeClr w14:val="tx1"/>
                </w14:solidFill>
              </w14:textFill>
            </w:rPr>
            <m:t>=</m:t>
          </m:r>
          <m:sSub>
            <m:sSubPr>
              <m:ctrlPr>
                <w:rPr>
                  <w:rFonts w:ascii="Cambria Math" w:hAnsi="Cambria Math"/>
                  <w:i/>
                  <w:color w:val="000000" w:themeColor="text1"/>
                  <w:u w:val="none" w:color="auto"/>
                  <w14:textFill>
                    <w14:solidFill>
                      <w14:schemeClr w14:val="tx1"/>
                    </w14:solidFill>
                  </w14:textFill>
                </w:rPr>
              </m:ctrlPr>
            </m:sSubPr>
            <m:e>
              <m:r>
                <w:rPr>
                  <w:rFonts w:ascii="Cambria Math" w:hAnsi="Cambria Math"/>
                  <w:color w:val="000000" w:themeColor="text1"/>
                  <w:u w:val="none" w:color="auto"/>
                  <w14:textFill>
                    <w14:solidFill>
                      <w14:schemeClr w14:val="tx1"/>
                    </w14:solidFill>
                  </w14:textFill>
                </w:rPr>
                <m:t>A</m:t>
              </m:r>
              <m:ctrlPr>
                <w:rPr>
                  <w:rFonts w:ascii="Cambria Math" w:hAnsi="Cambria Math"/>
                  <w:i/>
                  <w:color w:val="000000" w:themeColor="text1"/>
                  <w:u w:val="none" w:color="auto"/>
                  <w14:textFill>
                    <w14:solidFill>
                      <w14:schemeClr w14:val="tx1"/>
                    </w14:solidFill>
                  </w14:textFill>
                </w:rPr>
              </m:ctrlPr>
            </m:e>
            <m:sub>
              <m:r>
                <w:rPr>
                  <w:rFonts w:hint="eastAsia" w:ascii="Cambria Math" w:hAnsi="Cambria Math"/>
                  <w:color w:val="000000" w:themeColor="text1"/>
                  <w:u w:val="none" w:color="auto"/>
                  <w14:textFill>
                    <w14:solidFill>
                      <w14:schemeClr w14:val="tx1"/>
                    </w14:solidFill>
                  </w14:textFill>
                </w:rPr>
                <m:t>t</m:t>
              </m:r>
              <m:ctrlPr>
                <w:rPr>
                  <w:rFonts w:ascii="Cambria Math" w:hAnsi="Cambria Math"/>
                  <w:i/>
                  <w:color w:val="000000" w:themeColor="text1"/>
                  <w:u w:val="none" w:color="auto"/>
                  <w14:textFill>
                    <w14:solidFill>
                      <w14:schemeClr w14:val="tx1"/>
                    </w14:solidFill>
                  </w14:textFill>
                </w:rPr>
              </m:ctrlPr>
            </m:sub>
          </m:sSub>
          <m:r>
            <w:rPr>
              <w:rFonts w:ascii="Cambria Math" w:hAnsi="Cambria Math"/>
              <w:color w:val="000000" w:themeColor="text1"/>
              <w:u w:val="none" w:color="auto"/>
              <w14:textFill>
                <w14:solidFill>
                  <w14:schemeClr w14:val="tx1"/>
                </w14:solidFill>
              </w14:textFill>
            </w:rPr>
            <m:t>+</m:t>
          </m:r>
          <m:sSub>
            <m:sSubPr>
              <m:ctrlPr>
                <w:rPr>
                  <w:rFonts w:ascii="Cambria Math" w:hAnsi="Cambria Math"/>
                  <w:i/>
                  <w:color w:val="000000" w:themeColor="text1"/>
                  <w:u w:val="none" w:color="auto"/>
                  <w14:textFill>
                    <w14:solidFill>
                      <w14:schemeClr w14:val="tx1"/>
                    </w14:solidFill>
                  </w14:textFill>
                </w:rPr>
              </m:ctrlPr>
            </m:sSubPr>
            <m:e>
              <m:r>
                <w:rPr>
                  <w:rFonts w:ascii="Cambria Math" w:hAnsi="Cambria Math"/>
                  <w:color w:val="000000" w:themeColor="text1"/>
                  <w:u w:val="none" w:color="auto"/>
                  <w14:textFill>
                    <w14:solidFill>
                      <w14:schemeClr w14:val="tx1"/>
                    </w14:solidFill>
                  </w14:textFill>
                </w:rPr>
                <m:t>B</m:t>
              </m:r>
              <m:ctrlPr>
                <w:rPr>
                  <w:rFonts w:ascii="Cambria Math" w:hAnsi="Cambria Math"/>
                  <w:i/>
                  <w:color w:val="000000" w:themeColor="text1"/>
                  <w:u w:val="none" w:color="auto"/>
                  <w14:textFill>
                    <w14:solidFill>
                      <w14:schemeClr w14:val="tx1"/>
                    </w14:solidFill>
                  </w14:textFill>
                </w:rPr>
              </m:ctrlPr>
            </m:e>
            <m:sub>
              <m:r>
                <w:rPr>
                  <w:rFonts w:ascii="Cambria Math" w:hAnsi="Cambria Math"/>
                  <w:color w:val="000000" w:themeColor="text1"/>
                  <w:u w:val="none" w:color="auto"/>
                  <w14:textFill>
                    <w14:solidFill>
                      <w14:schemeClr w14:val="tx1"/>
                    </w14:solidFill>
                  </w14:textFill>
                </w:rPr>
                <m:t>t</m:t>
              </m:r>
              <m:ctrlPr>
                <w:rPr>
                  <w:rFonts w:ascii="Cambria Math" w:hAnsi="Cambria Math"/>
                  <w:i/>
                  <w:color w:val="000000" w:themeColor="text1"/>
                  <w:u w:val="none" w:color="auto"/>
                  <w14:textFill>
                    <w14:solidFill>
                      <w14:schemeClr w14:val="tx1"/>
                    </w14:solidFill>
                  </w14:textFill>
                </w:rPr>
              </m:ctrlPr>
            </m:sub>
          </m:sSub>
          <m:r>
            <w:rPr>
              <w:rFonts w:ascii="Cambria Math" w:hAnsi="Cambria Math"/>
              <w:color w:val="000000" w:themeColor="text1"/>
              <w:u w:val="none" w:color="auto"/>
              <w14:textFill>
                <w14:solidFill>
                  <w14:schemeClr w14:val="tx1"/>
                </w14:solidFill>
              </w14:textFill>
            </w:rPr>
            <m:t>ln</m:t>
          </m:r>
          <m:d>
            <m:dPr>
              <m:begChr m:val="["/>
              <m:endChr m:val="]"/>
              <m:ctrlPr>
                <w:rPr>
                  <w:rFonts w:ascii="Cambria Math" w:hAnsi="Cambria Math"/>
                  <w:i/>
                  <w:color w:val="000000" w:themeColor="text1"/>
                  <w:u w:val="none" w:color="auto"/>
                  <w14:textFill>
                    <w14:solidFill>
                      <w14:schemeClr w14:val="tx1"/>
                    </w14:solidFill>
                  </w14:textFill>
                </w:rPr>
              </m:ctrlPr>
            </m:dPr>
            <m:e>
              <m:sSup>
                <m:sSupPr>
                  <m:ctrlPr>
                    <w:rPr>
                      <w:rFonts w:ascii="Cambria Math" w:hAnsi="Cambria Math"/>
                      <w:i/>
                      <w:color w:val="000000" w:themeColor="text1"/>
                      <w:u w:val="none" w:color="auto"/>
                      <w14:textFill>
                        <w14:solidFill>
                          <w14:schemeClr w14:val="tx1"/>
                        </w14:solidFill>
                      </w14:textFill>
                    </w:rPr>
                  </m:ctrlPr>
                </m:sSupPr>
                <m:e>
                  <m:r>
                    <w:rPr>
                      <w:rFonts w:ascii="Cambria Math" w:hAnsi="Cambria Math"/>
                      <w:color w:val="000000" w:themeColor="text1"/>
                      <w:u w:val="none" w:color="auto"/>
                      <w14:textFill>
                        <w14:solidFill>
                          <w14:schemeClr w14:val="tx1"/>
                        </w14:solidFill>
                      </w14:textFill>
                    </w:rPr>
                    <m:t>C</m:t>
                  </m:r>
                  <m:ctrlPr>
                    <w:rPr>
                      <w:rFonts w:ascii="Cambria Math" w:hAnsi="Cambria Math"/>
                      <w:i/>
                      <w:color w:val="000000" w:themeColor="text1"/>
                      <w:u w:val="none" w:color="auto"/>
                      <w14:textFill>
                        <w14:solidFill>
                          <w14:schemeClr w14:val="tx1"/>
                        </w14:solidFill>
                      </w14:textFill>
                    </w:rPr>
                  </m:ctrlPr>
                </m:e>
                <m:sup>
                  <m:r>
                    <w:rPr>
                      <w:rFonts w:ascii="Cambria Math" w:hAnsi="Cambria Math"/>
                      <w:color w:val="000000" w:themeColor="text1"/>
                      <w:u w:val="none" w:color="auto"/>
                      <w14:textFill>
                        <w14:solidFill>
                          <w14:schemeClr w14:val="tx1"/>
                        </w14:solidFill>
                      </w14:textFill>
                    </w:rPr>
                    <m:t>n</m:t>
                  </m:r>
                  <m:ctrlPr>
                    <w:rPr>
                      <w:rFonts w:ascii="Cambria Math" w:hAnsi="Cambria Math"/>
                      <w:i/>
                      <w:color w:val="000000" w:themeColor="text1"/>
                      <w:u w:val="none" w:color="auto"/>
                      <w14:textFill>
                        <w14:solidFill>
                          <w14:schemeClr w14:val="tx1"/>
                        </w14:solidFill>
                      </w14:textFill>
                    </w:rPr>
                  </m:ctrlPr>
                </m:sup>
              </m:sSup>
              <m:r>
                <w:rPr>
                  <w:rFonts w:ascii="Cambria Math" w:hAnsi="Cambria Math"/>
                  <w:color w:val="000000" w:themeColor="text1"/>
                  <w:u w:val="none" w:color="auto"/>
                  <w14:textFill>
                    <w14:solidFill>
                      <w14:schemeClr w14:val="tx1"/>
                    </w14:solidFill>
                  </w14:textFill>
                </w:rPr>
                <m:t>.</m:t>
              </m:r>
              <m:sSub>
                <m:sSubPr>
                  <m:ctrlPr>
                    <w:rPr>
                      <w:rFonts w:ascii="Cambria Math" w:hAnsi="Cambria Math"/>
                      <w:i/>
                      <w:color w:val="000000" w:themeColor="text1"/>
                      <w:u w:val="none" w:color="auto"/>
                      <w14:textFill>
                        <w14:solidFill>
                          <w14:schemeClr w14:val="tx1"/>
                        </w14:solidFill>
                      </w14:textFill>
                    </w:rPr>
                  </m:ctrlPr>
                </m:sSubPr>
                <m:e>
                  <m:r>
                    <w:rPr>
                      <w:rFonts w:ascii="Cambria Math" w:hAnsi="Cambria Math"/>
                      <w:color w:val="000000" w:themeColor="text1"/>
                      <w:u w:val="none" w:color="auto"/>
                      <w14:textFill>
                        <w14:solidFill>
                          <w14:schemeClr w14:val="tx1"/>
                        </w14:solidFill>
                      </w14:textFill>
                    </w:rPr>
                    <m:t>t</m:t>
                  </m:r>
                  <m:ctrlPr>
                    <w:rPr>
                      <w:rFonts w:ascii="Cambria Math" w:hAnsi="Cambria Math"/>
                      <w:i/>
                      <w:color w:val="000000" w:themeColor="text1"/>
                      <w:u w:val="none" w:color="auto"/>
                      <w14:textFill>
                        <w14:solidFill>
                          <w14:schemeClr w14:val="tx1"/>
                        </w14:solidFill>
                      </w14:textFill>
                    </w:rPr>
                  </m:ctrlPr>
                </m:e>
                <m:sub>
                  <m:r>
                    <w:rPr>
                      <w:rFonts w:ascii="Cambria Math" w:hAnsi="Cambria Math"/>
                      <w:color w:val="000000" w:themeColor="text1"/>
                      <w:u w:val="none" w:color="auto"/>
                      <w14:textFill>
                        <w14:solidFill>
                          <w14:schemeClr w14:val="tx1"/>
                        </w14:solidFill>
                      </w14:textFill>
                    </w:rPr>
                    <m:t>e</m:t>
                  </m:r>
                  <m:ctrlPr>
                    <w:rPr>
                      <w:rFonts w:ascii="Cambria Math" w:hAnsi="Cambria Math"/>
                      <w:i/>
                      <w:color w:val="000000" w:themeColor="text1"/>
                      <w:u w:val="none" w:color="auto"/>
                      <w14:textFill>
                        <w14:solidFill>
                          <w14:schemeClr w14:val="tx1"/>
                        </w14:solidFill>
                      </w14:textFill>
                    </w:rPr>
                  </m:ctrlPr>
                </m:sub>
              </m:sSub>
              <m:ctrlPr>
                <w:rPr>
                  <w:rFonts w:ascii="Cambria Math" w:hAnsi="Cambria Math"/>
                  <w:i/>
                  <w:color w:val="000000" w:themeColor="text1"/>
                  <w:u w:val="none" w:color="auto"/>
                  <w14:textFill>
                    <w14:solidFill>
                      <w14:schemeClr w14:val="tx1"/>
                    </w14:solidFill>
                  </w14:textFill>
                </w:rPr>
              </m:ctrlPr>
            </m:e>
          </m:d>
        </m:oMath>
      </m:oMathPara>
    </w:p>
    <w:p>
      <w:pPr>
        <w:pStyle w:val="132"/>
        <w:ind w:firstLine="480"/>
        <w:rPr>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式中：</w:t>
      </w:r>
      <w:r>
        <w:rPr>
          <w:color w:val="000000" w:themeColor="text1"/>
          <w:u w:val="none" w:color="auto"/>
          <w14:textFill>
            <w14:solidFill>
              <w14:schemeClr w14:val="tx1"/>
            </w14:solidFill>
          </w14:textFill>
        </w:rPr>
        <w:t>A</w:t>
      </w:r>
      <w:r>
        <w:rPr>
          <w:rFonts w:hint="eastAsia"/>
          <w:color w:val="000000" w:themeColor="text1"/>
          <w:u w:val="none" w:color="auto"/>
          <w:vertAlign w:val="subscript"/>
          <w14:textFill>
            <w14:solidFill>
              <w14:schemeClr w14:val="tx1"/>
            </w14:solidFill>
          </w14:textFill>
        </w:rPr>
        <w:t>t</w:t>
      </w:r>
      <w:r>
        <w:rPr>
          <w:rFonts w:hint="eastAsia"/>
          <w:color w:val="000000" w:themeColor="text1"/>
          <w:u w:val="none" w:color="auto"/>
          <w14:textFill>
            <w14:solidFill>
              <w14:schemeClr w14:val="tx1"/>
            </w14:solidFill>
          </w14:textFill>
        </w:rPr>
        <w:t>、B</w:t>
      </w:r>
      <w:r>
        <w:rPr>
          <w:color w:val="000000" w:themeColor="text1"/>
          <w:u w:val="none" w:color="auto"/>
          <w:vertAlign w:val="subscript"/>
          <w14:textFill>
            <w14:solidFill>
              <w14:schemeClr w14:val="tx1"/>
            </w14:solidFill>
          </w14:textFill>
        </w:rPr>
        <w:t>t</w:t>
      </w:r>
      <w:r>
        <w:rPr>
          <w:rFonts w:hint="eastAsia"/>
          <w:color w:val="000000" w:themeColor="text1"/>
          <w:u w:val="none" w:color="auto"/>
          <w14:textFill>
            <w14:solidFill>
              <w14:schemeClr w14:val="tx1"/>
            </w14:solidFill>
          </w14:textFill>
        </w:rPr>
        <w:t>、n—与毒性物质有关的参数；</w:t>
      </w:r>
    </w:p>
    <w:p>
      <w:pPr>
        <w:pStyle w:val="132"/>
        <w:ind w:firstLine="480"/>
        <w:rPr>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 xml:space="preserve"> </w:t>
      </w:r>
      <w:r>
        <w:rPr>
          <w:color w:val="000000" w:themeColor="text1"/>
          <w:u w:val="none" w:color="auto"/>
          <w14:textFill>
            <w14:solidFill>
              <w14:schemeClr w14:val="tx1"/>
            </w14:solidFill>
          </w14:textFill>
        </w:rPr>
        <w:t xml:space="preserve">     C</w:t>
      </w:r>
      <w:r>
        <w:rPr>
          <w:rFonts w:hint="eastAsia"/>
          <w:color w:val="000000" w:themeColor="text1"/>
          <w:u w:val="none" w:color="auto"/>
          <w14:textFill>
            <w14:solidFill>
              <w14:schemeClr w14:val="tx1"/>
            </w14:solidFill>
          </w14:textFill>
        </w:rPr>
        <w:t>—接触的质量浓度；</w:t>
      </w:r>
    </w:p>
    <w:p>
      <w:pPr>
        <w:pStyle w:val="132"/>
        <w:ind w:firstLine="480"/>
        <w:rPr>
          <w:color w:val="000000" w:themeColor="text1"/>
          <w:u w:val="none" w:color="auto"/>
          <w14:textFill>
            <w14:solidFill>
              <w14:schemeClr w14:val="tx1"/>
            </w14:solidFill>
          </w14:textFill>
        </w:rPr>
      </w:pPr>
      <w:r>
        <w:rPr>
          <w:rFonts w:hint="eastAsia"/>
          <w:color w:val="000000" w:themeColor="text1"/>
          <w:u w:val="none" w:color="auto"/>
          <w14:textFill>
            <w14:solidFill>
              <w14:schemeClr w14:val="tx1"/>
            </w14:solidFill>
          </w14:textFill>
        </w:rPr>
        <w:t xml:space="preserve"> </w:t>
      </w:r>
      <w:r>
        <w:rPr>
          <w:color w:val="000000" w:themeColor="text1"/>
          <w:u w:val="none" w:color="auto"/>
          <w14:textFill>
            <w14:solidFill>
              <w14:schemeClr w14:val="tx1"/>
            </w14:solidFill>
          </w14:textFill>
        </w:rPr>
        <w:t xml:space="preserve">     t</w:t>
      </w:r>
      <w:r>
        <w:rPr>
          <w:color w:val="000000" w:themeColor="text1"/>
          <w:u w:val="none" w:color="auto"/>
          <w:vertAlign w:val="subscript"/>
          <w14:textFill>
            <w14:solidFill>
              <w14:schemeClr w14:val="tx1"/>
            </w14:solidFill>
          </w14:textFill>
        </w:rPr>
        <w:t>e</w:t>
      </w:r>
      <w:r>
        <w:rPr>
          <w:rFonts w:hint="eastAsia"/>
          <w:color w:val="000000" w:themeColor="text1"/>
          <w:u w:val="none" w:color="auto"/>
          <w14:textFill>
            <w14:solidFill>
              <w14:schemeClr w14:val="tx1"/>
            </w14:solidFill>
          </w14:textFill>
        </w:rPr>
        <w:t>—接触C质量浓度的时间；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u w:val="none" w:color="auto"/>
          <w14:textFill>
            <w14:solidFill>
              <w14:schemeClr w14:val="tx1"/>
            </w14:solidFill>
          </w14:textFill>
        </w:rPr>
        <w:t>参考上述预测结果，大气伤害概率计算参数如表</w:t>
      </w:r>
      <w:r>
        <w:rPr>
          <w:rFonts w:hint="eastAsia"/>
          <w:color w:val="000000" w:themeColor="text1"/>
          <w:u w:val="none" w:color="auto"/>
          <w:lang w:eastAsia="zh-CN"/>
          <w14:textFill>
            <w14:solidFill>
              <w14:schemeClr w14:val="tx1"/>
            </w14:solidFill>
          </w14:textFill>
        </w:rPr>
        <w:t>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w:t>
      </w:r>
      <w:r>
        <w:rPr>
          <w:rFonts w:hint="eastAsia"/>
          <w:b/>
          <w:bCs w:val="0"/>
          <w:color w:val="000000" w:themeColor="text1"/>
          <w:u w:val="none" w:color="auto"/>
          <w14:textFill>
            <w14:solidFill>
              <w14:schemeClr w14:val="tx1"/>
            </w14:solidFill>
          </w14:textFill>
        </w:rPr>
        <w:t>泄露后大气伤害概率计算参数</w:t>
      </w:r>
    </w:p>
    <w:tbl>
      <w:tblPr>
        <w:tblStyle w:val="209"/>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3682"/>
        <w:gridCol w:w="539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027" w:type="pct"/>
            <w:tcBorders>
              <w:top w:val="single" w:color="000000" w:sz="12" w:space="0"/>
              <w:left w:val="nil"/>
              <w:bottom w:val="single" w:color="000000" w:sz="2" w:space="0"/>
              <w:right w:val="single" w:color="000000" w:sz="2" w:space="0"/>
              <w:insideH w:val="single" w:sz="2" w:space="0"/>
              <w:insideV w:val="single" w:sz="2" w:space="0"/>
              <w:tl2br w:val="nil"/>
              <w:tr2bl w:val="nil"/>
            </w:tcBorders>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参数</w:t>
            </w:r>
          </w:p>
        </w:tc>
        <w:tc>
          <w:tcPr>
            <w:tcW w:w="2972" w:type="pct"/>
            <w:tcBorders>
              <w:top w:val="single" w:color="000000" w:sz="12" w:space="0"/>
              <w:bottom w:val="single" w:color="000000" w:sz="2" w:space="0"/>
              <w:right w:val="nil"/>
              <w:insideH w:val="single" w:sz="2" w:space="0"/>
              <w:insideV w:val="single" w:sz="2" w:space="0"/>
              <w:tl2br w:val="nil"/>
              <w:tr2bl w:val="nil"/>
            </w:tcBorders>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一氧化碳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027" w:type="pc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eastAsia="等线" w:cs="Times New Roman"/>
                <w:color w:val="000000" w:themeColor="text1"/>
                <w:sz w:val="21"/>
                <w:szCs w:val="21"/>
                <w:u w:val="none" w:color="auto"/>
                <w14:textFill>
                  <w14:solidFill>
                    <w14:schemeClr w14:val="tx1"/>
                  </w14:solidFill>
                </w14:textFill>
              </w:rPr>
              <w:t>A</w:t>
            </w:r>
            <w:r>
              <w:rPr>
                <w:rFonts w:hint="default" w:ascii="Times New Roman" w:hAnsi="Times New Roman" w:eastAsia="等线" w:cs="Times New Roman"/>
                <w:color w:val="000000" w:themeColor="text1"/>
                <w:sz w:val="21"/>
                <w:szCs w:val="21"/>
                <w:u w:val="none" w:color="auto"/>
                <w:vertAlign w:val="subscript"/>
                <w14:textFill>
                  <w14:solidFill>
                    <w14:schemeClr w14:val="tx1"/>
                  </w14:solidFill>
                </w14:textFill>
              </w:rPr>
              <w:t>t</w:t>
            </w:r>
          </w:p>
        </w:tc>
        <w:tc>
          <w:tcPr>
            <w:tcW w:w="2972"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等线"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等线" w:cs="Times New Roman"/>
                <w:color w:val="000000" w:themeColor="text1"/>
                <w:sz w:val="21"/>
                <w:szCs w:val="21"/>
                <w:u w:val="none" w:color="auto"/>
                <w14:textFill>
                  <w14:solidFill>
                    <w14:schemeClr w14:val="tx1"/>
                  </w14:solidFill>
                </w14:textFill>
              </w:rPr>
              <w:t>-7.4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027" w:type="pc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B</w:t>
            </w:r>
            <w:r>
              <w:rPr>
                <w:rFonts w:hint="default" w:ascii="Times New Roman" w:hAnsi="Times New Roman" w:cs="Times New Roman"/>
                <w:color w:val="000000" w:themeColor="text1"/>
                <w:sz w:val="21"/>
                <w:szCs w:val="21"/>
                <w:u w:val="none" w:color="auto"/>
                <w:vertAlign w:val="subscript"/>
                <w14:textFill>
                  <w14:solidFill>
                    <w14:schemeClr w14:val="tx1"/>
                  </w14:solidFill>
                </w14:textFill>
              </w:rPr>
              <w:t>t</w:t>
            </w:r>
          </w:p>
        </w:tc>
        <w:tc>
          <w:tcPr>
            <w:tcW w:w="2972"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等线"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等线" w:cs="Times New Roman"/>
                <w:color w:val="000000" w:themeColor="text1"/>
                <w:sz w:val="21"/>
                <w:szCs w:val="21"/>
                <w:u w:val="none" w:color="auto"/>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027" w:type="pc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eastAsia="等线" w:cs="Times New Roman"/>
                <w:color w:val="000000" w:themeColor="text1"/>
                <w:sz w:val="21"/>
                <w:szCs w:val="21"/>
                <w:u w:val="none" w:color="auto"/>
                <w14:textFill>
                  <w14:solidFill>
                    <w14:schemeClr w14:val="tx1"/>
                  </w14:solidFill>
                </w14:textFill>
              </w:rPr>
              <w:t>n</w:t>
            </w:r>
          </w:p>
        </w:tc>
        <w:tc>
          <w:tcPr>
            <w:tcW w:w="2972"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等线"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eastAsia="等线" w:cs="Times New Roman"/>
                <w:color w:val="000000" w:themeColor="text1"/>
                <w:sz w:val="21"/>
                <w:szCs w:val="21"/>
                <w:u w:val="none" w:color="auto"/>
                <w14:textFill>
                  <w14:solidFill>
                    <w14:schemeClr w14:val="tx1"/>
                  </w14:solidFill>
                </w14:textFill>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027" w:type="pc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C</w:t>
            </w:r>
          </w:p>
        </w:tc>
        <w:tc>
          <w:tcPr>
            <w:tcW w:w="2972"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等线"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0.</w:t>
            </w: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38</w:t>
            </w:r>
            <w:r>
              <w:rPr>
                <w:rFonts w:hint="default" w:ascii="Times New Roman" w:hAnsi="Times New Roman" w:cs="Times New Roman"/>
                <w:color w:val="000000" w:themeColor="text1"/>
                <w:kern w:val="0"/>
                <w:sz w:val="21"/>
                <w:szCs w:val="21"/>
                <w:u w:val="none" w:color="auto"/>
                <w14:textFill>
                  <w14:solidFill>
                    <w14:schemeClr w14:val="tx1"/>
                  </w14:solidFill>
                </w14:textFill>
              </w:rPr>
              <w:t>mg/m</w:t>
            </w:r>
            <w:r>
              <w:rPr>
                <w:rFonts w:hint="default" w:ascii="Times New Roman" w:hAnsi="Times New Roman" w:cs="Times New Roman"/>
                <w:color w:val="000000" w:themeColor="text1"/>
                <w:kern w:val="0"/>
                <w:sz w:val="21"/>
                <w:szCs w:val="21"/>
                <w:u w:val="none" w:color="auto"/>
                <w:vertAlign w:val="superscript"/>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027" w:type="pct"/>
            <w:noWrap/>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t</w:t>
            </w:r>
            <w:r>
              <w:rPr>
                <w:rFonts w:hint="default" w:ascii="Times New Roman" w:hAnsi="Times New Roman" w:cs="Times New Roman"/>
                <w:color w:val="000000" w:themeColor="text1"/>
                <w:kern w:val="0"/>
                <w:sz w:val="21"/>
                <w:szCs w:val="21"/>
                <w:u w:val="none" w:color="auto"/>
                <w:vertAlign w:val="subscript"/>
                <w14:textFill>
                  <w14:solidFill>
                    <w14:schemeClr w14:val="tx1"/>
                  </w14:solidFill>
                </w14:textFill>
              </w:rPr>
              <w:t>e</w:t>
            </w:r>
          </w:p>
        </w:tc>
        <w:tc>
          <w:tcPr>
            <w:tcW w:w="2972" w:type="pct"/>
            <w:tcMar>
              <w:left w:w="28" w:type="dxa"/>
              <w:right w:w="28" w:type="dxa"/>
            </w:tcMar>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eastAsia="等线" w:cs="Times New Roman"/>
                <w:color w:val="000000" w:themeColor="text1"/>
                <w:kern w:val="2"/>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40min</w:t>
            </w:r>
          </w:p>
        </w:tc>
      </w:tr>
    </w:tbl>
    <w:p>
      <w:pPr>
        <w:pStyle w:val="132"/>
        <w:keepNext w:val="0"/>
        <w:keepLines w:val="0"/>
        <w:pageBreakBefore w:val="0"/>
        <w:widowControl w:val="0"/>
        <w:numPr>
          <w:ilvl w:val="0"/>
          <w:numId w:val="0"/>
        </w:numPr>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b/>
          <w:bCs w:val="0"/>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经计算，</w:t>
      </w:r>
      <w:r>
        <w:rPr>
          <w:rFonts w:hint="default" w:ascii="Times New Roman" w:hAnsi="Times New Roman" w:cs="Times New Roman"/>
          <w:color w:val="000000" w:themeColor="text1"/>
          <w:u w:val="none" w:color="auto"/>
          <w:lang w:eastAsia="zh-CN"/>
          <w14:textFill>
            <w14:solidFill>
              <w14:schemeClr w14:val="tx1"/>
            </w14:solidFill>
          </w14:textFill>
        </w:rPr>
        <w:t>各污染物</w:t>
      </w:r>
      <w:r>
        <w:rPr>
          <w:rFonts w:hint="default" w:ascii="Times New Roman" w:hAnsi="Times New Roman" w:cs="Times New Roman"/>
          <w:color w:val="000000" w:themeColor="text1"/>
          <w:u w:val="none" w:color="auto"/>
          <w14:textFill>
            <w14:solidFill>
              <w14:schemeClr w14:val="tx1"/>
            </w14:solidFill>
          </w14:textFill>
        </w:rPr>
        <w:t>的大气伤害概率P</w:t>
      </w:r>
      <w:r>
        <w:rPr>
          <w:rFonts w:hint="default" w:ascii="Times New Roman" w:hAnsi="Times New Roman" w:cs="Times New Roman"/>
          <w:color w:val="000000" w:themeColor="text1"/>
          <w:u w:val="none" w:color="auto"/>
          <w:vertAlign w:val="subscript"/>
          <w14:textFill>
            <w14:solidFill>
              <w14:schemeClr w14:val="tx1"/>
            </w14:solidFill>
          </w14:textFill>
        </w:rPr>
        <w:t>E</w:t>
      </w:r>
      <w:r>
        <w:rPr>
          <w:rFonts w:hint="default" w:ascii="Times New Roman" w:hAnsi="Times New Roman" w:cs="Times New Roman"/>
          <w:color w:val="000000" w:themeColor="text1"/>
          <w:u w:val="none" w:color="auto"/>
          <w14:textFill>
            <w14:solidFill>
              <w14:schemeClr w14:val="tx1"/>
            </w14:solidFill>
          </w14:textFill>
        </w:rPr>
        <w:t>为0.00%，表明导致周边人群急性死亡的概率基本可以忽略。</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事故源项及事故后果基本信息表</w:t>
      </w:r>
    </w:p>
    <w:p>
      <w:pPr>
        <w:pStyle w:val="132"/>
        <w:numPr>
          <w:ilvl w:val="0"/>
          <w:numId w:val="0"/>
        </w:numPr>
        <w:ind w:firstLine="480" w:firstLineChars="200"/>
        <w:rPr>
          <w:rFonts w:hint="eastAsia" w:cs="Times New Roman"/>
          <w:color w:val="000000" w:themeColor="text1"/>
          <w:u w:val="none" w:color="auto"/>
          <w:lang w:eastAsia="zh-CN"/>
          <w14:textFill>
            <w14:solidFill>
              <w14:schemeClr w14:val="tx1"/>
            </w14:solidFill>
          </w14:textFill>
        </w:rPr>
      </w:pPr>
      <w:r>
        <w:rPr>
          <w:rFonts w:hint="eastAsia" w:cs="Times New Roman"/>
          <w:color w:val="000000" w:themeColor="text1"/>
          <w:u w:val="none" w:color="auto"/>
          <w:lang w:eastAsia="zh-CN"/>
          <w14:textFill>
            <w14:solidFill>
              <w14:schemeClr w14:val="tx1"/>
            </w14:solidFill>
          </w14:textFill>
        </w:rPr>
        <w:t>根据《建设项目环境风险评价导则》(HJ/T 169-2018)附录J，本项目事故源项及事故后果基本信息表如下表所示。</w:t>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表 </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STYLEREF 2 \s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\s 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lang w:val="en-US" w:eastAsia="zh-CN"/>
          <w14:textFill>
            <w14:solidFill>
              <w14:schemeClr w14:val="tx1"/>
            </w14:solidFill>
          </w14:textFill>
        </w:rPr>
        <w:t xml:space="preserve"> 项目事故源项及事故后果基本信息表（H</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S）</w:t>
      </w:r>
    </w:p>
    <w:tbl>
      <w:tblPr>
        <w:tblStyle w:val="21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665"/>
        <w:gridCol w:w="691"/>
        <w:gridCol w:w="1471"/>
        <w:gridCol w:w="484"/>
        <w:gridCol w:w="1094"/>
        <w:gridCol w:w="111"/>
        <w:gridCol w:w="1703"/>
        <w:gridCol w:w="13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风险事故情形分析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代表性风险事故情形描述</w:t>
            </w:r>
          </w:p>
        </w:tc>
        <w:tc>
          <w:tcPr>
            <w:tcW w:w="4114" w:type="pct"/>
            <w:gridSpan w:val="8"/>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输送管道破裂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环境风险类型</w:t>
            </w:r>
          </w:p>
        </w:tc>
        <w:tc>
          <w:tcPr>
            <w:tcW w:w="4114" w:type="pct"/>
            <w:gridSpan w:val="8"/>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泄漏设备类型</w:t>
            </w:r>
          </w:p>
        </w:tc>
        <w:tc>
          <w:tcPr>
            <w:tcW w:w="73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olor w:val="000000" w:themeColor="text1"/>
                <w:kern w:val="0"/>
                <w:sz w:val="21"/>
                <w:szCs w:val="21"/>
                <w:u w:val="none" w:color="auto"/>
                <w:lang w:eastAsia="zh-CN"/>
                <w14:textFill>
                  <w14:solidFill>
                    <w14:schemeClr w14:val="tx1"/>
                  </w14:solidFill>
                </w14:textFill>
              </w:rPr>
            </w:pPr>
            <w:r>
              <w:rPr>
                <w:rFonts w:hint="default" w:ascii="Times New Roman" w:hAnsi="Times New Roman" w:cs="Times New Roman"/>
                <w:b w:val="0"/>
                <w:bCs/>
                <w:color w:val="000000" w:themeColor="text1"/>
                <w:sz w:val="21"/>
                <w:szCs w:val="21"/>
                <w:vertAlign w:val="baseline"/>
                <w:lang w:eastAsia="zh-CN"/>
                <w14:textFill>
                  <w14:solidFill>
                    <w14:schemeClr w14:val="tx1"/>
                  </w14:solidFill>
                </w14:textFill>
              </w:rPr>
              <w:t>含硫干气输送管道</w:t>
            </w:r>
          </w:p>
        </w:tc>
        <w:tc>
          <w:tcPr>
            <w:tcW w:w="1058"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操作温度/℃</w:t>
            </w:r>
          </w:p>
        </w:tc>
        <w:tc>
          <w:tcPr>
            <w:tcW w:w="652"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常温</w:t>
            </w:r>
          </w:p>
        </w:tc>
        <w:tc>
          <w:tcPr>
            <w:tcW w:w="92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操作压力/MPa</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常压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泄漏危险物质</w:t>
            </w:r>
          </w:p>
        </w:tc>
        <w:tc>
          <w:tcPr>
            <w:tcW w:w="73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olor w:val="000000" w:themeColor="text1"/>
                <w:kern w:val="0"/>
                <w:sz w:val="21"/>
                <w:szCs w:val="21"/>
                <w:u w:val="none" w:color="auto"/>
                <w:lang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H</w:t>
            </w:r>
            <w:r>
              <w:rPr>
                <w:rFonts w:hint="eastAsia"/>
                <w:color w:val="000000" w:themeColor="text1"/>
                <w:kern w:val="0"/>
                <w:sz w:val="21"/>
                <w:szCs w:val="21"/>
                <w:u w:val="none" w:color="auto"/>
                <w:vertAlign w:val="subscript"/>
                <w:lang w:val="en-US" w:eastAsia="zh-CN"/>
                <w14:textFill>
                  <w14:solidFill>
                    <w14:schemeClr w14:val="tx1"/>
                  </w14:solidFill>
                </w14:textFill>
              </w:rPr>
              <w:t>2</w:t>
            </w:r>
            <w:r>
              <w:rPr>
                <w:rFonts w:hint="eastAsia"/>
                <w:color w:val="000000" w:themeColor="text1"/>
                <w:kern w:val="0"/>
                <w:sz w:val="21"/>
                <w:szCs w:val="21"/>
                <w:u w:val="none" w:color="auto"/>
                <w:lang w:val="en-US" w:eastAsia="zh-CN"/>
                <w14:textFill>
                  <w14:solidFill>
                    <w14:schemeClr w14:val="tx1"/>
                  </w14:solidFill>
                </w14:textFill>
              </w:rPr>
              <w:t>S</w:t>
            </w:r>
          </w:p>
        </w:tc>
        <w:tc>
          <w:tcPr>
            <w:tcW w:w="1058"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最大存在量/kg</w:t>
            </w:r>
          </w:p>
        </w:tc>
        <w:tc>
          <w:tcPr>
            <w:tcW w:w="652"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0.314</w:t>
            </w:r>
          </w:p>
        </w:tc>
        <w:tc>
          <w:tcPr>
            <w:tcW w:w="92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泄漏孔径/mm</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泄漏孔径为10%孔径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泄漏速率/(kg/s)</w:t>
            </w:r>
          </w:p>
        </w:tc>
        <w:tc>
          <w:tcPr>
            <w:tcW w:w="73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bidi="ar"/>
                <w14:textFill>
                  <w14:solidFill>
                    <w14:schemeClr w14:val="tx1"/>
                  </w14:solidFill>
                </w14:textFill>
              </w:rPr>
              <w:t>2.53</w:t>
            </w:r>
          </w:p>
        </w:tc>
        <w:tc>
          <w:tcPr>
            <w:tcW w:w="1058"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泄漏时间/min</w:t>
            </w:r>
          </w:p>
        </w:tc>
        <w:tc>
          <w:tcPr>
            <w:tcW w:w="652"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eastAsia" w:cs="Times New Roman"/>
                <w:color w:val="000000" w:themeColor="text1"/>
                <w:sz w:val="21"/>
                <w:szCs w:val="21"/>
                <w:u w:val="none" w:color="auto"/>
                <w:lang w:val="en-US" w:eastAsia="zh-CN" w:bidi="ar"/>
                <w14:textFill>
                  <w14:solidFill>
                    <w14:schemeClr w14:val="tx1"/>
                  </w14:solidFill>
                </w14:textFill>
              </w:rPr>
              <w:t>30</w:t>
            </w:r>
          </w:p>
        </w:tc>
        <w:tc>
          <w:tcPr>
            <w:tcW w:w="92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泄漏量/kg</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4554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泄漏高度/m</w:t>
            </w:r>
          </w:p>
        </w:tc>
        <w:tc>
          <w:tcPr>
            <w:tcW w:w="73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w:t>
            </w:r>
          </w:p>
        </w:tc>
        <w:tc>
          <w:tcPr>
            <w:tcW w:w="1058"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泄漏液体蒸发量/kg</w:t>
            </w:r>
          </w:p>
        </w:tc>
        <w:tc>
          <w:tcPr>
            <w:tcW w:w="652"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w:t>
            </w:r>
          </w:p>
        </w:tc>
        <w:tc>
          <w:tcPr>
            <w:tcW w:w="92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泄漏频率</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2.00×10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-6</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/（m·a）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事故后果预测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Merge w:val="restar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w:t>
            </w:r>
          </w:p>
        </w:tc>
        <w:tc>
          <w:tcPr>
            <w:tcW w:w="36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危险物质</w:t>
            </w:r>
          </w:p>
        </w:tc>
        <w:tc>
          <w:tcPr>
            <w:tcW w:w="3754" w:type="pct"/>
            <w:gridSpan w:val="7"/>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olor w:val="000000" w:themeColor="text1"/>
                <w:kern w:val="0"/>
                <w:sz w:val="21"/>
                <w:szCs w:val="21"/>
                <w:u w:val="none" w:color="auto"/>
                <w:lang w:eastAsia="zh-CN"/>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大气环境影响</w:t>
            </w:r>
            <w:r>
              <w:rPr>
                <w:rFonts w:hint="eastAsia" w:ascii="Times New Roman" w:hAnsi="Times New Roman"/>
                <w:color w:val="000000" w:themeColor="text1"/>
                <w:kern w:val="0"/>
                <w:sz w:val="21"/>
                <w:szCs w:val="21"/>
                <w:u w:val="none" w:color="auto"/>
                <w:lang w:eastAsia="zh-CN"/>
                <w14:textFill>
                  <w14:solidFill>
                    <w14:schemeClr w14:val="tx1"/>
                  </w14:solidFill>
                </w14:textFill>
              </w:rPr>
              <w:t>（</w:t>
            </w:r>
            <w:r>
              <w:rPr>
                <w:rFonts w:ascii="Times New Roman" w:hAnsi="Times New Roman"/>
                <w:color w:val="000000" w:themeColor="text1"/>
                <w:kern w:val="0"/>
                <w:sz w:val="21"/>
                <w:szCs w:val="21"/>
                <w:u w:val="none" w:color="auto"/>
                <w14:textFill>
                  <w14:solidFill>
                    <w14:schemeClr w14:val="tx1"/>
                  </w14:solidFill>
                </w14:textFill>
              </w:rPr>
              <w:t>最不利气象条件</w:t>
            </w:r>
            <w:r>
              <w:rPr>
                <w:rFonts w:hint="eastAsia" w:ascii="Times New Roman" w:hAnsi="Times New Roman"/>
                <w:color w:val="000000" w:themeColor="text1"/>
                <w:kern w:val="0"/>
                <w:sz w:val="21"/>
                <w:szCs w:val="21"/>
                <w:u w:val="none" w:color="auto"/>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360" w:type="pct"/>
            <w:vMerge w:val="restar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H</w:t>
            </w:r>
            <w:r>
              <w:rPr>
                <w:rFonts w:hint="eastAsia"/>
                <w:color w:val="000000" w:themeColor="text1"/>
                <w:kern w:val="0"/>
                <w:sz w:val="21"/>
                <w:szCs w:val="21"/>
                <w:u w:val="none" w:color="auto"/>
                <w:vertAlign w:val="subscript"/>
                <w:lang w:val="en-US" w:eastAsia="zh-CN"/>
                <w14:textFill>
                  <w14:solidFill>
                    <w14:schemeClr w14:val="tx1"/>
                  </w14:solidFill>
                </w14:textFill>
              </w:rPr>
              <w:t>2</w:t>
            </w:r>
            <w:r>
              <w:rPr>
                <w:rFonts w:hint="eastAsia"/>
                <w:color w:val="000000" w:themeColor="text1"/>
                <w:kern w:val="0"/>
                <w:sz w:val="21"/>
                <w:szCs w:val="21"/>
                <w:u w:val="none" w:color="auto"/>
                <w:lang w:val="en-US" w:eastAsia="zh-CN"/>
                <w14:textFill>
                  <w14:solidFill>
                    <w14:schemeClr w14:val="tx1"/>
                  </w14:solidFill>
                </w14:textFill>
              </w:rPr>
              <w:t>S</w:t>
            </w:r>
          </w:p>
        </w:tc>
        <w:tc>
          <w:tcPr>
            <w:tcW w:w="117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指标</w:t>
            </w:r>
          </w:p>
        </w:tc>
        <w:tc>
          <w:tcPr>
            <w:tcW w:w="85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浓度值/(mg/m</w:t>
            </w:r>
            <w:r>
              <w:rPr>
                <w:rFonts w:ascii="Times New Roman" w:hAnsi="Times New Roman"/>
                <w:color w:val="000000" w:themeColor="text1"/>
                <w:kern w:val="0"/>
                <w:sz w:val="21"/>
                <w:szCs w:val="21"/>
                <w:u w:val="none" w:color="auto"/>
                <w:vertAlign w:val="superscript"/>
                <w14:textFill>
                  <w14:solidFill>
                    <w14:schemeClr w14:val="tx1"/>
                  </w14:solidFill>
                </w14:textFill>
              </w:rPr>
              <w:t>3</w:t>
            </w:r>
            <w:r>
              <w:rPr>
                <w:rFonts w:ascii="Times New Roman" w:hAnsi="Times New Roman"/>
                <w:color w:val="000000" w:themeColor="text1"/>
                <w:kern w:val="0"/>
                <w:sz w:val="21"/>
                <w:szCs w:val="21"/>
                <w:u w:val="none" w:color="auto"/>
                <w14:textFill>
                  <w14:solidFill>
                    <w14:schemeClr w14:val="tx1"/>
                  </w14:solidFill>
                </w14:textFill>
              </w:rPr>
              <w:t>)</w:t>
            </w:r>
          </w:p>
        </w:tc>
        <w:tc>
          <w:tcPr>
            <w:tcW w:w="981"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最远影响距离/m</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到达时间/min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36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17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大气毒性终点浓度-1</w:t>
            </w:r>
          </w:p>
        </w:tc>
        <w:tc>
          <w:tcPr>
            <w:tcW w:w="85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70</w:t>
            </w:r>
          </w:p>
        </w:tc>
        <w:tc>
          <w:tcPr>
            <w:tcW w:w="1821" w:type="dxa"/>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160</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36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17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大气毒性终点浓度-2</w:t>
            </w:r>
          </w:p>
        </w:tc>
        <w:tc>
          <w:tcPr>
            <w:tcW w:w="85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38</w:t>
            </w:r>
          </w:p>
        </w:tc>
        <w:tc>
          <w:tcPr>
            <w:tcW w:w="1821" w:type="dxa"/>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110</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36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17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敏感目标名称</w:t>
            </w:r>
          </w:p>
        </w:tc>
        <w:tc>
          <w:tcPr>
            <w:tcW w:w="85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超标时间/min</w:t>
            </w:r>
          </w:p>
        </w:tc>
        <w:tc>
          <w:tcPr>
            <w:tcW w:w="981"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超标持续时间/min</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最大浓度/(mg/m</w:t>
            </w:r>
            <w:r>
              <w:rPr>
                <w:rFonts w:ascii="Times New Roman" w:hAnsi="Times New Roman"/>
                <w:color w:val="000000" w:themeColor="text1"/>
                <w:kern w:val="0"/>
                <w:sz w:val="21"/>
                <w:szCs w:val="21"/>
                <w:u w:val="none" w:color="auto"/>
                <w:vertAlign w:val="superscript"/>
                <w14:textFill>
                  <w14:solidFill>
                    <w14:schemeClr w14:val="tx1"/>
                  </w14:solidFill>
                </w14:textFill>
              </w:rPr>
              <w:t>3</w:t>
            </w:r>
            <w:r>
              <w:rPr>
                <w:rFonts w:ascii="Times New Roman" w:hAnsi="Times New Roman"/>
                <w:color w:val="000000" w:themeColor="text1"/>
                <w:kern w:val="0"/>
                <w:sz w:val="21"/>
                <w:szCs w:val="21"/>
                <w:u w:val="none" w:color="auto"/>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5"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36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17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olor w:val="000000" w:themeColor="text1"/>
                <w:kern w:val="0"/>
                <w:sz w:val="21"/>
                <w:szCs w:val="21"/>
                <w:u w:val="none" w:color="auto"/>
                <w:lang w:eastAsia="zh-CN"/>
                <w14:textFill>
                  <w14:solidFill>
                    <w14:schemeClr w14:val="tx1"/>
                  </w14:solidFill>
                </w14:textFill>
              </w:rPr>
              <w:t>无超标敏感点</w:t>
            </w:r>
          </w:p>
        </w:tc>
        <w:tc>
          <w:tcPr>
            <w:tcW w:w="854"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olor w:val="000000" w:themeColor="text1"/>
                <w:kern w:val="0"/>
                <w:sz w:val="21"/>
                <w:szCs w:val="21"/>
                <w:u w:val="none" w:color="auto"/>
                <w:lang w:val="en-US" w:eastAsia="zh-CN"/>
                <w14:textFill>
                  <w14:solidFill>
                    <w14:schemeClr w14:val="tx1"/>
                  </w14:solidFill>
                </w14:textFill>
              </w:rPr>
              <w:t>/</w:t>
            </w:r>
          </w:p>
        </w:tc>
        <w:tc>
          <w:tcPr>
            <w:tcW w:w="981"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t>/</w:t>
            </w:r>
          </w:p>
        </w:tc>
        <w:tc>
          <w:tcPr>
            <w:tcW w:w="74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olor w:val="000000" w:themeColor="text1"/>
                <w:kern w:val="0"/>
                <w:sz w:val="21"/>
                <w:szCs w:val="21"/>
                <w:u w:val="none" w:color="auto"/>
                <w:lang w:val="en-US" w:eastAsia="zh-CN"/>
                <w14:textFill>
                  <w14:solidFill>
                    <w14:schemeClr w14:val="tx1"/>
                  </w14:solidFill>
                </w14:textFill>
              </w:rPr>
              <w:t>/</w:t>
            </w:r>
          </w:p>
        </w:tc>
      </w:tr>
    </w:tbl>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项目事故源强及事故后果基本信息表（火灾伴生）</w:t>
      </w:r>
    </w:p>
    <w:tbl>
      <w:tblPr>
        <w:tblStyle w:val="21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041"/>
        <w:gridCol w:w="320"/>
        <w:gridCol w:w="1908"/>
        <w:gridCol w:w="144"/>
        <w:gridCol w:w="1129"/>
        <w:gridCol w:w="113"/>
        <w:gridCol w:w="1586"/>
        <w:gridCol w:w="13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风险事故情形分析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代表性风险事故情形描述</w:t>
            </w:r>
          </w:p>
        </w:tc>
        <w:tc>
          <w:tcPr>
            <w:tcW w:w="4109" w:type="pct"/>
            <w:gridSpan w:val="8"/>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eastAsia"/>
                <w:color w:val="000000" w:themeColor="text1"/>
                <w:kern w:val="0"/>
                <w:sz w:val="21"/>
                <w:szCs w:val="21"/>
                <w:u w:val="none" w:color="auto"/>
                <w:lang w:eastAsia="zh-CN"/>
                <w14:textFill>
                  <w14:solidFill>
                    <w14:schemeClr w14:val="tx1"/>
                  </w14:solidFill>
                </w14:textFill>
              </w:rPr>
              <w:t>加氢装置</w:t>
            </w:r>
            <w:r>
              <w:rPr>
                <w:rFonts w:hint="eastAsia" w:ascii="Times New Roman" w:hAnsi="Times New Roman"/>
                <w:color w:val="000000" w:themeColor="text1"/>
                <w:kern w:val="0"/>
                <w:sz w:val="21"/>
                <w:szCs w:val="21"/>
                <w:u w:val="none" w:color="auto"/>
                <w14:textFill>
                  <w14:solidFill>
                    <w14:schemeClr w14:val="tx1"/>
                  </w14:solidFill>
                </w14:textFill>
              </w:rPr>
              <w:t>发生火灾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环境风险类型</w:t>
            </w:r>
          </w:p>
        </w:tc>
        <w:tc>
          <w:tcPr>
            <w:tcW w:w="4109" w:type="pct"/>
            <w:gridSpan w:val="8"/>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泄漏设备类型</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eastAsia" w:ascii="Times New Roman" w:hAnsi="Times New Roman"/>
                <w:color w:val="000000" w:themeColor="text1"/>
                <w:kern w:val="0"/>
                <w:sz w:val="21"/>
                <w:szCs w:val="21"/>
                <w:u w:val="none" w:color="auto"/>
                <w14:textFill>
                  <w14:solidFill>
                    <w14:schemeClr w14:val="tx1"/>
                  </w14:solidFill>
                </w14:textFill>
              </w:rPr>
              <w:t>/</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操作温度/℃</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常温</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操作压力/MPa</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常压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泄漏危险物质</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eastAsia" w:ascii="Times New Roman" w:hAnsi="Times New Roman"/>
                <w:color w:val="000000" w:themeColor="text1"/>
                <w:kern w:val="0"/>
                <w:sz w:val="21"/>
                <w:szCs w:val="21"/>
                <w:u w:val="none" w:color="auto"/>
                <w14:textFill>
                  <w14:solidFill>
                    <w14:schemeClr w14:val="tx1"/>
                  </w14:solidFill>
                </w14:textFill>
              </w:rPr>
              <w:t>/</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最大存在量/kg</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泄漏孔径/mm</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泄漏速率/(kg/s)</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3.21</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泄漏时间/min</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eastAsia" w:ascii="Times New Roman" w:hAnsi="Times New Roman"/>
                <w:color w:val="000000" w:themeColor="text1"/>
                <w:kern w:val="0"/>
                <w:sz w:val="21"/>
                <w:szCs w:val="21"/>
                <w:u w:val="none" w:color="auto"/>
                <w14:textFill>
                  <w14:solidFill>
                    <w14:schemeClr w14:val="tx1"/>
                  </w14:solidFill>
                </w14:textFill>
              </w:rPr>
              <w:t>30</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泄漏量/kg</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泄漏高度/m</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泄漏液体蒸发量/kg</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泄漏频率</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w:t>
            </w:r>
            <w:r>
              <w:rPr>
                <w:rFonts w:hint="eastAsia" w:eastAsia="宋体" w:cs="Times New Roman"/>
                <w:b w:val="0"/>
                <w:bCs/>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w:t>
            </w:r>
            <w:r>
              <w:rPr>
                <w:rFonts w:hint="eastAsia" w:eastAsia="宋体" w:cs="Times New Roman"/>
                <w:b w:val="0"/>
                <w:bCs/>
                <w:color w:val="000000" w:themeColor="text1"/>
                <w:kern w:val="0"/>
                <w:sz w:val="21"/>
                <w:szCs w:val="21"/>
                <w:vertAlign w:val="superscript"/>
                <w:lang w:val="en-US" w:eastAsia="zh-CN"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事故后果预测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最不利气象条件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restar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w:t>
            </w:r>
          </w:p>
        </w:tc>
        <w:tc>
          <w:tcPr>
            <w:tcW w:w="563"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危险物质</w:t>
            </w:r>
          </w:p>
        </w:tc>
        <w:tc>
          <w:tcPr>
            <w:tcW w:w="3546" w:type="pct"/>
            <w:gridSpan w:val="7"/>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大气环境影响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563" w:type="pct"/>
            <w:vMerge w:val="restar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hint="eastAsia" w:ascii="Times New Roman" w:hAnsi="Times New Roman"/>
                <w:color w:val="000000" w:themeColor="text1"/>
                <w:kern w:val="0"/>
                <w:sz w:val="21"/>
                <w:szCs w:val="21"/>
                <w:u w:val="none" w:color="auto"/>
                <w14:textFill>
                  <w14:solidFill>
                    <w14:schemeClr w14:val="tx1"/>
                  </w14:solidFill>
                </w14:textFill>
              </w:rPr>
              <w:t>C</w:t>
            </w:r>
            <w:r>
              <w:rPr>
                <w:rFonts w:ascii="Times New Roman" w:hAnsi="Times New Roman"/>
                <w:color w:val="000000" w:themeColor="text1"/>
                <w:kern w:val="0"/>
                <w:sz w:val="21"/>
                <w:szCs w:val="21"/>
                <w:u w:val="none" w:color="auto"/>
                <w14:textFill>
                  <w14:solidFill>
                    <w14:schemeClr w14:val="tx1"/>
                  </w14:solidFill>
                </w14:textFill>
              </w:rPr>
              <w:t>O</w:t>
            </w: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指标</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浓度值/(mg/m</w:t>
            </w:r>
            <w:r>
              <w:rPr>
                <w:rFonts w:ascii="Times New Roman" w:hAnsi="Times New Roman"/>
                <w:color w:val="000000" w:themeColor="text1"/>
                <w:kern w:val="0"/>
                <w:sz w:val="21"/>
                <w:szCs w:val="21"/>
                <w:u w:val="none" w:color="auto"/>
                <w:vertAlign w:val="superscript"/>
                <w14:textFill>
                  <w14:solidFill>
                    <w14:schemeClr w14:val="tx1"/>
                  </w14:solidFill>
                </w14:textFill>
              </w:rPr>
              <w:t>3</w:t>
            </w:r>
            <w:r>
              <w:rPr>
                <w:rFonts w:ascii="Times New Roman" w:hAnsi="Times New Roman"/>
                <w:color w:val="000000" w:themeColor="text1"/>
                <w:kern w:val="0"/>
                <w:sz w:val="21"/>
                <w:szCs w:val="21"/>
                <w:u w:val="none" w:color="auto"/>
                <w14:textFill>
                  <w14:solidFill>
                    <w14:schemeClr w14:val="tx1"/>
                  </w14:solidFill>
                </w14:textFill>
              </w:rPr>
              <w:t>)</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最远影响距离/m</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到达时间/min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大气毒性终点浓度-1</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380</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30</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大气毒性终点浓度-2</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95</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14</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olor w:val="000000" w:themeColor="text1"/>
                <w:kern w:val="0"/>
                <w:sz w:val="21"/>
                <w:szCs w:val="21"/>
                <w:u w:val="none" w:color="auto"/>
                <w:lang w:val="en-US" w:eastAsia="zh-CN"/>
                <w14:textFill>
                  <w14:solidFill>
                    <w14:schemeClr w14:val="tx1"/>
                  </w14:solidFill>
                </w14:textFill>
              </w:rPr>
            </w:pPr>
            <w:r>
              <w:rPr>
                <w:rFonts w:hint="eastAsia"/>
                <w:color w:val="000000" w:themeColor="text1"/>
                <w:kern w:val="0"/>
                <w:sz w:val="21"/>
                <w:szCs w:val="21"/>
                <w:u w:val="none" w:color="auto"/>
                <w:lang w:val="en-US" w:eastAsia="zh-CN"/>
                <w14:textFill>
                  <w14:solidFill>
                    <w14:schemeClr w14:val="tx1"/>
                  </w14:solidFill>
                </w14:textFill>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敏感目标名称</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超标时间/min</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超标持续时间/min</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r>
              <w:rPr>
                <w:rFonts w:ascii="Times New Roman" w:hAnsi="Times New Roman"/>
                <w:color w:val="000000" w:themeColor="text1"/>
                <w:kern w:val="0"/>
                <w:sz w:val="21"/>
                <w:szCs w:val="21"/>
                <w:u w:val="none" w:color="auto"/>
                <w14:textFill>
                  <w14:solidFill>
                    <w14:schemeClr w14:val="tx1"/>
                  </w14:solidFill>
                </w14:textFill>
              </w:rPr>
              <w:t>最大浓度/(mg/m</w:t>
            </w:r>
            <w:r>
              <w:rPr>
                <w:rFonts w:ascii="Times New Roman" w:hAnsi="Times New Roman"/>
                <w:color w:val="000000" w:themeColor="text1"/>
                <w:kern w:val="0"/>
                <w:sz w:val="21"/>
                <w:szCs w:val="21"/>
                <w:u w:val="none" w:color="auto"/>
                <w:vertAlign w:val="superscript"/>
                <w14:textFill>
                  <w14:solidFill>
                    <w14:schemeClr w14:val="tx1"/>
                  </w14:solidFill>
                </w14:textFill>
              </w:rPr>
              <w:t>3</w:t>
            </w:r>
            <w:r>
              <w:rPr>
                <w:rFonts w:ascii="Times New Roman" w:hAnsi="Times New Roman"/>
                <w:color w:val="000000" w:themeColor="text1"/>
                <w:kern w:val="0"/>
                <w:sz w:val="21"/>
                <w:szCs w:val="21"/>
                <w:u w:val="none" w:color="auto"/>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ascii="Times New Roman" w:hAnsi="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olor w:val="000000" w:themeColor="text1"/>
                <w:kern w:val="0"/>
                <w:sz w:val="21"/>
                <w:szCs w:val="21"/>
                <w:u w:val="none" w:color="auto"/>
                <w:lang w:eastAsia="zh-CN"/>
                <w14:textFill>
                  <w14:solidFill>
                    <w14:schemeClr w14:val="tx1"/>
                  </w14:solidFill>
                </w14:textFill>
              </w:rPr>
              <w:t>无超标敏感点</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olor w:val="000000" w:themeColor="text1"/>
                <w:kern w:val="0"/>
                <w:sz w:val="21"/>
                <w:szCs w:val="21"/>
                <w:u w:val="none" w:color="auto"/>
                <w:lang w:val="en-US" w:eastAsia="zh-CN"/>
                <w14:textFill>
                  <w14:solidFill>
                    <w14:schemeClr w14:val="tx1"/>
                  </w14:solidFill>
                </w14:textFill>
              </w:rPr>
              <w:t>/</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t>/</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eastAsia" w:ascii="Times New Roman" w:hAnsi="Times New Roman"/>
                <w:color w:val="000000" w:themeColor="text1"/>
                <w:kern w:val="0"/>
                <w:sz w:val="21"/>
                <w:szCs w:val="21"/>
                <w:u w:val="none" w:color="auto"/>
                <w:lang w:val="en-US" w:eastAsia="zh-CN"/>
                <w14:textFill>
                  <w14:solidFill>
                    <w14:schemeClr w14:val="tx1"/>
                  </w14:solidFill>
                </w14:textFill>
              </w:rPr>
              <w:t>/</w:t>
            </w:r>
          </w:p>
        </w:tc>
      </w:tr>
    </w:tbl>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1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 xml:space="preserve">表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 xml:space="preserve"> 项目事故源强及事故后果基本信息表（火灾伴生）</w:t>
      </w:r>
    </w:p>
    <w:tbl>
      <w:tblPr>
        <w:tblStyle w:val="21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041"/>
        <w:gridCol w:w="320"/>
        <w:gridCol w:w="1908"/>
        <w:gridCol w:w="144"/>
        <w:gridCol w:w="1129"/>
        <w:gridCol w:w="113"/>
        <w:gridCol w:w="1586"/>
        <w:gridCol w:w="13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风险事故情形分析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代表性风险事故情形描述</w:t>
            </w:r>
          </w:p>
        </w:tc>
        <w:tc>
          <w:tcPr>
            <w:tcW w:w="4109" w:type="pct"/>
            <w:gridSpan w:val="8"/>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加氢装置</w:t>
            </w:r>
            <w:r>
              <w:rPr>
                <w:rFonts w:hint="default" w:ascii="Times New Roman" w:hAnsi="Times New Roman" w:cs="Times New Roman"/>
                <w:color w:val="000000" w:themeColor="text1"/>
                <w:kern w:val="0"/>
                <w:sz w:val="21"/>
                <w:szCs w:val="21"/>
                <w:u w:val="none" w:color="auto"/>
                <w14:textFill>
                  <w14:solidFill>
                    <w14:schemeClr w14:val="tx1"/>
                  </w14:solidFill>
                </w14:textFill>
              </w:rPr>
              <w:t>发生火灾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环境风险类型</w:t>
            </w:r>
          </w:p>
        </w:tc>
        <w:tc>
          <w:tcPr>
            <w:tcW w:w="4109" w:type="pct"/>
            <w:gridSpan w:val="8"/>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泄漏设备类型</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操作温度/℃</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常温</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操作压力/MPa</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常压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泄漏危险物质</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最大存在量/kg</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泄漏孔径/mm</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泄漏速率/(kg/s)</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eastAsia" w:ascii="Times New Roman" w:hAnsi="Times New Roman" w:cs="Times New Roman"/>
                <w:color w:val="000000" w:themeColor="text1"/>
                <w:kern w:val="0"/>
                <w:sz w:val="21"/>
                <w:szCs w:val="21"/>
                <w:u w:val="none" w:color="auto"/>
                <w:lang w:val="en-US" w:eastAsia="zh-CN"/>
                <w14:textFill>
                  <w14:solidFill>
                    <w14:schemeClr w14:val="tx1"/>
                  </w14:solidFill>
                </w14:textFill>
              </w:rPr>
              <w:t>0.001</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泄漏时间/min</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30</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泄漏量/kg</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泄漏高度/m</w:t>
            </w:r>
          </w:p>
        </w:tc>
        <w:tc>
          <w:tcPr>
            <w:tcW w:w="736"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1110"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泄漏液体蒸发量/kg</w:t>
            </w:r>
          </w:p>
        </w:tc>
        <w:tc>
          <w:tcPr>
            <w:tcW w:w="611"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919"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泄漏频率</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t>1.2×10</w:t>
            </w:r>
            <w:r>
              <w:rPr>
                <w:rFonts w:hint="default" w:ascii="Times New Roman" w:hAnsi="Times New Roman" w:eastAsia="宋体" w:cs="Times New Roman"/>
                <w:b w:val="0"/>
                <w:bCs/>
                <w:color w:val="000000" w:themeColor="text1"/>
                <w:kern w:val="0"/>
                <w:sz w:val="21"/>
                <w:szCs w:val="21"/>
                <w:vertAlign w:val="superscript"/>
                <w:lang w:val="en-US" w:eastAsia="zh-CN"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事故后果预测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9"/>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最不利气象条件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restar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大气</w:t>
            </w:r>
          </w:p>
        </w:tc>
        <w:tc>
          <w:tcPr>
            <w:tcW w:w="563"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危险物质</w:t>
            </w:r>
          </w:p>
        </w:tc>
        <w:tc>
          <w:tcPr>
            <w:tcW w:w="3546" w:type="pct"/>
            <w:gridSpan w:val="7"/>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大气环境影响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563" w:type="pct"/>
            <w:vMerge w:val="restar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SO</w:t>
            </w:r>
            <w:r>
              <w:rPr>
                <w:rFonts w:hint="default" w:ascii="Times New Roman" w:hAnsi="Times New Roman" w:cs="Times New Roman"/>
                <w:color w:val="000000" w:themeColor="text1"/>
                <w:kern w:val="0"/>
                <w:sz w:val="21"/>
                <w:szCs w:val="21"/>
                <w:u w:val="none" w:color="auto"/>
                <w:vertAlign w:val="subscript"/>
                <w:lang w:val="en-US" w:eastAsia="zh-CN"/>
                <w14:textFill>
                  <w14:solidFill>
                    <w14:schemeClr w14:val="tx1"/>
                  </w14:solidFill>
                </w14:textFill>
              </w:rPr>
              <w:t>2</w:t>
            </w: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指标</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浓度值/(mg/m</w:t>
            </w:r>
            <w:r>
              <w:rPr>
                <w:rFonts w:hint="default" w:ascii="Times New Roman" w:hAnsi="Times New Roman" w:cs="Times New Roman"/>
                <w:color w:val="000000" w:themeColor="text1"/>
                <w:kern w:val="0"/>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最远影响距离/m</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到达时间/min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大气毒性终点浓度-1</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380</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432</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大气毒性终点浓度-2</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95</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46</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0.67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敏感目标名称</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超标时间/min</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超标持续时间/min</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r>
              <w:rPr>
                <w:rFonts w:hint="default" w:ascii="Times New Roman" w:hAnsi="Times New Roman" w:cs="Times New Roman"/>
                <w:color w:val="000000" w:themeColor="text1"/>
                <w:kern w:val="0"/>
                <w:sz w:val="21"/>
                <w:szCs w:val="21"/>
                <w:u w:val="none" w:color="auto"/>
                <w14:textFill>
                  <w14:solidFill>
                    <w14:schemeClr w14:val="tx1"/>
                  </w14:solidFill>
                </w14:textFill>
              </w:rPr>
              <w:t>最大浓度/(mg/m</w:t>
            </w:r>
            <w:r>
              <w:rPr>
                <w:rFonts w:hint="default" w:ascii="Times New Roman" w:hAnsi="Times New Roman" w:cs="Times New Roman"/>
                <w:color w:val="000000" w:themeColor="text1"/>
                <w:kern w:val="0"/>
                <w:sz w:val="21"/>
                <w:szCs w:val="21"/>
                <w:u w:val="none" w:color="auto"/>
                <w:vertAlign w:val="superscript"/>
                <w14:textFill>
                  <w14:solidFill>
                    <w14:schemeClr w14:val="tx1"/>
                  </w14:solidFill>
                </w14:textFill>
              </w:rPr>
              <w:t>3</w:t>
            </w:r>
            <w:r>
              <w:rPr>
                <w:rFonts w:hint="default" w:ascii="Times New Roman" w:hAnsi="Times New Roman" w:cs="Times New Roman"/>
                <w:color w:val="000000" w:themeColor="text1"/>
                <w:kern w:val="0"/>
                <w:sz w:val="21"/>
                <w:szCs w:val="21"/>
                <w:u w:val="none" w:color="auto"/>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0"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563" w:type="pct"/>
            <w:vMerge w:val="continue"/>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u w:val="none" w:color="auto"/>
                <w14:textFill>
                  <w14:solidFill>
                    <w14:schemeClr w14:val="tx1"/>
                  </w14:solidFill>
                </w14:textFill>
              </w:rPr>
            </w:pPr>
          </w:p>
        </w:tc>
        <w:tc>
          <w:tcPr>
            <w:tcW w:w="1205" w:type="pct"/>
            <w:gridSpan w:val="2"/>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u w:val="none" w:color="auto"/>
                <w:lang w:eastAsia="zh-CN"/>
                <w14:textFill>
                  <w14:solidFill>
                    <w14:schemeClr w14:val="tx1"/>
                  </w14:solidFill>
                </w14:textFill>
              </w:rPr>
              <w:t>无超标敏感点</w:t>
            </w:r>
          </w:p>
        </w:tc>
        <w:tc>
          <w:tcPr>
            <w:tcW w:w="750" w:type="pct"/>
            <w:gridSpan w:val="3"/>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w:t>
            </w:r>
          </w:p>
        </w:tc>
        <w:tc>
          <w:tcPr>
            <w:tcW w:w="858"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w:t>
            </w:r>
          </w:p>
        </w:tc>
        <w:tc>
          <w:tcPr>
            <w:tcW w:w="732" w:type="pct"/>
            <w:vAlign w:val="center"/>
          </w:tcPr>
          <w:p>
            <w:pPr>
              <w:keepNext w:val="0"/>
              <w:keepLines w:val="0"/>
              <w:suppressLineNumbers w:val="0"/>
              <w:kinsoku w:val="0"/>
              <w:overflowPunct w:val="0"/>
              <w:autoSpaceDE w:val="0"/>
              <w:autoSpaceDN w:val="0"/>
              <w:adjustRightInd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u w:val="none" w:color="auto"/>
                <w:lang w:val="en-US" w:eastAsia="zh-CN"/>
                <w14:textFill>
                  <w14:solidFill>
                    <w14:schemeClr w14:val="tx1"/>
                  </w14:solidFill>
                </w14:textFill>
              </w:rPr>
              <w:t>/</w:t>
            </w:r>
          </w:p>
        </w:tc>
      </w:tr>
    </w:tbl>
    <w:p>
      <w:pPr>
        <w:pStyle w:val="5"/>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地表水环境风险预测与评价</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项目周边地表水体主要是</w:t>
      </w:r>
      <w:r>
        <w:rPr>
          <w:rFonts w:hint="eastAsia" w:ascii="Times New Roman" w:hAnsi="Times New Roman" w:cs="Times New Roman"/>
          <w:color w:val="000000" w:themeColor="text1"/>
          <w:u w:val="none" w:color="auto"/>
          <w:lang w:val="en-US" w:eastAsia="zh-CN"/>
          <w14:textFill>
            <w14:solidFill>
              <w14:schemeClr w14:val="tx1"/>
            </w14:solidFill>
          </w14:textFill>
        </w:rPr>
        <w:t>长江</w:t>
      </w:r>
      <w:r>
        <w:rPr>
          <w:rFonts w:hint="default" w:ascii="Times New Roman" w:hAnsi="Times New Roman" w:cs="Times New Roman"/>
          <w:color w:val="000000" w:themeColor="text1"/>
          <w:u w:val="none" w:color="auto"/>
          <w14:textFill>
            <w14:solidFill>
              <w14:schemeClr w14:val="tx1"/>
            </w14:solidFill>
          </w14:textFill>
        </w:rPr>
        <w:t>。本项目采用雨污分流的原则，进行厂区内雨水和废水的排放。正常工况产生的</w:t>
      </w:r>
      <w:r>
        <w:rPr>
          <w:rFonts w:hint="eastAsia" w:cs="Times New Roman"/>
          <w:color w:val="000000" w:themeColor="text1"/>
          <w:u w:val="none" w:color="auto"/>
          <w:lang w:eastAsia="zh-CN"/>
          <w14:textFill>
            <w14:solidFill>
              <w14:schemeClr w14:val="tx1"/>
            </w14:solidFill>
          </w14:textFill>
        </w:rPr>
        <w:t>生产</w:t>
      </w:r>
      <w:r>
        <w:rPr>
          <w:rFonts w:hint="default" w:ascii="Times New Roman" w:hAnsi="Times New Roman" w:cs="Times New Roman"/>
          <w:color w:val="000000" w:themeColor="text1"/>
          <w:u w:val="none" w:color="auto"/>
          <w14:textFill>
            <w14:solidFill>
              <w14:schemeClr w14:val="tx1"/>
            </w14:solidFill>
          </w14:textFill>
        </w:rPr>
        <w:t>废水、初期污染雨水等进入污水处理设施处理达标后排入园区污水管网。非正常工况下，生产负荷波动带来的排水变化量可直接排入</w:t>
      </w:r>
      <w:r>
        <w:rPr>
          <w:rFonts w:hint="eastAsia" w:cs="Times New Roman"/>
          <w:color w:val="000000" w:themeColor="text1"/>
          <w:u w:val="none" w:color="auto"/>
          <w:lang w:eastAsia="zh-CN"/>
          <w14:textFill>
            <w14:solidFill>
              <w14:schemeClr w14:val="tx1"/>
            </w14:solidFill>
          </w14:textFill>
        </w:rPr>
        <w:t>污水处理系统</w:t>
      </w:r>
      <w:r>
        <w:rPr>
          <w:rFonts w:hint="default" w:ascii="Times New Roman" w:hAnsi="Times New Roman" w:cs="Times New Roman"/>
          <w:color w:val="000000" w:themeColor="text1"/>
          <w:u w:val="none" w:color="auto"/>
          <w14:textFill>
            <w14:solidFill>
              <w14:schemeClr w14:val="tx1"/>
            </w14:solidFill>
          </w14:textFill>
        </w:rPr>
        <w:t>处理，</w:t>
      </w:r>
      <w:r>
        <w:rPr>
          <w:rFonts w:hint="eastAsia" w:cs="Times New Roman"/>
          <w:color w:val="000000" w:themeColor="text1"/>
          <w:u w:val="none" w:color="auto"/>
          <w:lang w:eastAsia="zh-CN"/>
          <w14:textFill>
            <w14:solidFill>
              <w14:schemeClr w14:val="tx1"/>
            </w14:solidFill>
          </w14:textFill>
        </w:rPr>
        <w:t>污水处理系统</w:t>
      </w:r>
      <w:r>
        <w:rPr>
          <w:rFonts w:hint="default" w:ascii="Times New Roman" w:hAnsi="Times New Roman" w:cs="Times New Roman"/>
          <w:color w:val="000000" w:themeColor="text1"/>
          <w:u w:val="none" w:color="auto"/>
          <w14:textFill>
            <w14:solidFill>
              <w14:schemeClr w14:val="tx1"/>
            </w14:solidFill>
          </w14:textFill>
        </w:rPr>
        <w:t xml:space="preserve">设有调节水池，正常运转状态下处理能力能够达到生产负荷波动的最大排水量。 </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 xml:space="preserve">本项目针对事故情况下的泄漏液体物料及火灾扑救中的消防废水、污染雨水等事故废水采取了以下控制、收集及储存措施： </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 xml:space="preserve">（1）生产、使用水体环境危害物质的工艺装置界区周围设有地沟，以确保事故本身及处置过程中受污染排水的收集；储罐按现行规范设置防火堤及围堰。 </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（2）发生消防事故时，有污染的各生产装置和辅助生产设施界区内消防排水、事故污水首先收集在装置区内围堰、防火堤内，后进入事故池，事故处理完毕后排入</w:t>
      </w:r>
      <w:r>
        <w:rPr>
          <w:rFonts w:hint="eastAsia" w:cs="Times New Roman"/>
          <w:color w:val="000000" w:themeColor="text1"/>
          <w:u w:val="none" w:color="auto"/>
          <w:lang w:eastAsia="zh-CN"/>
          <w14:textFill>
            <w14:solidFill>
              <w14:schemeClr w14:val="tx1"/>
            </w14:solidFill>
          </w14:textFill>
        </w:rPr>
        <w:t>污水处理系统</w:t>
      </w:r>
      <w:r>
        <w:rPr>
          <w:rFonts w:hint="default" w:ascii="Times New Roman" w:hAnsi="Times New Roman" w:cs="Times New Roman"/>
          <w:color w:val="000000" w:themeColor="text1"/>
          <w:u w:val="none" w:color="auto"/>
          <w14:textFill>
            <w14:solidFill>
              <w14:schemeClr w14:val="tx1"/>
            </w14:solidFill>
          </w14:textFill>
        </w:rPr>
        <w:t xml:space="preserve">进行处理。 </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3）本项目事故废水处理与园区联动，当消防事故水池水位达到报警液位后，存在消防水溢出风险的情况下，开启连接园区公共事故水池的管网，事故废水经园区事故水联通管道压力泵进入园区公共事故应急池，疏导消防水。</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通过多级事故废水防控体系的建立，从源头上切断事故废水进入外部地表水体的途径，不会对外环境产生影响。因此本次风险评价对地表水不进行预测分析。</w:t>
      </w:r>
    </w:p>
    <w:p>
      <w:pPr>
        <w:pStyle w:val="5"/>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地下水环境风险分析</w:t>
      </w:r>
    </w:p>
    <w:p>
      <w:pPr>
        <w:pStyle w:val="132"/>
        <w:ind w:firstLine="480"/>
        <w:rPr>
          <w:rFonts w:hint="default" w:ascii="Times New Roman" w:hAnsi="Times New Roman" w:cs="Times New Roman"/>
          <w:color w:val="000000" w:themeColor="text1"/>
          <w:u w:val="none" w:color="auto"/>
          <w14:textFill>
            <w14:solidFill>
              <w14:schemeClr w14:val="tx1"/>
            </w14:solidFill>
          </w14:textFill>
        </w:rPr>
      </w:pPr>
      <w:r>
        <w:rPr>
          <w:rFonts w:hint="default" w:ascii="Times New Roman" w:hAnsi="Times New Roman" w:cs="Times New Roman"/>
          <w:color w:val="000000" w:themeColor="text1"/>
          <w:u w:val="none" w:color="auto"/>
          <w14:textFill>
            <w14:solidFill>
              <w14:schemeClr w14:val="tx1"/>
            </w14:solidFill>
          </w14:textFill>
        </w:rPr>
        <w:t>本项目厂界内除了绿化用地以外，其它全部都是混凝土路面，基本没有直接裸露的土壤存在，因此，本工程发生物料泄漏时对厂界内的土壤与地下水影响有限，事故后及时控制基本不会对厂界内的地下水造成严重污染。</w:t>
      </w:r>
    </w:p>
    <w:p>
      <w:pPr>
        <w:pStyle w:val="132"/>
        <w:ind w:firstLine="480"/>
        <w:rPr>
          <w:rFonts w:hint="eastAsia" w:ascii="Times New Roman" w:hAnsi="Times New Roman" w:eastAsia="宋体" w:cs="Times New Roman"/>
          <w:color w:val="000000" w:themeColor="text1"/>
          <w:u w:val="none" w:color="auto"/>
          <w:lang w:eastAsia="zh-CN"/>
          <w14:textFill>
            <w14:solidFill>
              <w14:schemeClr w14:val="tx1"/>
            </w14:solidFill>
          </w14:textFill>
        </w:rPr>
      </w:pPr>
      <w:r>
        <w:rPr>
          <w:rFonts w:hint="default" w:ascii="Times New Roman" w:hAnsi="Times New Roman" w:eastAsia="宋体" w:cs="Times New Roman"/>
          <w:color w:val="000000" w:themeColor="text1"/>
          <w:u w:val="none" w:color="auto"/>
          <w14:textFill>
            <w14:solidFill>
              <w14:schemeClr w14:val="tx1"/>
            </w14:solidFill>
          </w14:textFill>
        </w:rPr>
        <w:t>事故状态下物料泄露，若防渗层破坏，会对地下水产生影响。</w:t>
      </w:r>
      <w:r>
        <w:rPr>
          <w:rFonts w:hint="eastAsia" w:ascii="Times New Roman" w:hAnsi="Times New Roman" w:eastAsia="宋体" w:cs="Times New Roman"/>
          <w:color w:val="000000" w:themeColor="text1"/>
          <w:u w:val="none" w:color="auto"/>
          <w:lang w:eastAsia="zh-CN"/>
          <w14:textFill>
            <w14:solidFill>
              <w14:schemeClr w14:val="tx1"/>
            </w14:solidFill>
          </w14:textFill>
        </w:rPr>
        <w:t>其预测章节分析详见地下水影响预测章节。</w:t>
      </w:r>
    </w:p>
    <w:p>
      <w:pPr>
        <w:pStyle w:val="5"/>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危险废物环境风险分析</w:t>
      </w:r>
    </w:p>
    <w:p>
      <w:pPr>
        <w:pStyle w:val="11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themeColor="text1"/>
          <w:u w:val="none" w:color="auto"/>
          <w14:textFill>
            <w14:solidFill>
              <w14:schemeClr w14:val="tx1"/>
            </w14:solidFill>
          </w14:textFill>
        </w:rPr>
      </w:pPr>
      <w:r>
        <w:rPr>
          <w:rFonts w:ascii="Times New Roman" w:hAnsi="Times New Roman"/>
          <w:color w:val="000000" w:themeColor="text1"/>
          <w:u w:val="none" w:color="auto"/>
          <w14:textFill>
            <w14:solidFill>
              <w14:schemeClr w14:val="tx1"/>
            </w14:solidFill>
          </w14:textFill>
        </w:rPr>
        <w:t>本项目产生一定量的危险废物。企业应制定严格的管理制度对危险固废在产生、分类、管理和运输等环节进行严格的监控。所有危险固废应委托给具有处理资质的单位进行处理处置。项目处置危险固废的措施应符合《中华人民共和国固体废弃物污染环境防治法》，应执行《危险废物转移联单管理办法》规定的各项程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14:textFill>
            <w14:solidFill>
              <w14:schemeClr w14:val="tx1"/>
            </w14:solidFill>
          </w14:textFill>
        </w:rPr>
      </w:pPr>
      <w:r>
        <w:rPr>
          <w:rFonts w:ascii="Times New Roman" w:hAnsi="Times New Roman"/>
          <w:color w:val="000000" w:themeColor="text1"/>
          <w:u w:val="none" w:color="auto"/>
          <w14:textFill>
            <w14:solidFill>
              <w14:schemeClr w14:val="tx1"/>
            </w14:solidFill>
          </w14:textFill>
        </w:rPr>
        <w:t>当</w:t>
      </w:r>
      <w:r>
        <w:rPr>
          <w:rFonts w:hint="eastAsia" w:ascii="Times New Roman" w:hAnsi="Times New Roman"/>
          <w:color w:val="000000" w:themeColor="text1"/>
          <w:u w:val="none" w:color="auto"/>
          <w:lang w:eastAsia="zh-CN"/>
          <w14:textFill>
            <w14:solidFill>
              <w14:schemeClr w14:val="tx1"/>
            </w14:solidFill>
          </w14:textFill>
        </w:rPr>
        <w:t>企业按要求管理危险废物暂存、转运以及处置时，</w:t>
      </w:r>
      <w:r>
        <w:rPr>
          <w:rFonts w:ascii="Times New Roman" w:hAnsi="Times New Roman"/>
          <w:color w:val="000000" w:themeColor="text1"/>
          <w:u w:val="none" w:color="auto"/>
          <w14:textFill>
            <w14:solidFill>
              <w14:schemeClr w14:val="tx1"/>
            </w14:solidFill>
          </w14:textFill>
        </w:rPr>
        <w:t>对周围环境影响不大。</w:t>
      </w:r>
    </w:p>
    <w:p>
      <w:pPr>
        <w:pStyle w:val="4"/>
        <w:rPr>
          <w:color w:val="000000" w:themeColor="text1"/>
          <w14:textFill>
            <w14:solidFill>
              <w14:schemeClr w14:val="tx1"/>
            </w14:solidFill>
          </w14:textFill>
        </w:rPr>
      </w:pPr>
      <w:bookmarkStart w:id="512" w:name="_Toc28091"/>
      <w:r>
        <w:rPr>
          <w:color w:val="000000" w:themeColor="text1"/>
          <w14:textFill>
            <w14:solidFill>
              <w14:schemeClr w14:val="tx1"/>
            </w14:solidFill>
          </w14:textFill>
        </w:rPr>
        <w:t>环境风险防范措施</w:t>
      </w:r>
      <w:bookmarkEnd w:id="512"/>
    </w:p>
    <w:p>
      <w:pPr>
        <w:pStyle w:val="5"/>
        <w:rPr>
          <w:color w:val="000000" w:themeColor="text1"/>
          <w14:textFill>
            <w14:solidFill>
              <w14:schemeClr w14:val="tx1"/>
            </w14:solidFill>
          </w14:textFill>
        </w:rPr>
      </w:pPr>
      <w:r>
        <w:rPr>
          <w:color w:val="000000" w:themeColor="text1"/>
          <w14:textFill>
            <w14:solidFill>
              <w14:schemeClr w14:val="tx1"/>
            </w14:solidFill>
          </w14:textFill>
        </w:rPr>
        <w:t>风险防范措施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安全生产上一贯坚持“安全第一、预防为主”的方针，工作重点应放在预防上。在事故救援上实行“企业自救为主、社会救援为辅”的原则。因此，项目采 取必要的风险防范措施是十分必要的。</w:t>
      </w:r>
    </w:p>
    <w:p>
      <w:pPr>
        <w:pStyle w:val="5"/>
        <w:rPr>
          <w:color w:val="000000" w:themeColor="text1"/>
          <w:u w:val="single"/>
          <w14:textFill>
            <w14:solidFill>
              <w14:schemeClr w14:val="tx1"/>
            </w14:solidFill>
          </w14:textFill>
        </w:rPr>
      </w:pPr>
      <w:r>
        <w:rPr>
          <w:color w:val="000000" w:themeColor="text1"/>
          <w:u w:val="single"/>
          <w14:textFill>
            <w14:solidFill>
              <w14:schemeClr w14:val="tx1"/>
            </w14:solidFill>
          </w14:textFill>
        </w:rPr>
        <w:t>工艺系统采取的安全措施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项目采用可了分散控制系统（DCS）实现装置的自动控制、顺序控制。整个装置的自控水平在国内外同类装置中局领先水平。</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在有压力的设备和管道上已经设置安全阀等自动泄压设施，在装置区有腐蚀和毒害岗位区域设安全喷淋洗眼器，并加以明显标记，供事故时临时急救用。</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凡表面温度超过60℃以上的设备和管道，均采用绝热措施以防人身烫伤，高温管道和设备做保冷，在满足生产需要的同时，防止冻伤。在生产区域安装风向标，用来指引事故状态下人员的安全疏散方向。</w:t>
      </w:r>
    </w:p>
    <w:p>
      <w:pPr>
        <w:pStyle w:val="5"/>
        <w:rPr>
          <w:color w:val="000000" w:themeColor="text1"/>
          <w:u w:val="single"/>
          <w14:textFill>
            <w14:solidFill>
              <w14:schemeClr w14:val="tx1"/>
            </w14:solidFill>
          </w14:textFill>
        </w:rPr>
      </w:pPr>
      <w:r>
        <w:rPr>
          <w:color w:val="000000" w:themeColor="text1"/>
          <w:u w:val="single"/>
          <w14:textFill>
            <w14:solidFill>
              <w14:schemeClr w14:val="tx1"/>
            </w14:solidFill>
          </w14:textFill>
        </w:rPr>
        <w:t>总图布置和建筑安全措施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针对项目的性质、生产中使用易燃易爆、有毒的 危险物质，项目在工程设计已经严格按照我国有关劳动安全、防火、防爆法规进行设计，从总图布局、工艺生产、建构筑物防火处理、防雷接地、消防、防爆等各个方面采取相应的措施。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（1）各功能区之间设有环行通道，有利于安全疏散和消防。各建构筑物均按火灾危险等级进行设计，部分钢结构作防火处理，部分楼、地面作防腐处理。</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（2）总图布置按规定划分爆炸危险区域，在爆炸危险区域选用防爆型仪表、电器及通讯设备。</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（3）遵守安全操作规程，严禁在生产区、中间罐区明火作业，需要采用电焊作业，需上报主管部门，并作好相应的防护措施。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（4）生产区均设禁止吸烟标志，防止人为吸烟引起明火火灾等事故，物料输送管均设有防静电装置。</w:t>
      </w:r>
    </w:p>
    <w:p>
      <w:pPr>
        <w:pStyle w:val="5"/>
        <w:rPr>
          <w:color w:val="000000" w:themeColor="text1"/>
          <w:u w:val="single"/>
          <w14:textFill>
            <w14:solidFill>
              <w14:schemeClr w14:val="tx1"/>
            </w14:solidFill>
          </w14:textFill>
        </w:rPr>
      </w:pPr>
      <w:r>
        <w:rPr>
          <w:color w:val="000000" w:themeColor="text1"/>
          <w:u w:val="single"/>
          <w14:textFill>
            <w14:solidFill>
              <w14:schemeClr w14:val="tx1"/>
            </w14:solidFill>
          </w14:textFill>
        </w:rPr>
        <w:t>储运安全措施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项目应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并严格执行我国危险化学品运输安全的有关规定。</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（1）要按规定的路线行驶，中途不得停留，注意运输安全，严防运输事故发生。一旦发生事故，一面搞好现场保护，一面与当地公安消防和环保部门联系，消除或减缓事故造成的影响。</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（2）管线等设备的材质应选用耐腐蚀材料，并加强防腐处理，防止腐蚀穿孔或腐蚀层脱落堵塞管道。同时应加强检修维修，对出现的故障及时排除。</w:t>
      </w:r>
    </w:p>
    <w:p>
      <w:pPr>
        <w:tabs>
          <w:tab w:val="left" w:pos="1662"/>
        </w:tabs>
        <w:autoSpaceDE w:val="0"/>
        <w:autoSpaceDN w:val="0"/>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（3）泵与管、管与管之间联接处要保持牢固、密封，并定期严格检查，使其处于完好状态。</w:t>
      </w:r>
    </w:p>
    <w:p>
      <w:pPr>
        <w:pStyle w:val="5"/>
        <w:rPr>
          <w:color w:val="000000" w:themeColor="text1"/>
          <w:u w:val="single"/>
          <w14:textFill>
            <w14:solidFill>
              <w14:schemeClr w14:val="tx1"/>
            </w14:solidFill>
          </w14:textFill>
        </w:rPr>
      </w:pPr>
      <w:r>
        <w:rPr>
          <w:color w:val="000000" w:themeColor="text1"/>
          <w:u w:val="single"/>
          <w14:textFill>
            <w14:solidFill>
              <w14:schemeClr w14:val="tx1"/>
            </w14:solidFill>
          </w14:textFill>
        </w:rPr>
        <w:t>物料泄露事故的防范措施</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泄露事故的预防是生产和储运过程终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物料泄漏事故的预防：</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（1）在有易燃易爆物料可能泄露的区域安装可燃气体探察仪，以便及早发现泄漏、及早处理；</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（2）经常检查管道，地上管道应防止汽车碰撞，并控制管道支撑的磨损，定期系统试压、定期捡漏；</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（3）对各类危险性较大的储罐采用氮气气封，避免物料的泄露。</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泄露应急处理：疏散泄露污染区人员至安全区，禁止无关人员进入污染区，建议应急处理人员戴自给式呼吸器，穿化学防护服。不要直接接触泄漏物，在确保安全情况下堵漏。用大量水冲洗，经稀释的洗水放入废水系统，如大量泄漏，利用围堤收容，然后收集、转移、回收或无害处理后废弃。</w:t>
      </w:r>
    </w:p>
    <w:p>
      <w:pPr>
        <w:pStyle w:val="5"/>
        <w:rPr>
          <w:color w:val="000000" w:themeColor="text1"/>
          <w:u w:val="single"/>
          <w14:textFill>
            <w14:solidFill>
              <w14:schemeClr w14:val="tx1"/>
            </w14:solidFill>
          </w14:textFill>
        </w:rPr>
      </w:pPr>
      <w:r>
        <w:rPr>
          <w:color w:val="000000" w:themeColor="text1"/>
          <w:u w:val="single"/>
          <w14:textFill>
            <w14:solidFill>
              <w14:schemeClr w14:val="tx1"/>
            </w14:solidFill>
          </w14:textFill>
        </w:rPr>
        <w:t>输送管线防范措施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本评价对建设的工艺管线提出以下事故防范措施建议，以期最大限度降低风险发生几率和影响：</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（1）封闭管线上设置相应泄压设施，防止因太阳暴晒等原因而导致超压；</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（2）设置DCS自动报警和连锁切断设施，并设紧急事故切断阀，保证其手动操作功能。一旦发生超压或泄漏，立即自动检测并送至厂内DCS控制系统， 安全控制系统动作。</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（3）运输管线沿途应设有明显的警示标志，提醒过往车辆和行人注意安全。</w:t>
      </w:r>
    </w:p>
    <w:p>
      <w:pPr>
        <w:pStyle w:val="17"/>
        <w:spacing w:after="0"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4）应加强运输管线的检查（防腐情况、阀门完好情况等），每班有专人对管线进行巡查，查看管线的防腐情况以及阀门等设备的完好情况，并将巡查结果记录在案备查。一旦发现问题，巡检人员应立即向有关部门反映解决。</w:t>
      </w:r>
    </w:p>
    <w:p>
      <w:pPr>
        <w:pStyle w:val="5"/>
        <w:rPr>
          <w:color w:val="000000" w:themeColor="text1"/>
          <w:u w:val="single"/>
          <w14:textFill>
            <w14:solidFill>
              <w14:schemeClr w14:val="tx1"/>
            </w14:solidFill>
          </w14:textFill>
        </w:rPr>
      </w:pPr>
      <w:r>
        <w:rPr>
          <w:color w:val="000000" w:themeColor="text1"/>
          <w:u w:val="single"/>
          <w14:textFill>
            <w14:solidFill>
              <w14:schemeClr w14:val="tx1"/>
            </w14:solidFill>
          </w14:textFill>
        </w:rPr>
        <w:t>装置区风险防范措施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（1）生产过程应设置温控器，并且温控器应与进料阀门联动，一旦出现异常高温，立即切断原料供应。</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（2）定期对各设备的壁厚进行检查，发现问题及时处理，但禁止带料检修。</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（3）做好生产装置、各种检测、报警装置等的定期检查和保养维修。</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（4）生产装置密闭化、管道化，防止有毒物质泄漏，外逸。</w:t>
      </w:r>
    </w:p>
    <w:p>
      <w:pPr>
        <w:pStyle w:val="5"/>
        <w:rPr>
          <w:color w:val="000000" w:themeColor="text1"/>
          <w:u w:val="single"/>
          <w14:textFill>
            <w14:solidFill>
              <w14:schemeClr w14:val="tx1"/>
            </w14:solidFill>
          </w14:textFill>
        </w:rPr>
      </w:pPr>
      <w:r>
        <w:rPr>
          <w:color w:val="000000" w:themeColor="text1"/>
          <w:u w:val="single"/>
          <w14:textFill>
            <w14:solidFill>
              <w14:schemeClr w14:val="tx1"/>
            </w14:solidFill>
          </w14:textFill>
        </w:rPr>
        <w:t>火灾事故防范</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（1）装置区周边应设立明显的禁止明火标志、安全防火标志和防火距离警示牌。</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（2）装置区、罐区应设立火灾报警信号系统，一旦发生明火，立即启动报警装置。</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（3）装置区、罐区配备各种消防器材，厂区设立消防水池；生产设备和原料输送设备装配防火抑爆装置。</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（4）可燃气体报警的同时，应与消防水泵、固定灭火系统、进入罐区的物料阀和通讯等设施联动。</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（5）加强消防安全宣传和教育，对工艺过程中易发生火灾爆炸的原材料、中间体及成品，应列出其主要的物理化学性能，让所有员工了解其危险性并掌握防护措施。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（6）加强管理，制定严格操作规程和环境管理的规章制度。建立公司安全环保部门，分管负责风险防范，配合地方政府制定完整的火灾爆炸事故应急措施。</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（7）若发生火灾事故时，企业应及时关闭厂区所有雨水口阀门，使消防废水和事故废液集中汇入巴陵石化分公司事故池（20000m</w:t>
      </w:r>
      <w:r>
        <w:rPr>
          <w:color w:val="000000" w:themeColor="text1"/>
          <w:u w:val="single"/>
          <w:vertAlign w:val="superscript"/>
          <w14:textFill>
            <w14:solidFill>
              <w14:schemeClr w14:val="tx1"/>
            </w14:solidFill>
          </w14:textFill>
        </w:rPr>
        <w:t>3</w:t>
      </w:r>
      <w:r>
        <w:rPr>
          <w:color w:val="000000" w:themeColor="text1"/>
          <w:u w:val="single"/>
          <w14:textFill>
            <w14:solidFill>
              <w14:schemeClr w14:val="tx1"/>
            </w14:solidFill>
          </w14:textFill>
        </w:rPr>
        <w:t>）内，严禁通过雨水口排放到周边水体。应急事故水池内的事故废水，通过专用管道，分批量排入巴陵石化分公司污水处理站集中处理。</w:t>
      </w:r>
    </w:p>
    <w:p>
      <w:pPr>
        <w:spacing w:line="360" w:lineRule="auto"/>
        <w:ind w:firstLine="48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8）项目属于化工生产装置，按三级消防配制：第一级为车间，配备必要的灭火器、消防水系统、以及沙箱等消防器材，每个员工发现火情立即通报并扑救初期火险。第二级为工厂兼职消防员组成的消防队，在接到火灾报警后可快速抵达现场参与扑救或协作外来消防队工作。第三级为巴陵石化云溪区消防队进行联防，消防车能够在5分钟内赶到项目装置所在区。</w:t>
      </w:r>
    </w:p>
    <w:p>
      <w:pPr>
        <w:pStyle w:val="5"/>
        <w:rPr>
          <w:color w:val="000000" w:themeColor="text1"/>
          <w14:textFill>
            <w14:solidFill>
              <w14:schemeClr w14:val="tx1"/>
            </w14:solidFill>
          </w14:textFill>
        </w:rPr>
      </w:pPr>
      <w:r>
        <w:rPr>
          <w:color w:val="000000" w:themeColor="text1"/>
          <w14:textFill>
            <w14:solidFill>
              <w14:schemeClr w14:val="tx1"/>
            </w14:solidFill>
          </w14:textFill>
        </w:rPr>
        <w:t>落实LDAR（泄漏检测与修复）计划</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建设单位结合</w:t>
      </w:r>
      <w:r>
        <w:rPr>
          <w:rFonts w:hint="eastAsia"/>
          <w:color w:val="000000" w:themeColor="text1"/>
          <w:lang w:eastAsia="zh-CN"/>
          <w14:textFill>
            <w14:solidFill>
              <w14:schemeClr w14:val="tx1"/>
            </w14:solidFill>
          </w14:textFill>
        </w:rPr>
        <w:t>中石化巴陵石油化工有限公司</w:t>
      </w:r>
      <w:r>
        <w:rPr>
          <w:color w:val="000000" w:themeColor="text1"/>
          <w14:textFill>
            <w14:solidFill>
              <w14:schemeClr w14:val="tx1"/>
            </w14:solidFill>
          </w14:textFill>
        </w:rPr>
        <w:t>的整体情况，落实LDAR（泄漏检测与修复）计划采用固定或移动监测设备，监测化工企业各类反应釜、原料输送管道、泵、压缩机、阀门、法兰等易产生挥发性有机物泄漏处，并修复超过一定浓度的泄漏检测处，从而达到控制原料泄漏对环境造成污染。</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LDAR步骤：确定程序、组件检测、修复泄漏、报告闭环等。其子程序包括：检测前准备子程序、检测子程序、修复子程序、报告子程序等。</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DAR技术使用专门LKS1000检测有机气体的仪器，以确认发生泄漏的设备。技术人员检测后，会对每个阀门和密封点编号，并设立牌子，建立台账。其中，绿色牌表示无泄漏；黄色牌表示警告，要予以修复；红色牌表示须立即整改。以此确保装置区、罐区泄漏事故的减少，减轻对环境的影响。</w:t>
      </w:r>
    </w:p>
    <w:p>
      <w:pPr>
        <w:pStyle w:val="4"/>
        <w:rPr>
          <w:color w:val="000000" w:themeColor="text1"/>
          <w14:textFill>
            <w14:solidFill>
              <w14:schemeClr w14:val="tx1"/>
            </w14:solidFill>
          </w14:textFill>
        </w:rPr>
      </w:pPr>
      <w:bookmarkStart w:id="513" w:name="_Toc20893"/>
      <w:r>
        <w:rPr>
          <w:color w:val="000000" w:themeColor="text1"/>
          <w14:textFill>
            <w14:solidFill>
              <w14:schemeClr w14:val="tx1"/>
            </w14:solidFill>
          </w14:textFill>
        </w:rPr>
        <w:t>风险减缓措施</w:t>
      </w:r>
      <w:bookmarkEnd w:id="513"/>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（1）大气环境污染物减缓措施</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①物料泄漏应急减缓措施</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发生易燃易爆或有毒物料泄漏时，可根据物料性质，选择采取以下措施，防止事态进一步发展：根据事故级别启动应急预案；保护员工与居民免于暴露在危险物质中；如果泄漏仍在继续，消除泄漏源；尽量能减少蒸发率；转移泄漏物质。避免暴露主要通过隔离泄漏区域和将人员疏散到上风向安全区来实现，尤其是当泄漏液体在持续蒸发时。如果泄漏仍在继续，隔离损坏的容器，转移其中物料和堵漏，这样有助于消除泄漏源。</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②火灾爆炸应急减缓措施</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装置发生火灾爆炸时，根据事故级别启动应急预案；根据需要，切断着火设施上下游物料，尽可能将泄漏物质转移到另外的容器或罐车，防止发生连锁效应；在救火同时，采用水幕或喷淋的方法，防止引发继发事故；根据事故级别疏散周围居住区人群。</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（2）污水外排防范及减缓措施</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发生火灾、爆炸、泄露事故时，除了对周围环境空气产生影响外，事故污水也会对周围的环境水体造成风险影响，可引发一系列的此生水环境风险事故。按性质的不同，事故污水可以分为消防污水和被污染的清净下水。</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该事故池根据《化工建设项目环境保护设计规范》（GB50483-2009）和《事故状态下水体污染的预防与控制技术要求》（Q/SY1190-2009）中的相关规定设置。事故池主要用于区内发生事故或火灾时，控制、收集和存放污染事故水（包括污染雨水）及污染消防水。事故应急池容量按下式计算：</w:t>
      </w:r>
    </w:p>
    <w:p>
      <w:pPr>
        <w:pStyle w:val="17"/>
        <w:keepNext w:val="0"/>
        <w:keepLines w:val="0"/>
        <w:pageBreakBefore w:val="0"/>
        <w:widowControl w:val="0"/>
        <w:kinsoku/>
        <w:wordWrap/>
        <w:overflowPunct/>
        <w:topLinePunct w:val="0"/>
        <w:autoSpaceDE/>
        <w:autoSpaceDN/>
        <w:bidi w:val="0"/>
        <w:adjustRightInd/>
        <w:snapToGrid/>
        <w:spacing w:after="0"/>
        <w:ind w:right="0"/>
        <w:jc w:val="center"/>
        <w:textAlignment w:val="auto"/>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V</w:t>
      </w:r>
      <w:r>
        <w:rPr>
          <w:color w:val="000000" w:themeColor="text1"/>
          <w:position w:val="-1"/>
          <w:sz w:val="12"/>
          <w14:textFill>
            <w14:solidFill>
              <w14:schemeClr w14:val="tx1"/>
            </w14:solidFill>
          </w14:textFill>
        </w:rPr>
        <w:t>事故池</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V</w:t>
      </w:r>
      <w:r>
        <w:rPr>
          <w:rFonts w:eastAsia="Times New Roman"/>
          <w:color w:val="000000" w:themeColor="text1"/>
          <w:vertAlign w:val="subscript"/>
          <w14:textFill>
            <w14:solidFill>
              <w14:schemeClr w14:val="tx1"/>
            </w14:solidFill>
          </w14:textFill>
        </w:rPr>
        <w:t>1</w:t>
      </w:r>
      <w:r>
        <w:rPr>
          <w:rFonts w:eastAsia="Times New Roman"/>
          <w:color w:val="000000" w:themeColor="text1"/>
          <w14:textFill>
            <w14:solidFill>
              <w14:schemeClr w14:val="tx1"/>
            </w14:solidFill>
          </w14:textFill>
        </w:rPr>
        <w:t xml:space="preserve"> +V</w:t>
      </w:r>
      <w:r>
        <w:rPr>
          <w:rFonts w:eastAsia="Times New Roman"/>
          <w:color w:val="000000" w:themeColor="text1"/>
          <w:vertAlign w:val="subscript"/>
          <w14:textFill>
            <w14:solidFill>
              <w14:schemeClr w14:val="tx1"/>
            </w14:solidFill>
          </w14:textFill>
        </w:rPr>
        <w:t>2</w:t>
      </w:r>
      <w:r>
        <w:rPr>
          <w:rFonts w:eastAsia="Times New Roman"/>
          <w:color w:val="000000" w:themeColor="text1"/>
          <w14:textFill>
            <w14:solidFill>
              <w14:schemeClr w14:val="tx1"/>
            </w14:solidFill>
          </w14:textFill>
        </w:rPr>
        <w:t xml:space="preserve"> -V</w:t>
      </w:r>
      <w:r>
        <w:rPr>
          <w:rFonts w:eastAsia="Times New Roman"/>
          <w:color w:val="000000" w:themeColor="text1"/>
          <w:vertAlign w:val="subscript"/>
          <w14:textFill>
            <w14:solidFill>
              <w14:schemeClr w14:val="tx1"/>
            </w14:solidFill>
          </w14:textFill>
        </w:rPr>
        <w:t>3</w:t>
      </w:r>
      <w:r>
        <w:rPr>
          <w:color w:val="000000" w:themeColor="text1"/>
          <w14:textFill>
            <w14:solidFill>
              <w14:schemeClr w14:val="tx1"/>
            </w14:solidFill>
          </w14:textFill>
        </w:rPr>
        <w:t>）</w:t>
      </w:r>
      <w:r>
        <w:rPr>
          <w:rFonts w:eastAsia="Times New Roman"/>
          <w:color w:val="000000" w:themeColor="text1"/>
          <w:vertAlign w:val="subscript"/>
          <w14:textFill>
            <w14:solidFill>
              <w14:schemeClr w14:val="tx1"/>
            </w14:solidFill>
          </w14:textFill>
        </w:rPr>
        <w:t>max</w:t>
      </w:r>
      <w:r>
        <w:rPr>
          <w:rFonts w:eastAsia="Times New Roman"/>
          <w:color w:val="000000" w:themeColor="text1"/>
          <w14:textFill>
            <w14:solidFill>
              <w14:schemeClr w14:val="tx1"/>
            </w14:solidFill>
          </w14:textFill>
        </w:rPr>
        <w:t xml:space="preserve"> +V</w:t>
      </w:r>
      <w:r>
        <w:rPr>
          <w:rFonts w:eastAsia="Times New Roman"/>
          <w:color w:val="000000" w:themeColor="text1"/>
          <w:vertAlign w:val="subscript"/>
          <w14:textFill>
            <w14:solidFill>
              <w14:schemeClr w14:val="tx1"/>
            </w14:solidFill>
          </w14:textFill>
        </w:rPr>
        <w:t>4</w:t>
      </w:r>
      <w:r>
        <w:rPr>
          <w:rFonts w:eastAsia="Times New Roman"/>
          <w:color w:val="000000" w:themeColor="text1"/>
          <w14:textFill>
            <w14:solidFill>
              <w14:schemeClr w14:val="tx1"/>
            </w14:solidFill>
          </w14:textFill>
        </w:rPr>
        <w:t>+ V</w:t>
      </w:r>
      <w:r>
        <w:rPr>
          <w:rFonts w:eastAsia="Times New Roman"/>
          <w:color w:val="000000" w:themeColor="text1"/>
          <w:vertAlign w:val="subscript"/>
          <w14:textFill>
            <w14:solidFill>
              <w14:schemeClr w14:val="tx1"/>
            </w14:solidFill>
          </w14:textFill>
        </w:rPr>
        <w:t>5</w:t>
      </w:r>
    </w:p>
    <w:p>
      <w:pPr>
        <w:pStyle w:val="17"/>
        <w:spacing w:before="160"/>
        <w:ind w:left="1060"/>
        <w:rPr>
          <w:rFonts w:eastAsia="Times New Roman"/>
          <w:color w:val="000000" w:themeColor="text1"/>
          <w14:textFill>
            <w14:solidFill>
              <w14:schemeClr w14:val="tx1"/>
            </w14:solidFill>
          </w14:textFill>
        </w:rPr>
      </w:pPr>
      <w:r>
        <w:rPr>
          <w:color w:val="000000" w:themeColor="text1"/>
          <w14:textFill>
            <w14:solidFill>
              <w14:schemeClr w14:val="tx1"/>
            </w14:solidFill>
          </w14:textFill>
        </w:rPr>
        <w:t>（</w:t>
      </w:r>
      <w:r>
        <w:rPr>
          <w:rFonts w:eastAsia="Times New Roman"/>
          <w:color w:val="000000" w:themeColor="text1"/>
          <w14:textFill>
            <w14:solidFill>
              <w14:schemeClr w14:val="tx1"/>
            </w14:solidFill>
          </w14:textFill>
        </w:rPr>
        <w:t>V</w:t>
      </w:r>
      <w:r>
        <w:rPr>
          <w:rFonts w:eastAsia="Times New Roman"/>
          <w:color w:val="000000" w:themeColor="text1"/>
          <w:vertAlign w:val="subscript"/>
          <w14:textFill>
            <w14:solidFill>
              <w14:schemeClr w14:val="tx1"/>
            </w14:solidFill>
          </w14:textFill>
        </w:rPr>
        <w:t>1</w:t>
      </w:r>
      <w:r>
        <w:rPr>
          <w:rFonts w:eastAsia="Times New Roman"/>
          <w:color w:val="000000" w:themeColor="text1"/>
          <w14:textFill>
            <w14:solidFill>
              <w14:schemeClr w14:val="tx1"/>
            </w14:solidFill>
          </w14:textFill>
        </w:rPr>
        <w:t xml:space="preserve"> +V</w:t>
      </w:r>
      <w:r>
        <w:rPr>
          <w:rFonts w:eastAsia="Times New Roman"/>
          <w:color w:val="000000" w:themeColor="text1"/>
          <w:vertAlign w:val="subscript"/>
          <w14:textFill>
            <w14:solidFill>
              <w14:schemeClr w14:val="tx1"/>
            </w14:solidFill>
          </w14:textFill>
        </w:rPr>
        <w:t>2</w:t>
      </w:r>
      <w:r>
        <w:rPr>
          <w:rFonts w:eastAsia="Times New Roman"/>
          <w:color w:val="000000" w:themeColor="text1"/>
          <w14:textFill>
            <w14:solidFill>
              <w14:schemeClr w14:val="tx1"/>
            </w14:solidFill>
          </w14:textFill>
        </w:rPr>
        <w:t xml:space="preserve"> -V</w:t>
      </w:r>
      <w:r>
        <w:rPr>
          <w:rFonts w:eastAsia="Times New Roman"/>
          <w:color w:val="000000" w:themeColor="text1"/>
          <w:vertAlign w:val="subscript"/>
          <w14:textFill>
            <w14:solidFill>
              <w14:schemeClr w14:val="tx1"/>
            </w14:solidFill>
          </w14:textFill>
        </w:rPr>
        <w:t>3</w:t>
      </w:r>
      <w:r>
        <w:rPr>
          <w:color w:val="000000" w:themeColor="text1"/>
          <w14:textFill>
            <w14:solidFill>
              <w14:schemeClr w14:val="tx1"/>
            </w14:solidFill>
          </w14:textFill>
        </w:rPr>
        <w:t>）</w:t>
      </w:r>
      <w:r>
        <w:rPr>
          <w:rFonts w:eastAsia="Times New Roman"/>
          <w:color w:val="000000" w:themeColor="text1"/>
          <w:vertAlign w:val="subscript"/>
          <w14:textFill>
            <w14:solidFill>
              <w14:schemeClr w14:val="tx1"/>
            </w14:solidFill>
          </w14:textFill>
        </w:rPr>
        <w:t>max</w:t>
      </w:r>
      <w:r>
        <w:rPr>
          <w:rFonts w:eastAsia="Times New Roman"/>
          <w:color w:val="000000" w:themeColor="text1"/>
          <w14:textFill>
            <w14:solidFill>
              <w14:schemeClr w14:val="tx1"/>
            </w14:solidFill>
          </w14:textFill>
        </w:rPr>
        <w:t xml:space="preserve"> —— </w:t>
      </w:r>
      <w:r>
        <w:rPr>
          <w:color w:val="000000" w:themeColor="text1"/>
          <w14:textFill>
            <w14:solidFill>
              <w14:schemeClr w14:val="tx1"/>
            </w14:solidFill>
          </w14:textFill>
        </w:rPr>
        <w:t xml:space="preserve">为收集系统范围内不同罐组或装置分别计算 </w:t>
      </w:r>
      <w:r>
        <w:rPr>
          <w:rFonts w:eastAsia="Times New Roman"/>
          <w:color w:val="000000" w:themeColor="text1"/>
          <w14:textFill>
            <w14:solidFill>
              <w14:schemeClr w14:val="tx1"/>
            </w14:solidFill>
          </w14:textFill>
        </w:rPr>
        <w:t>V</w:t>
      </w:r>
      <w:r>
        <w:rPr>
          <w:rFonts w:eastAsia="Times New Roman"/>
          <w:color w:val="000000" w:themeColor="text1"/>
          <w:vertAlign w:val="subscript"/>
          <w14:textFill>
            <w14:solidFill>
              <w14:schemeClr w14:val="tx1"/>
            </w14:solidFill>
          </w14:textFill>
        </w:rPr>
        <w:t>1</w:t>
      </w:r>
      <w:r>
        <w:rPr>
          <w:rFonts w:eastAsia="Times New Roman"/>
          <w:color w:val="000000" w:themeColor="text1"/>
          <w14:textFill>
            <w14:solidFill>
              <w14:schemeClr w14:val="tx1"/>
            </w14:solidFill>
          </w14:textFill>
        </w:rPr>
        <w:t xml:space="preserve"> +V</w:t>
      </w:r>
      <w:r>
        <w:rPr>
          <w:rFonts w:eastAsia="Times New Roman"/>
          <w:color w:val="000000" w:themeColor="text1"/>
          <w:vertAlign w:val="subscript"/>
          <w14:textFill>
            <w14:solidFill>
              <w14:schemeClr w14:val="tx1"/>
            </w14:solidFill>
          </w14:textFill>
        </w:rPr>
        <w:t>2</w:t>
      </w:r>
    </w:p>
    <w:p>
      <w:pPr>
        <w:pStyle w:val="17"/>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-V</w:t>
      </w:r>
      <w:r>
        <w:rPr>
          <w:rFonts w:eastAsia="Times New Roman"/>
          <w:color w:val="000000" w:themeColor="text1"/>
          <w:vertAlign w:val="subscript"/>
          <w14:textFill>
            <w14:solidFill>
              <w14:schemeClr w14:val="tx1"/>
            </w14:solidFill>
          </w14:textFill>
        </w:rPr>
        <w:t>3</w:t>
      </w:r>
      <w:r>
        <w:rPr>
          <w:color w:val="000000" w:themeColor="text1"/>
          <w14:textFill>
            <w14:solidFill>
              <w14:schemeClr w14:val="tx1"/>
            </w14:solidFill>
          </w14:textFill>
        </w:rPr>
        <w:t>，取最大值，</w:t>
      </w:r>
      <w:r>
        <w:rPr>
          <w:rFonts w:eastAsia="Times New Roman"/>
          <w:color w:val="000000" w:themeColor="text1"/>
          <w14:textFill>
            <w14:solidFill>
              <w14:schemeClr w14:val="tx1"/>
            </w14:solidFill>
          </w14:textFill>
        </w:rPr>
        <w:t>m</w:t>
      </w:r>
      <w:r>
        <w:rPr>
          <w:rFonts w:eastAsia="Times New Roman"/>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17"/>
        <w:spacing w:before="160"/>
        <w:ind w:left="1181"/>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V</w:t>
      </w:r>
      <w:r>
        <w:rPr>
          <w:rFonts w:eastAsia="Times New Roman"/>
          <w:color w:val="000000" w:themeColor="text1"/>
          <w:vertAlign w:val="subscript"/>
          <w14:textFill>
            <w14:solidFill>
              <w14:schemeClr w14:val="tx1"/>
            </w14:solidFill>
          </w14:textFill>
        </w:rPr>
        <w:t>1</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为最大一个容器的设备（装置）或贮罐的物料贮存量，</w:t>
      </w:r>
      <w:r>
        <w:rPr>
          <w:rFonts w:eastAsia="Times New Roman"/>
          <w:color w:val="000000" w:themeColor="text1"/>
          <w14:textFill>
            <w14:solidFill>
              <w14:schemeClr w14:val="tx1"/>
            </w14:solidFill>
          </w14:textFill>
        </w:rPr>
        <w:t>300m</w:t>
      </w:r>
      <w:r>
        <w:rPr>
          <w:rFonts w:eastAsia="Times New Roman"/>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17"/>
        <w:spacing w:after="0"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——为在装置区或贮罐区一旦发生火灾爆炸及泄露时最大消防水量（项目最大消防水量发生在储罐区，项目属于石油化工大型工艺装置，设计消防水量为100L/s，火灾延续时间为1小时，一次灭火需水量 360m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）360m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17"/>
        <w:adjustRightInd w:val="0"/>
        <w:snapToGrid w:val="0"/>
        <w:spacing w:after="0"/>
        <w:ind w:firstLine="1200" w:firstLineChars="500"/>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V</w:t>
      </w:r>
      <w:r>
        <w:rPr>
          <w:rFonts w:eastAsia="Times New Roman"/>
          <w:color w:val="000000" w:themeColor="text1"/>
          <w:vertAlign w:val="subscript"/>
          <w14:textFill>
            <w14:solidFill>
              <w14:schemeClr w14:val="tx1"/>
            </w14:solidFill>
          </w14:textFill>
        </w:rPr>
        <w:t>3</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为发生事故时可以转输到其他储存或处理设施的物料量，</w:t>
      </w:r>
      <w:r>
        <w:rPr>
          <w:rFonts w:eastAsia="Times New Roman"/>
          <w:color w:val="000000" w:themeColor="text1"/>
          <w14:textFill>
            <w14:solidFill>
              <w14:schemeClr w14:val="tx1"/>
            </w14:solidFill>
          </w14:textFill>
        </w:rPr>
        <w:t>200m</w:t>
      </w:r>
      <w:r>
        <w:rPr>
          <w:rFonts w:eastAsia="Times New Roman"/>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17"/>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（围堰容积）</w:t>
      </w:r>
    </w:p>
    <w:p>
      <w:pPr>
        <w:pStyle w:val="17"/>
        <w:adjustRightInd w:val="0"/>
        <w:snapToGrid w:val="0"/>
        <w:spacing w:after="0" w:line="360" w:lineRule="auto"/>
        <w:ind w:firstLine="1080" w:firstLineChars="450"/>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V</w:t>
      </w:r>
      <w:r>
        <w:rPr>
          <w:rFonts w:eastAsia="Times New Roman"/>
          <w:color w:val="000000" w:themeColor="text1"/>
          <w:vertAlign w:val="subscript"/>
          <w14:textFill>
            <w14:solidFill>
              <w14:schemeClr w14:val="tx1"/>
            </w14:solidFill>
          </w14:textFill>
        </w:rPr>
        <w:t>4</w:t>
      </w:r>
      <w:r>
        <w:rPr>
          <w:rFonts w:eastAsia="Times New Roman"/>
          <w:color w:val="000000" w:themeColor="text1"/>
          <w14:textFill>
            <w14:solidFill>
              <w14:schemeClr w14:val="tx1"/>
            </w14:solidFill>
          </w14:textFill>
        </w:rPr>
        <w:t>——</w:t>
      </w:r>
      <w:r>
        <w:rPr>
          <w:color w:val="000000" w:themeColor="text1"/>
          <w14:textFill>
            <w14:solidFill>
              <w14:schemeClr w14:val="tx1"/>
            </w14:solidFill>
          </w14:textFill>
        </w:rPr>
        <w:t>为发生事故时仍必须进入该收集系统的生产废水量0m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 xml:space="preserve">； </w:t>
      </w:r>
    </w:p>
    <w:p>
      <w:pPr>
        <w:pStyle w:val="17"/>
        <w:adjustRightInd w:val="0"/>
        <w:snapToGrid w:val="0"/>
        <w:spacing w:after="0" w:line="360" w:lineRule="auto"/>
        <w:ind w:firstLine="1080" w:firstLineChars="450"/>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——为可能进入该废水收集系统的当地的最大降水量</w:t>
      </w:r>
      <w:r>
        <w:rPr>
          <w:rFonts w:eastAsia="Times New Roman"/>
          <w:color w:val="000000" w:themeColor="text1"/>
          <w14:textFill>
            <w14:solidFill>
              <w14:schemeClr w14:val="tx1"/>
            </w14:solidFill>
          </w14:textFill>
        </w:rPr>
        <w:t>48m</w:t>
      </w:r>
      <w:r>
        <w:rPr>
          <w:rFonts w:eastAsia="Times New Roman"/>
          <w:color w:val="000000" w:themeColor="text1"/>
          <w:vertAlign w:val="superscript"/>
          <w14:textFill>
            <w14:solidFill>
              <w14:schemeClr w14:val="tx1"/>
            </w14:solidFill>
          </w14:textFill>
        </w:rPr>
        <w:t>3</w:t>
      </w:r>
      <w:r>
        <w:rPr>
          <w:color w:val="000000" w:themeColor="text1"/>
          <w14:textFill>
            <w14:solidFill>
              <w14:schemeClr w14:val="tx1"/>
            </w14:solidFill>
          </w14:textFill>
        </w:rPr>
        <w:t xml:space="preserve">。 </w:t>
      </w:r>
    </w:p>
    <w:p>
      <w:pPr>
        <w:pStyle w:val="17"/>
        <w:adjustRightInd w:val="0"/>
        <w:snapToGrid w:val="0"/>
        <w:spacing w:after="0" w:line="360" w:lineRule="auto"/>
        <w:ind w:firstLine="1008" w:firstLineChars="450"/>
        <w:rPr>
          <w:color w:val="000000" w:themeColor="text1"/>
          <w14:textFill>
            <w14:solidFill>
              <w14:schemeClr w14:val="tx1"/>
            </w14:solidFill>
          </w14:textFill>
        </w:rPr>
      </w:pPr>
      <w:r>
        <w:rPr>
          <w:color w:val="000000" w:themeColor="text1"/>
          <w:spacing w:val="-8"/>
          <w14:textFill>
            <w14:solidFill>
              <w14:schemeClr w14:val="tx1"/>
            </w14:solidFill>
          </w14:textFill>
        </w:rPr>
        <w:t xml:space="preserve">事故应急池容积 </w:t>
      </w:r>
      <w:r>
        <w:rPr>
          <w:rFonts w:eastAsia="Times New Roman"/>
          <w:color w:val="000000" w:themeColor="text1"/>
          <w14:textFill>
            <w14:solidFill>
              <w14:schemeClr w14:val="tx1"/>
            </w14:solidFill>
          </w14:textFill>
        </w:rPr>
        <w:t>V</w:t>
      </w:r>
      <w:r>
        <w:rPr>
          <w:color w:val="000000" w:themeColor="text1"/>
          <w:position w:val="-1"/>
          <w:sz w:val="12"/>
          <w14:textFill>
            <w14:solidFill>
              <w14:schemeClr w14:val="tx1"/>
            </w14:solidFill>
          </w14:textFill>
        </w:rPr>
        <w:t>事故池</w:t>
      </w:r>
      <w:r>
        <w:rPr>
          <w:rFonts w:eastAsia="Times New Roman"/>
          <w:color w:val="000000" w:themeColor="text1"/>
          <w14:textFill>
            <w14:solidFill>
              <w14:schemeClr w14:val="tx1"/>
            </w14:solidFill>
          </w14:textFill>
        </w:rPr>
        <w:t>=460m</w:t>
      </w:r>
      <w:r>
        <w:rPr>
          <w:rFonts w:eastAsia="Times New Roman"/>
          <w:color w:val="000000" w:themeColor="text1"/>
          <w:vertAlign w:val="superscript"/>
          <w14:textFill>
            <w14:solidFill>
              <w14:schemeClr w14:val="tx1"/>
            </w14:solidFill>
          </w14:textFill>
        </w:rPr>
        <w:t>3</w:t>
      </w:r>
      <w:r>
        <w:rPr>
          <w:rFonts w:eastAsia="Times New Roman"/>
          <w:color w:val="000000" w:themeColor="text1"/>
          <w14:textFill>
            <w14:solidFill>
              <w14:schemeClr w14:val="tx1"/>
            </w14:solidFill>
          </w14:textFill>
        </w:rPr>
        <w:t xml:space="preserve"> +48m</w:t>
      </w:r>
      <w:r>
        <w:rPr>
          <w:rFonts w:eastAsia="Times New Roman"/>
          <w:color w:val="000000" w:themeColor="text1"/>
          <w:vertAlign w:val="superscript"/>
          <w14:textFill>
            <w14:solidFill>
              <w14:schemeClr w14:val="tx1"/>
            </w14:solidFill>
          </w14:textFill>
        </w:rPr>
        <w:t>3</w:t>
      </w:r>
      <w:r>
        <w:rPr>
          <w:rFonts w:eastAsia="Times New Roman"/>
          <w:color w:val="000000" w:themeColor="text1"/>
          <w:spacing w:val="-10"/>
          <w14:textFill>
            <w14:solidFill>
              <w14:schemeClr w14:val="tx1"/>
            </w14:solidFill>
          </w14:textFill>
        </w:rPr>
        <w:t xml:space="preserve"> =</w:t>
      </w:r>
      <w:r>
        <w:rPr>
          <w:rFonts w:eastAsia="Times New Roman"/>
          <w:color w:val="000000" w:themeColor="text1"/>
          <w14:textFill>
            <w14:solidFill>
              <w14:schemeClr w14:val="tx1"/>
            </w14:solidFill>
          </w14:textFill>
        </w:rPr>
        <w:t>508m</w:t>
      </w:r>
      <w:r>
        <w:rPr>
          <w:rFonts w:eastAsia="Times New Roman"/>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本项目位于巴陵石化分公司厂区内，其事故废水收集还可以依托巴陵石化分公司已经收集池，目前巴陵石化分公司全厂事故收集池容积20000m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（事故池日常处于情况状态）。有上述分析可知项目事故状态下各种废水和物料泄漏量总和约占事故池水池容积的2.5%，项目事故废水池可以容纳事故污水和物料泄漏，保证其不排入到外环境当中。</w:t>
      </w:r>
    </w:p>
    <w:p>
      <w:pPr>
        <w:pStyle w:val="4"/>
        <w:rPr>
          <w:color w:val="000000" w:themeColor="text1"/>
          <w14:textFill>
            <w14:solidFill>
              <w14:schemeClr w14:val="tx1"/>
            </w14:solidFill>
          </w14:textFill>
        </w:rPr>
      </w:pPr>
      <w:bookmarkStart w:id="514" w:name="_Toc23833"/>
      <w:r>
        <w:rPr>
          <w:color w:val="000000" w:themeColor="text1"/>
          <w14:textFill>
            <w14:solidFill>
              <w14:schemeClr w14:val="tx1"/>
            </w14:solidFill>
          </w14:textFill>
        </w:rPr>
        <w:t>应急预案</w:t>
      </w:r>
      <w:bookmarkEnd w:id="514"/>
    </w:p>
    <w:p>
      <w:pPr>
        <w:pStyle w:val="5"/>
        <w:rPr>
          <w:color w:val="000000" w:themeColor="text1"/>
          <w14:textFill>
            <w14:solidFill>
              <w14:schemeClr w14:val="tx1"/>
            </w14:solidFill>
          </w14:textFill>
        </w:rPr>
      </w:pPr>
      <w:r>
        <w:rPr>
          <w:color w:val="000000" w:themeColor="text1"/>
          <w14:textFill>
            <w14:solidFill>
              <w14:schemeClr w14:val="tx1"/>
            </w14:solidFill>
          </w14:textFill>
        </w:rPr>
        <w:t>风险事故处理程序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项目风险事故处理应当有完整的处理程序图，一旦发生应急事故，必须依照风险事故处理程序图进行操作。企业风险事故应急组织系统基本框图如下图所示，企业应根据自身实际情况加以完善。</w:t>
      </w:r>
    </w:p>
    <w:p>
      <w:pPr>
        <w:pStyle w:val="20"/>
        <w:ind w:left="480"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025900" cy="2410460"/>
            <wp:effectExtent l="0" t="0" r="12700" b="8890"/>
            <wp:docPr id="2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pic:cNvPicPr>
                      <a:picLocks noChangeAspect="1"/>
                    </pic:cNvPicPr>
                  </pic:nvPicPr>
                  <pic:blipFill>
                    <a:blip r:embed="rId68"/>
                    <a:stretch>
                      <a:fillRect/>
                    </a:stretch>
                  </pic:blipFill>
                  <pic:spPr>
                    <a:xfrm>
                      <a:off x="0" y="0"/>
                      <a:ext cx="4025900" cy="2410460"/>
                    </a:xfrm>
                    <a:prstGeom prst="rect">
                      <a:avLst/>
                    </a:prstGeom>
                    <a:noFill/>
                    <a:ln>
                      <a:noFill/>
                    </a:ln>
                  </pic:spPr>
                </pic:pic>
              </a:graphicData>
            </a:graphic>
          </wp:inline>
        </w:drawing>
      </w:r>
    </w:p>
    <w:p>
      <w:pPr>
        <w:pStyle w:val="17"/>
        <w:keepNext/>
        <w:adjustRightInd w:val="0"/>
        <w:snapToGrid w:val="0"/>
        <w:spacing w:after="0"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图</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9</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8</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图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风险事故应急组织系统基本框图</w:t>
      </w:r>
    </w:p>
    <w:p>
      <w:pPr>
        <w:pStyle w:val="5"/>
        <w:rPr>
          <w:color w:val="000000" w:themeColor="text1"/>
          <w14:textFill>
            <w14:solidFill>
              <w14:schemeClr w14:val="tx1"/>
            </w14:solidFill>
          </w14:textFill>
        </w:rPr>
      </w:pPr>
      <w:r>
        <w:rPr>
          <w:color w:val="000000" w:themeColor="text1"/>
          <w14:textFill>
            <w14:solidFill>
              <w14:schemeClr w14:val="tx1"/>
            </w14:solidFill>
          </w14:textFill>
        </w:rPr>
        <w:t>风险事故处理措施</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为了有效地地理风险事故，应有切实可行的处理措施。项目风险事故应急措施包括设备器材、事故现场指挥、救护、通讯等系统的建立、现场应急措施方案、事故危害监测队伍、现场撤离和善后措施方案等。</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●设立报警、通讯系统以及事故处置领导体系；</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●制定有效处理事故的应急行动方案，并得到有关部门的认可，能与有关部门有效配合；</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●明确职责，并落实到单位和有关人员；</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●制定控制和减少事故影响范围以及补救行动的实施计划；</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●对事故现场管理以及事故处置全过程的监督，应由富有事故处置经验的人员或有关部门工作人员承担；</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●为提高事故处置队伍的协同救援水平和实战能力，检验救援体系的应急综合运作状态，提高其实战水平，应进行应急救援演练。</w:t>
      </w:r>
    </w:p>
    <w:p>
      <w:pPr>
        <w:pStyle w:val="8"/>
        <w:keepNext w:val="0"/>
        <w:keepLines w:val="0"/>
        <w:numPr>
          <w:ilvl w:val="0"/>
          <w:numId w:val="0"/>
        </w:numPr>
        <w:tabs>
          <w:tab w:val="left" w:pos="1669"/>
        </w:tabs>
        <w:autoSpaceDE w:val="0"/>
        <w:autoSpaceDN w:val="0"/>
        <w:spacing w:before="0" w:after="0" w:line="360" w:lineRule="auto"/>
        <w:ind w:firstLine="480" w:firstLineChars="200"/>
        <w:rPr>
          <w:rFonts w:ascii="Times New Roman" w:hAnsi="Times New Roman"/>
          <w:b w:val="0"/>
          <w:color w:val="000000" w:themeColor="text1"/>
          <w14:textFill>
            <w14:solidFill>
              <w14:schemeClr w14:val="tx1"/>
            </w14:solidFill>
          </w14:textFill>
        </w:rPr>
      </w:pPr>
      <w:r>
        <w:rPr>
          <w:rFonts w:ascii="Times New Roman" w:hAnsi="Times New Roman"/>
          <w:b w:val="0"/>
          <w:color w:val="000000" w:themeColor="text1"/>
          <w14:textFill>
            <w14:solidFill>
              <w14:schemeClr w14:val="tx1"/>
            </w14:solidFill>
          </w14:textFill>
        </w:rPr>
        <w:t>（1）风险事故应急计划</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必须拟定事故应急预案，以应对可能发生的应急危害事故，一旦发生事故， 即可在有充分准备的情况下，对事故进行积极处理。</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风险事故的应急计划包括应急状态分类、应急计划区和事故等级水平、应急防护、应急医学处理等。因此，风险事故应急计划应当包括以下内容：</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●项目再生产过程中所使用以及产生的有毒化学品、危险源的概况；</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●应急计划实施区域；</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●应急和事故灾害控制的组织、责任、授权人；</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●应急状态分类以及应急状态响应程序；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●应急设备、设施、材料和人员调动系统和程序；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●应急通知和与授权人、有关人员、相关方面的通讯系统和程序；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●应急环境监测和事故环境影响评价；</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●应急防护措施，清除泄漏物的措施、方法和使用器材；</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●应急人员接触计量控制、人员撤离、医疗救助与公众健康保证的系统和程序；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●应急状态终止与事故影响的恢复措施；</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●应急人员培训、演练和试验应急系统的程序；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●应急事故的公众教育以及事故信息公布程序；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●调动第三方资源进行应急支持的安排和程序；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●事故的记录和报告程序；</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（2）一旦发生风险事故</w:t>
      </w:r>
    </w:p>
    <w:p>
      <w:pPr>
        <w:pStyle w:val="17"/>
        <w:adjustRightInd w:val="0"/>
        <w:snapToGrid w:val="0"/>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已成立应急系统指挥中心，由总经理负责，配备了相关的应急设施和器材。当事故发生时，应立即通知有关部门，组织附近居民疏散、抢险和应急监测等善后处理事宜。并设置一定距离的隔离带，严格限制出入。应急处理人员戴自给正压式呼吸器，穿防酸碱工作服。尽可能切断泄漏源，防止进入下水道、排洪沟等限制性空间。合理通风，加速扩散，大量雾状水稀释、溶解或喷稀碱液中和，构筑围堤或挖坑收容产生的大量废水。装置内的残余气体用风机抽入尾气冷凝系统集中处理。若是液体物料泄漏，可用砂土或其它不燃材料吸附或吸收， 也可用大量水冲洗，洗水稀释后放入废水系统。若大量泄漏，构筑围堤或挖坑收容，用泵转移至槽车或专用收集器内，统一回收处置。</w:t>
      </w:r>
    </w:p>
    <w:p>
      <w:pPr>
        <w:pStyle w:val="4"/>
        <w:rPr>
          <w:color w:val="000000" w:themeColor="text1"/>
          <w14:textFill>
            <w14:solidFill>
              <w14:schemeClr w14:val="tx1"/>
            </w14:solidFill>
          </w14:textFill>
        </w:rPr>
      </w:pPr>
      <w:bookmarkStart w:id="515" w:name="_Toc12845"/>
      <w:r>
        <w:rPr>
          <w:color w:val="000000" w:themeColor="text1"/>
          <w14:textFill>
            <w14:solidFill>
              <w14:schemeClr w14:val="tx1"/>
            </w14:solidFill>
          </w14:textFill>
        </w:rPr>
        <w:t>与巴陵石化分公司环境风险应急预案的衔接</w:t>
      </w:r>
      <w:bookmarkEnd w:id="515"/>
    </w:p>
    <w:p>
      <w:pPr>
        <w:pStyle w:val="5"/>
        <w:rPr>
          <w:color w:val="000000" w:themeColor="text1"/>
          <w14:textFill>
            <w14:solidFill>
              <w14:schemeClr w14:val="tx1"/>
            </w14:solidFill>
          </w14:textFill>
        </w:rPr>
      </w:pPr>
      <w:r>
        <w:rPr>
          <w:color w:val="000000" w:themeColor="text1"/>
          <w14:textFill>
            <w14:solidFill>
              <w14:schemeClr w14:val="tx1"/>
            </w14:solidFill>
          </w14:textFill>
        </w:rPr>
        <w:t>风险应急预案的衔接</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（1）应急组织机构、人员的衔接</w:t>
      </w:r>
    </w:p>
    <w:p>
      <w:pPr>
        <w:pStyle w:val="17"/>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发生风险事故时，项目综合协调小组应及时承担起与当地区域或各职能管理部门的应急指挥机构的联系工作，及时将事故发生情况及最新进展向有关部门汇报，并将上级指挥机构的命令及时向厂区应急指挥小组汇报；编制环境污染事故报告，并将报告向上级部门汇报。</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（2）预案分级响应的衔接</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①一般污染事故：在污染事故现场处置妥当后，经应急指挥小组研究确定后， 向当地环保部门和巴陵石化分公司事故应急处理指挥部报告处理结果。</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较大或严重污染事故：应急指挥小组在接到事故报警后，及时向巴陵石化分公司事故应急处理指挥部、云溪区应急处理指挥部报告，并请求支援；云溪区应急处理指挥部进行紧急动员，适时启动区域的环境污染事故应急预案，迅速调集救援力量，指挥开发区成员单位、相关职能部门，根据应急预案组成各个应急行动小组，按照各自的职责和现场救援具体方案开展抢险救援工作，厂内应急小组听从云溪区现场指挥部的领导。现场指挥部同时将有关进展情况向云溪区和岳阳市应急处理指挥部汇报；污染事故基本控制稳定后，现场应急指挥部将根据专家意见，迅速调集后援力量展开事故处置工作。现场应急处理结束。</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污染事故又进一步扩大、发展趋势，或因事故衍生问题造成重大社会不稳定事态，现场应急指挥部将根据事态发展，及时调整应急响应级别，发布预警信息，同时向云溪区、岳阳市应急处理指挥部和省环境污染事故应急处理指挥部请求援助。</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（3）应急救援保障的衔接</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①单位互助体系：建设单位和周边企业将建立良好的应急互助关系，在重大事故发生后，能够相互支援。</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②公共援助力量：企业还可以联系云溪区公共消防队、医院、公安、交通、安监局以及各相关职能部门，请求救援力量、设备的支持。</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③专家援助：全厂建立风险事故救援安全专家库，在紧急情况下，可以联系获取救援支持。</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（4）应急培训计划的衔接</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建设单位在开展应急培训计划的同时，还应积极配合巴陵石化分公司开展的应急培训计划，在发生风险事故时，及时与聚集区应急组织取得联系。</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（5）公众教育的衔接</w:t>
      </w:r>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建设单位对场内和附件地区公司开展教育、培训时，应加强与周边公众和巴陵石化分公司及周边相关单位的交流，如发生事故，可更好的疏散、防护污染。</w:t>
      </w:r>
    </w:p>
    <w:p>
      <w:pPr>
        <w:pStyle w:val="5"/>
        <w:rPr>
          <w:color w:val="000000" w:themeColor="text1"/>
          <w14:textFill>
            <w14:solidFill>
              <w14:schemeClr w14:val="tx1"/>
            </w14:solidFill>
          </w14:textFill>
        </w:rPr>
      </w:pPr>
      <w:r>
        <w:rPr>
          <w:color w:val="000000" w:themeColor="text1"/>
          <w14:textFill>
            <w14:solidFill>
              <w14:schemeClr w14:val="tx1"/>
            </w14:solidFill>
          </w14:textFill>
        </w:rPr>
        <w:t>风险防范措施的衔接</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（1）污染治理措施的衔接</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当风险事故废水超过巴陵石化水务部云溪生化装置能够处理范围后，应及时向云溪区相关单位请求援助，帮助收集事故废水，以免风险事故发生扩大。</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（2）消防及火灾报警系统的衔接</w:t>
      </w:r>
    </w:p>
    <w:p>
      <w:pPr>
        <w:pStyle w:val="17"/>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厂内消防站、消防车辆与聚集区消防站配套建设；厂内采用电话报警，火灾报警信号报送至厂内消防站，必要时报送至云溪区消防站。</w:t>
      </w:r>
    </w:p>
    <w:p>
      <w:pPr>
        <w:pStyle w:val="4"/>
        <w:rPr>
          <w:color w:val="000000" w:themeColor="text1"/>
          <w14:textFill>
            <w14:solidFill>
              <w14:schemeClr w14:val="tx1"/>
            </w14:solidFill>
          </w14:textFill>
        </w:rPr>
      </w:pPr>
      <w:bookmarkStart w:id="516" w:name="_Toc13704"/>
      <w:r>
        <w:rPr>
          <w:color w:val="000000" w:themeColor="text1"/>
          <w14:textFill>
            <w14:solidFill>
              <w14:schemeClr w14:val="tx1"/>
            </w14:solidFill>
          </w14:textFill>
        </w:rPr>
        <w:t>环境风险评价结论</w:t>
      </w:r>
      <w:bookmarkEnd w:id="516"/>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设计的主要风险物质为。项目主要危险影响为火灾和泄露，主要环境影响途径为大气。项目周边500m范围均位于巴陵石化厂区内，无居住区、医疗卫生、文化教育、科研、行政办公等机构，500m范围内总人口约500人，均为企业员工，周边5km范围总人口约8.8万人。</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发生泄露和火灾时虽不可避免的对厂区内人员安全和生产设施产生较大的不利影响，但火灾、泄露发生时有害气体对环境空气质量只产生暂时性影响，短时内会造成周围环境空气质量一定成程度的恶化。因此，应采取相应防范措施避免事故发生。项目消防废水收集至厂区内事故池内储存，经处理达到《</w:t>
      </w:r>
      <w:r>
        <w:rPr>
          <w:rFonts w:hint="default" w:ascii="Times New Roman" w:hAnsi="Times New Roman" w:cs="Times New Roman"/>
          <w:color w:val="000000" w:themeColor="text1"/>
          <w:lang w:eastAsia="zh-CN"/>
          <w14:textFill>
            <w14:solidFill>
              <w14:schemeClr w14:val="tx1"/>
            </w14:solidFill>
          </w14:textFill>
        </w:rPr>
        <w:t>石油炼制工业污染物排放标准</w:t>
      </w:r>
      <w:r>
        <w:rPr>
          <w:rFonts w:hint="default" w:ascii="Times New Roman" w:hAnsi="Times New Roman" w:cs="Times New Roman"/>
          <w:color w:val="000000" w:themeColor="text1"/>
          <w14:textFill>
            <w14:solidFill>
              <w14:schemeClr w14:val="tx1"/>
            </w14:solidFill>
          </w14:textFill>
        </w:rPr>
        <w:t>》（GB3157</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-2015）中的间接排放标准及巴陵石化分公司污水处理厂接收污水水质标准后，通过污水管网排入污水处理厂深度处理达标后排放。项目事故废水在紧急状态下还可依托巴陵石化分公司的20000m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的事故池。</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综上所述，项目一旦发生泄漏和火灾爆炸事故对周围环境影响较大，但</w:t>
      </w:r>
      <w:r>
        <w:rPr>
          <w:rFonts w:hint="default" w:ascii="Times New Roman" w:hAnsi="Times New Roman" w:cs="Times New Roman"/>
          <w:color w:val="000000" w:themeColor="text1"/>
          <w:lang w:eastAsia="zh-CN"/>
          <w14:textFill>
            <w14:solidFill>
              <w14:schemeClr w14:val="tx1"/>
            </w14:solidFill>
          </w14:textFill>
        </w:rPr>
        <w:t>建设项目风险可防可控</w:t>
      </w:r>
      <w:r>
        <w:rPr>
          <w:rFonts w:hint="default" w:ascii="Times New Roman" w:hAnsi="Times New Roman" w:cs="Times New Roman"/>
          <w:color w:val="000000" w:themeColor="text1"/>
          <w14:textFill>
            <w14:solidFill>
              <w14:schemeClr w14:val="tx1"/>
            </w14:solidFill>
          </w14:textFill>
        </w:rPr>
        <w:t>。企业应该认真做好各项风险防范措施，完善现有的生产设施以及生产管理制度，储运、生产过程应该严格操作，杜绝风险事故。严格履行风险应急预案，一旦发生突发事故，企业除了根据内部制定和履行最快最有效的应急预案自救外，应立即报当地环保部门。在上级环保部门到达之后，要从大局考虑，服从环保部门的领导，共同协商统一部署，将污染事故降低到最小。</w:t>
      </w:r>
    </w:p>
    <w:p>
      <w:pPr>
        <w:pStyle w:val="17"/>
        <w:adjustRightInd w:val="0"/>
        <w:snapToGrid w:val="0"/>
        <w:spacing w:after="0" w:line="360" w:lineRule="auto"/>
        <w:ind w:firstLine="480" w:firstLineChars="200"/>
        <w:rPr>
          <w:color w:val="000000" w:themeColor="text1"/>
          <w14:textFill>
            <w14:solidFill>
              <w14:schemeClr w14:val="tx1"/>
            </w14:solidFill>
          </w14:textFill>
        </w:rPr>
      </w:pPr>
    </w:p>
    <w:p>
      <w:pPr>
        <w:pStyle w:val="2"/>
        <w:bidi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517" w:name="_Toc532497689"/>
      <w:bookmarkStart w:id="518" w:name="_Toc532763222"/>
      <w:bookmarkStart w:id="519" w:name="_Toc532498758"/>
      <w:bookmarkStart w:id="520" w:name="_Toc10275"/>
      <w:bookmarkStart w:id="521" w:name="_Toc532376165"/>
      <w:r>
        <w:rPr>
          <w:color w:val="000000" w:themeColor="text1"/>
          <w14:textFill>
            <w14:solidFill>
              <w14:schemeClr w14:val="tx1"/>
            </w14:solidFill>
          </w14:textFill>
        </w:rPr>
        <w:t>环境影响经济损益分析</w:t>
      </w:r>
      <w:bookmarkEnd w:id="517"/>
      <w:bookmarkEnd w:id="518"/>
      <w:bookmarkEnd w:id="519"/>
      <w:bookmarkEnd w:id="520"/>
      <w:bookmarkEnd w:id="521"/>
    </w:p>
    <w:p>
      <w:pPr>
        <w:pStyle w:val="4"/>
        <w:adjustRightInd w:val="0"/>
        <w:snapToGrid w:val="0"/>
        <w:rPr>
          <w:color w:val="000000" w:themeColor="text1"/>
          <w14:textFill>
            <w14:solidFill>
              <w14:schemeClr w14:val="tx1"/>
            </w14:solidFill>
          </w14:textFill>
        </w:rPr>
      </w:pPr>
      <w:bookmarkStart w:id="522" w:name="_Toc532497690"/>
      <w:bookmarkStart w:id="523" w:name="_Toc532376166"/>
      <w:bookmarkStart w:id="524" w:name="_Toc532498759"/>
      <w:bookmarkStart w:id="525" w:name="_Toc3325"/>
      <w:bookmarkStart w:id="526" w:name="_Toc532763223"/>
      <w:r>
        <w:rPr>
          <w:color w:val="000000" w:themeColor="text1"/>
          <w14:textFill>
            <w14:solidFill>
              <w14:schemeClr w14:val="tx1"/>
            </w14:solidFill>
          </w14:textFill>
        </w:rPr>
        <w:t>环境保护投资估算</w:t>
      </w:r>
      <w:bookmarkEnd w:id="522"/>
      <w:bookmarkEnd w:id="523"/>
      <w:bookmarkEnd w:id="524"/>
      <w:bookmarkEnd w:id="525"/>
      <w:bookmarkEnd w:id="526"/>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Cs w:val="24"/>
          <w14:textFill>
            <w14:solidFill>
              <w14:schemeClr w14:val="tx1"/>
            </w14:solidFill>
          </w14:textFill>
        </w:rPr>
      </w:pPr>
      <w:r>
        <w:rPr>
          <w:color w:val="000000" w:themeColor="text1"/>
          <w14:textFill>
            <w14:solidFill>
              <w14:schemeClr w14:val="tx1"/>
            </w14:solidFill>
          </w14:textFill>
        </w:rPr>
        <w:t>环境经济损益分析是环境影响评价的一项重要工作内容，其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评价环境经济损益分析，采用定性与半定量相结合的方法进行简要的分析。</w:t>
      </w:r>
    </w:p>
    <w:p>
      <w:pPr>
        <w:pStyle w:val="4"/>
        <w:adjustRightInd w:val="0"/>
        <w:snapToGrid w:val="0"/>
        <w:rPr>
          <w:color w:val="000000" w:themeColor="text1"/>
          <w14:textFill>
            <w14:solidFill>
              <w14:schemeClr w14:val="tx1"/>
            </w14:solidFill>
          </w14:textFill>
        </w:rPr>
      </w:pPr>
      <w:bookmarkStart w:id="527" w:name="_Toc532376167"/>
      <w:bookmarkStart w:id="528" w:name="_Toc532498760"/>
      <w:bookmarkStart w:id="529" w:name="_Toc532497691"/>
      <w:bookmarkStart w:id="530" w:name="_Toc20578"/>
      <w:bookmarkStart w:id="531" w:name="_Toc532763224"/>
      <w:r>
        <w:rPr>
          <w:color w:val="000000" w:themeColor="text1"/>
          <w14:textFill>
            <w14:solidFill>
              <w14:schemeClr w14:val="tx1"/>
            </w14:solidFill>
          </w14:textFill>
        </w:rPr>
        <w:t>经济效益分析</w:t>
      </w:r>
      <w:bookmarkEnd w:id="527"/>
      <w:bookmarkEnd w:id="528"/>
      <w:bookmarkEnd w:id="529"/>
      <w:bookmarkEnd w:id="530"/>
      <w:bookmarkEnd w:id="531"/>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本项目可研报告：本项目的经济效益比较好，企业通过该项目建设平均每年约可新增408.95万元的利润总额，税后利润306.71万元；财务内部收益效率为24.12%（全部投资，所得税后）；净现值为1528.05万元（全部投资，所得税后）；所得税后静态投资回收期4.99年（包括建设期1年）。</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从上述财务分析看，财务内部收益率高于行业基准收益率10%，说明该项目满足国家和行业对投资项目的财务回报要求。</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在上述基本条件下，如果注意防范财务风险，本项目在财务上可行。</w:t>
      </w:r>
    </w:p>
    <w:p>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综上所述，该项目在技术上、财务分析上均可行且有很好的经济效益，我们建议尽快批准该项目的建设，并使之尽快实施。</w:t>
      </w:r>
    </w:p>
    <w:p>
      <w:pPr>
        <w:pStyle w:val="4"/>
        <w:adjustRightInd w:val="0"/>
        <w:snapToGrid w:val="0"/>
        <w:rPr>
          <w:color w:val="000000" w:themeColor="text1"/>
          <w14:textFill>
            <w14:solidFill>
              <w14:schemeClr w14:val="tx1"/>
            </w14:solidFill>
          </w14:textFill>
        </w:rPr>
      </w:pPr>
      <w:bookmarkStart w:id="532" w:name="_Toc532497692"/>
      <w:bookmarkStart w:id="533" w:name="_Toc30854"/>
      <w:bookmarkStart w:id="534" w:name="_Toc532498761"/>
      <w:bookmarkStart w:id="535" w:name="_Toc532763225"/>
      <w:bookmarkStart w:id="536" w:name="_Toc532376168"/>
      <w:r>
        <w:rPr>
          <w:color w:val="000000" w:themeColor="text1"/>
          <w14:textFill>
            <w14:solidFill>
              <w14:schemeClr w14:val="tx1"/>
            </w14:solidFill>
          </w14:textFill>
        </w:rPr>
        <w:t>社会效益分析</w:t>
      </w:r>
      <w:bookmarkEnd w:id="532"/>
      <w:bookmarkEnd w:id="533"/>
      <w:bookmarkEnd w:id="534"/>
      <w:bookmarkEnd w:id="535"/>
      <w:bookmarkEnd w:id="536"/>
    </w:p>
    <w:p>
      <w:pPr>
        <w:pStyle w:val="17"/>
        <w:adjustRightInd w:val="0"/>
        <w:snapToGrid w:val="0"/>
        <w:spacing w:after="0" w:line="360" w:lineRule="auto"/>
        <w:ind w:firstLine="479"/>
        <w:rPr>
          <w:color w:val="000000" w:themeColor="text1"/>
          <w14:textFill>
            <w14:solidFill>
              <w14:schemeClr w14:val="tx1"/>
            </w14:solidFill>
          </w14:textFill>
        </w:rPr>
      </w:pPr>
      <w:r>
        <w:rPr>
          <w:color w:val="000000" w:themeColor="text1"/>
          <w:spacing w:val="-5"/>
          <w14:textFill>
            <w14:solidFill>
              <w14:schemeClr w14:val="tx1"/>
            </w14:solidFill>
          </w14:textFill>
        </w:rPr>
        <w:t>项目社会效益主要体现在对当地社会经济的正面影响，以及对市场和国家经</w:t>
      </w:r>
      <w:r>
        <w:rPr>
          <w:color w:val="000000" w:themeColor="text1"/>
          <w14:textFill>
            <w14:solidFill>
              <w14:schemeClr w14:val="tx1"/>
            </w14:solidFill>
          </w14:textFill>
        </w:rPr>
        <w:t>济的贡献，其主要体现在以下几个方面：</w:t>
      </w:r>
    </w:p>
    <w:p>
      <w:pPr>
        <w:autoSpaceDE w:val="0"/>
        <w:autoSpaceDN w:val="0"/>
        <w:adjustRightInd w:val="0"/>
        <w:snapToGrid w:val="0"/>
        <w:spacing w:line="360" w:lineRule="auto"/>
        <w:ind w:firstLine="480" w:firstLineChars="200"/>
        <w:jc w:val="left"/>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1）目前市场上对项目产品的需求量日益增加，生产项目产品的厂家不多，并且项目的生产是充分利用原料来生产，一方面减少污染物排放，节省了资源，另一方面又可缓解市场压力，带来很好的社会经济效益。</w:t>
      </w:r>
    </w:p>
    <w:p>
      <w:pPr>
        <w:autoSpaceDE w:val="0"/>
        <w:autoSpaceDN w:val="0"/>
        <w:adjustRightInd w:val="0"/>
        <w:snapToGrid w:val="0"/>
        <w:spacing w:line="360" w:lineRule="auto"/>
        <w:ind w:firstLine="480" w:firstLineChars="200"/>
        <w:jc w:val="left"/>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（2）本项目采用先进工艺与设备，该工艺技术成熟，设备运行稳定，产品质量好，收率高，生产成本低，有利于市场竞争。</w:t>
      </w:r>
    </w:p>
    <w:p>
      <w:pPr>
        <w:autoSpaceDE w:val="0"/>
        <w:autoSpaceDN w:val="0"/>
        <w:adjustRightInd w:val="0"/>
        <w:snapToGrid w:val="0"/>
        <w:spacing w:line="360" w:lineRule="auto"/>
        <w:ind w:firstLine="480" w:firstLineChars="200"/>
        <w:jc w:val="left"/>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综合上述分析可知，项目的建设有一定的社会效益。</w:t>
      </w:r>
    </w:p>
    <w:p>
      <w:pPr>
        <w:pStyle w:val="4"/>
        <w:adjustRightInd w:val="0"/>
        <w:snapToGrid w:val="0"/>
        <w:rPr>
          <w:color w:val="000000" w:themeColor="text1"/>
          <w14:textFill>
            <w14:solidFill>
              <w14:schemeClr w14:val="tx1"/>
            </w14:solidFill>
          </w14:textFill>
        </w:rPr>
      </w:pPr>
      <w:bookmarkStart w:id="537" w:name="_Toc4240"/>
      <w:bookmarkStart w:id="538" w:name="_Toc532497693"/>
      <w:bookmarkStart w:id="539" w:name="_Toc532376169"/>
      <w:bookmarkStart w:id="540" w:name="_Toc532498762"/>
      <w:bookmarkStart w:id="541" w:name="_Toc532763226"/>
      <w:r>
        <w:rPr>
          <w:color w:val="000000" w:themeColor="text1"/>
          <w14:textFill>
            <w14:solidFill>
              <w14:schemeClr w14:val="tx1"/>
            </w14:solidFill>
          </w14:textFill>
        </w:rPr>
        <w:t>环境损益分析</w:t>
      </w:r>
      <w:bookmarkEnd w:id="537"/>
      <w:bookmarkEnd w:id="538"/>
      <w:bookmarkEnd w:id="539"/>
      <w:bookmarkEnd w:id="540"/>
      <w:bookmarkEnd w:id="541"/>
    </w:p>
    <w:p>
      <w:pPr>
        <w:autoSpaceDE w:val="0"/>
        <w:autoSpaceDN w:val="0"/>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kern w:val="0"/>
          <w:szCs w:val="24"/>
          <w14:textFill>
            <w14:solidFill>
              <w14:schemeClr w14:val="tx1"/>
            </w14:solidFill>
          </w14:textFill>
        </w:rPr>
        <w:t>本项总投资</w:t>
      </w:r>
      <w:r>
        <w:rPr>
          <w:color w:val="000000" w:themeColor="text1"/>
          <w14:textFill>
            <w14:solidFill>
              <w14:schemeClr w14:val="tx1"/>
            </w14:solidFill>
          </w14:textFill>
        </w:rPr>
        <w:t>2107.83</w:t>
      </w:r>
      <w:r>
        <w:rPr>
          <w:color w:val="000000" w:themeColor="text1"/>
          <w:kern w:val="0"/>
          <w:szCs w:val="24"/>
          <w14:textFill>
            <w14:solidFill>
              <w14:schemeClr w14:val="tx1"/>
            </w14:solidFill>
          </w14:textFill>
        </w:rPr>
        <w:t>万元，</w:t>
      </w:r>
      <w:r>
        <w:rPr>
          <w:color w:val="000000" w:themeColor="text1"/>
          <w14:textFill>
            <w14:solidFill>
              <w14:schemeClr w14:val="tx1"/>
            </w14:solidFill>
          </w14:textFill>
        </w:rPr>
        <w:t>环境保护措施的投资费用约为21万元，环保投资比例约为1%。本项目环保投资见下表所示。</w:t>
      </w:r>
    </w:p>
    <w:p>
      <w:pPr>
        <w:pStyle w:val="14"/>
        <w:spacing w:line="240" w:lineRule="auto"/>
        <w:rPr>
          <w:color w:val="000000" w:themeColor="text1"/>
          <w:kern w:val="0"/>
          <w:szCs w:val="24"/>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kern w:val="0"/>
          <w:szCs w:val="24"/>
          <w14:textFill>
            <w14:solidFill>
              <w14:schemeClr w14:val="tx1"/>
            </w14:solidFill>
          </w14:textFill>
        </w:rPr>
        <w:t xml:space="preserve">  环境保护投估算一览表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843"/>
        <w:gridCol w:w="6618"/>
        <w:gridCol w:w="1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类别</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防治对象</w:t>
            </w:r>
          </w:p>
        </w:tc>
        <w:tc>
          <w:tcPr>
            <w:tcW w:w="6618"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防治措施</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大气</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有组织废气</w:t>
            </w:r>
          </w:p>
        </w:tc>
        <w:tc>
          <w:tcPr>
            <w:tcW w:w="6618"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sz w:val="21"/>
                <w:szCs w:val="21"/>
                <w:u w:val="single"/>
                <w14:textFill>
                  <w14:solidFill>
                    <w14:schemeClr w14:val="tx1"/>
                  </w14:solidFill>
                </w14:textFill>
              </w:rPr>
            </w:pPr>
            <w:r>
              <w:rPr>
                <w:rFonts w:hint="default" w:ascii="Times New Roman" w:hAnsi="Times New Roman" w:cs="Times New Roman"/>
                <w:b w:val="0"/>
                <w:color w:val="000000" w:themeColor="text1"/>
                <w:sz w:val="21"/>
                <w:szCs w:val="21"/>
                <w:u w:val="single"/>
                <w14:textFill>
                  <w14:solidFill>
                    <w14:schemeClr w14:val="tx1"/>
                  </w14:solidFill>
                </w14:textFill>
              </w:rPr>
              <w:t>油汽冷凝过程未冷凝下来的不凝气通过管道进入公司的火炬进行燃烧</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无组织废气</w:t>
            </w:r>
          </w:p>
        </w:tc>
        <w:tc>
          <w:tcPr>
            <w:tcW w:w="6618"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sz w:val="21"/>
                <w:szCs w:val="21"/>
                <w:u w:val="single"/>
                <w14:textFill>
                  <w14:solidFill>
                    <w14:schemeClr w14:val="tx1"/>
                  </w14:solidFill>
                </w14:textFill>
              </w:rPr>
              <w:t>密封设计、自动呼吸阀</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废水</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初期雨水</w:t>
            </w:r>
          </w:p>
        </w:tc>
        <w:tc>
          <w:tcPr>
            <w:tcW w:w="6618"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初期雨水截流切换阀</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生产废水</w:t>
            </w:r>
          </w:p>
        </w:tc>
        <w:tc>
          <w:tcPr>
            <w:tcW w:w="6618"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eastAsia" w:cs="Times New Roman"/>
                <w:b w:val="0"/>
                <w:color w:val="000000" w:themeColor="text1"/>
                <w:kern w:val="0"/>
                <w:sz w:val="21"/>
                <w:szCs w:val="21"/>
                <w:u w:val="single"/>
                <w:lang w:eastAsia="zh-CN"/>
                <w14:textFill>
                  <w14:solidFill>
                    <w14:schemeClr w14:val="tx1"/>
                  </w14:solidFill>
                </w14:textFill>
              </w:rPr>
              <w:t>本项目主要废水依托巴陵石化水务部云溪生化处理装置、炼油部预处理装置和</w:t>
            </w:r>
            <w:r>
              <w:rPr>
                <w:rFonts w:hint="default" w:ascii="Times New Roman" w:hAnsi="Times New Roman" w:cs="Times New Roman"/>
                <w:b w:val="0"/>
                <w:color w:val="000000" w:themeColor="text1"/>
                <w:sz w:val="21"/>
                <w:u w:val="single"/>
                <w14:textFill>
                  <w14:solidFill>
                    <w14:schemeClr w14:val="tx1"/>
                  </w14:solidFill>
                </w14:textFill>
              </w:rPr>
              <w:t>送酸性水气提装置</w:t>
            </w:r>
            <w:r>
              <w:rPr>
                <w:rFonts w:hint="eastAsia" w:cs="Times New Roman"/>
                <w:b w:val="0"/>
                <w:color w:val="000000" w:themeColor="text1"/>
                <w:kern w:val="0"/>
                <w:sz w:val="21"/>
                <w:szCs w:val="21"/>
                <w:u w:val="single"/>
                <w:lang w:eastAsia="zh-CN"/>
                <w14:textFill>
                  <w14:solidFill>
                    <w14:schemeClr w14:val="tx1"/>
                  </w14:solidFill>
                </w14:textFill>
              </w:rPr>
              <w:t>，</w:t>
            </w:r>
            <w:r>
              <w:rPr>
                <w:rFonts w:hint="default" w:ascii="Times New Roman" w:hAnsi="Times New Roman" w:cs="Times New Roman"/>
                <w:b w:val="0"/>
                <w:color w:val="000000" w:themeColor="text1"/>
                <w:kern w:val="0"/>
                <w:sz w:val="21"/>
                <w:szCs w:val="21"/>
                <w:u w:val="single"/>
                <w14:textFill>
                  <w14:solidFill>
                    <w14:schemeClr w14:val="tx1"/>
                  </w14:solidFill>
                </w14:textFill>
              </w:rPr>
              <w:t>需建设</w:t>
            </w:r>
            <w:r>
              <w:rPr>
                <w:rFonts w:hint="eastAsia" w:cs="Times New Roman"/>
                <w:b w:val="0"/>
                <w:color w:val="000000" w:themeColor="text1"/>
                <w:kern w:val="0"/>
                <w:sz w:val="21"/>
                <w:szCs w:val="21"/>
                <w:u w:val="single"/>
                <w:lang w:eastAsia="zh-CN"/>
                <w14:textFill>
                  <w14:solidFill>
                    <w14:schemeClr w14:val="tx1"/>
                  </w14:solidFill>
                </w14:textFill>
              </w:rPr>
              <w:t>的是</w:t>
            </w:r>
            <w:r>
              <w:rPr>
                <w:rFonts w:hint="default" w:ascii="Times New Roman" w:hAnsi="Times New Roman" w:cs="Times New Roman"/>
                <w:b w:val="0"/>
                <w:color w:val="000000" w:themeColor="text1"/>
                <w:kern w:val="0"/>
                <w:sz w:val="21"/>
                <w:szCs w:val="21"/>
                <w:u w:val="single"/>
                <w14:textFill>
                  <w14:solidFill>
                    <w14:schemeClr w14:val="tx1"/>
                  </w14:solidFill>
                </w14:textFill>
              </w:rPr>
              <w:t>接通预处理站的管网</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噪声</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噪声</w:t>
            </w:r>
          </w:p>
        </w:tc>
        <w:tc>
          <w:tcPr>
            <w:tcW w:w="6618"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选用低噪声设备、消声器、减震垫、合理布局</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eastAsia="宋体" w:cs="Times New Roman"/>
                <w:b w:val="0"/>
                <w:color w:val="000000" w:themeColor="text1"/>
                <w:kern w:val="0"/>
                <w:sz w:val="21"/>
                <w:szCs w:val="21"/>
                <w:u w:val="single"/>
                <w:lang w:eastAsia="zh-CN"/>
                <w14:textFill>
                  <w14:solidFill>
                    <w14:schemeClr w14:val="tx1"/>
                  </w14:solidFill>
                </w14:textFill>
              </w:rPr>
            </w:pPr>
            <w:r>
              <w:rPr>
                <w:rFonts w:hint="eastAsia" w:cs="Times New Roman"/>
                <w:b w:val="0"/>
                <w:color w:val="000000" w:themeColor="text1"/>
                <w:kern w:val="0"/>
                <w:sz w:val="21"/>
                <w:szCs w:val="21"/>
                <w:u w:val="single"/>
                <w:lang w:eastAsia="zh-CN"/>
                <w14:textFill>
                  <w14:solidFill>
                    <w14:schemeClr w14:val="tx1"/>
                  </w14:solidFill>
                </w14:textFill>
              </w:rPr>
              <w:t>固体废物</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废催化剂、废瓷球</w:t>
            </w:r>
          </w:p>
        </w:tc>
        <w:tc>
          <w:tcPr>
            <w:tcW w:w="6618" w:type="dxa"/>
            <w:noWrap w:val="0"/>
            <w:vAlign w:val="center"/>
          </w:tcPr>
          <w:p>
            <w:pPr>
              <w:pStyle w:val="112"/>
              <w:keepNext w:val="0"/>
              <w:keepLines w:val="0"/>
              <w:suppressLineNumbers w:val="0"/>
              <w:adjustRightInd w:val="0"/>
              <w:snapToGrid w:val="0"/>
              <w:spacing w:before="0" w:beforeAutospacing="0" w:after="0" w:afterAutospacing="0"/>
              <w:ind w:left="78" w:right="49"/>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z w:val="21"/>
                <w:szCs w:val="21"/>
                <w:u w:val="single"/>
                <w14:textFill>
                  <w14:solidFill>
                    <w14:schemeClr w14:val="tx1"/>
                  </w14:solidFill>
                </w14:textFill>
              </w:rPr>
              <w:t>危险废物集中收集暂存，按照要求建设暂存间，并定期交由有资</w:t>
            </w:r>
          </w:p>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sz w:val="21"/>
                <w:szCs w:val="21"/>
                <w:u w:val="single"/>
                <w14:textFill>
                  <w14:solidFill>
                    <w14:schemeClr w14:val="tx1"/>
                  </w14:solidFill>
                </w14:textFill>
              </w:rPr>
              <w:t>质的单位处理</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风险</w:t>
            </w:r>
          </w:p>
        </w:tc>
        <w:tc>
          <w:tcPr>
            <w:tcW w:w="0" w:type="auto"/>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装置区</w:t>
            </w:r>
          </w:p>
        </w:tc>
        <w:tc>
          <w:tcPr>
            <w:tcW w:w="6618" w:type="dxa"/>
            <w:noWrap w:val="0"/>
            <w:vAlign w:val="center"/>
          </w:tcPr>
          <w:p>
            <w:pPr>
              <w:pStyle w:val="112"/>
              <w:keepNext w:val="0"/>
              <w:keepLines w:val="0"/>
              <w:suppressLineNumbers w:val="0"/>
              <w:adjustRightInd w:val="0"/>
              <w:snapToGrid w:val="0"/>
              <w:spacing w:before="4" w:beforeAutospacing="0" w:after="0" w:afterAutospacing="0"/>
              <w:ind w:left="115" w:right="-29"/>
              <w:rPr>
                <w:rFonts w:hint="default" w:ascii="Times New Roman" w:hAnsi="Times New Roman" w:cs="Times New Roman"/>
                <w:color w:val="000000" w:themeColor="text1"/>
                <w:sz w:val="21"/>
                <w:szCs w:val="21"/>
                <w:u w:val="single"/>
                <w14:textFill>
                  <w14:solidFill>
                    <w14:schemeClr w14:val="tx1"/>
                  </w14:solidFill>
                </w14:textFill>
              </w:rPr>
            </w:pPr>
            <w:r>
              <w:rPr>
                <w:rFonts w:hint="default" w:ascii="Times New Roman" w:hAnsi="Times New Roman" w:cs="Times New Roman"/>
                <w:color w:val="000000" w:themeColor="text1"/>
                <w:spacing w:val="-5"/>
                <w:sz w:val="21"/>
                <w:szCs w:val="21"/>
                <w:u w:val="single"/>
                <w14:textFill>
                  <w14:solidFill>
                    <w14:schemeClr w14:val="tx1"/>
                  </w14:solidFill>
                </w14:textFill>
              </w:rPr>
              <w:t>装置区、储罐区周边设立明显的禁止明火</w:t>
            </w:r>
            <w:r>
              <w:rPr>
                <w:rFonts w:hint="default" w:ascii="Times New Roman" w:hAnsi="Times New Roman" w:cs="Times New Roman"/>
                <w:color w:val="000000" w:themeColor="text1"/>
                <w:spacing w:val="-9"/>
                <w:sz w:val="21"/>
                <w:szCs w:val="21"/>
                <w:u w:val="single"/>
                <w14:textFill>
                  <w14:solidFill>
                    <w14:schemeClr w14:val="tx1"/>
                  </w14:solidFill>
                </w14:textFill>
              </w:rPr>
              <w:t>标志、安全防火标志和防火距离警示牌及火灾报警信号</w:t>
            </w:r>
            <w:r>
              <w:rPr>
                <w:rFonts w:hint="default" w:ascii="Times New Roman" w:hAnsi="Times New Roman" w:cs="Times New Roman"/>
                <w:color w:val="000000" w:themeColor="text1"/>
                <w:sz w:val="21"/>
                <w:szCs w:val="21"/>
                <w:u w:val="single"/>
                <w14:textFill>
                  <w14:solidFill>
                    <w14:schemeClr w14:val="tx1"/>
                  </w14:solidFill>
                </w14:textFill>
              </w:rPr>
              <w:t>系统，并配备各种消防器材。</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91" w:type="dxa"/>
            <w:gridSpan w:val="3"/>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合计</w:t>
            </w:r>
          </w:p>
        </w:tc>
        <w:tc>
          <w:tcPr>
            <w:tcW w:w="1251" w:type="dxa"/>
            <w:noWrap w:val="0"/>
            <w:vAlign w:val="center"/>
          </w:tcPr>
          <w:p>
            <w:pPr>
              <w:pStyle w:val="14"/>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b w:val="0"/>
                <w:color w:val="000000" w:themeColor="text1"/>
                <w:kern w:val="0"/>
                <w:sz w:val="21"/>
                <w:szCs w:val="21"/>
                <w:u w:val="single"/>
                <w14:textFill>
                  <w14:solidFill>
                    <w14:schemeClr w14:val="tx1"/>
                  </w14:solidFill>
                </w14:textFill>
              </w:rPr>
            </w:pPr>
            <w:r>
              <w:rPr>
                <w:rFonts w:hint="default" w:ascii="Times New Roman" w:hAnsi="Times New Roman" w:cs="Times New Roman"/>
                <w:b w:val="0"/>
                <w:color w:val="000000" w:themeColor="text1"/>
                <w:kern w:val="0"/>
                <w:sz w:val="21"/>
                <w:szCs w:val="21"/>
                <w:u w:val="single"/>
                <w14:textFill>
                  <w14:solidFill>
                    <w14:schemeClr w14:val="tx1"/>
                  </w14:solidFill>
                </w14:textFill>
              </w:rPr>
              <w:t>21</w:t>
            </w:r>
          </w:p>
        </w:tc>
      </w:tr>
    </w:tbl>
    <w:p>
      <w:pPr>
        <w:pStyle w:val="14"/>
        <w:spacing w:line="240" w:lineRule="auto"/>
        <w:rPr>
          <w:color w:val="000000" w:themeColor="text1"/>
          <w:kern w:val="0"/>
          <w:szCs w:val="24"/>
          <w14:textFill>
            <w14:solidFill>
              <w14:schemeClr w14:val="tx1"/>
            </w14:solidFill>
          </w14:textFill>
        </w:rPr>
      </w:pPr>
    </w:p>
    <w:p>
      <w:pPr>
        <w:pStyle w:val="4"/>
        <w:rPr>
          <w:color w:val="000000" w:themeColor="text1"/>
          <w:kern w:val="0"/>
          <w14:textFill>
            <w14:solidFill>
              <w14:schemeClr w14:val="tx1"/>
            </w14:solidFill>
          </w14:textFill>
        </w:rPr>
      </w:pPr>
      <w:bookmarkStart w:id="542" w:name="_Toc8384"/>
      <w:r>
        <w:rPr>
          <w:color w:val="000000" w:themeColor="text1"/>
          <w:kern w:val="0"/>
          <w14:textFill>
            <w14:solidFill>
              <w14:schemeClr w14:val="tx1"/>
            </w14:solidFill>
          </w14:textFill>
        </w:rPr>
        <w:t>环境保护效益分析</w:t>
      </w:r>
      <w:bookmarkEnd w:id="542"/>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本项目工艺设备先进，具有良好的密封性能，生产过程基本上是在设备、管道、阀门、法兰、储罐等连接而成的密闭环境中进行的；无组织废气经工程分析可知均可达标排放。生产废水满足接管水质要求后排入</w:t>
      </w:r>
      <w:r>
        <w:rPr>
          <w:rFonts w:hint="eastAsia"/>
          <w:color w:val="000000" w:themeColor="text1"/>
          <w:szCs w:val="24"/>
          <w14:textFill>
            <w14:solidFill>
              <w14:schemeClr w14:val="tx1"/>
            </w14:solidFill>
          </w14:textFill>
        </w:rPr>
        <w:t>巴陵石化水务部云溪生化装置</w:t>
      </w:r>
      <w:r>
        <w:rPr>
          <w:color w:val="000000" w:themeColor="text1"/>
          <w:szCs w:val="24"/>
          <w14:textFill>
            <w14:solidFill>
              <w14:schemeClr w14:val="tx1"/>
            </w14:solidFill>
          </w14:textFill>
        </w:rPr>
        <w:t>处理达标后排入长江，避免了废水可能直接排入区域地表水水体造成水体污染。噪声处理主要是选用低噪声的先进设备，生产区封闭，关键部位隔声减震，明显减少噪声对厂界的影响。项目产生的固体废物尽量进行循环利用，达到资源化和最终无害化处理。危险固废委托有资质单位处理。所以，项目产生的固体废物均能得到有效处理，固体废物对环境不会产生二次污染和有害影响。</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因此，通过环保设施的实施，可达到各类污染物达标排放，并可减少生产过程可能带来的环境影响。</w:t>
      </w:r>
    </w:p>
    <w:p>
      <w:pPr>
        <w:pStyle w:val="4"/>
        <w:adjustRightInd w:val="0"/>
        <w:snapToGrid w:val="0"/>
        <w:rPr>
          <w:color w:val="000000" w:themeColor="text1"/>
          <w:kern w:val="0"/>
          <w14:textFill>
            <w14:solidFill>
              <w14:schemeClr w14:val="tx1"/>
            </w14:solidFill>
          </w14:textFill>
        </w:rPr>
      </w:pPr>
      <w:bookmarkStart w:id="543" w:name="_Toc532376170"/>
      <w:bookmarkStart w:id="544" w:name="_Toc532498763"/>
      <w:bookmarkStart w:id="545" w:name="_Toc2620"/>
      <w:bookmarkStart w:id="546" w:name="_Toc532763227"/>
      <w:bookmarkStart w:id="547" w:name="_Toc532497694"/>
      <w:r>
        <w:rPr>
          <w:color w:val="000000" w:themeColor="text1"/>
          <w:kern w:val="0"/>
          <w14:textFill>
            <w14:solidFill>
              <w14:schemeClr w14:val="tx1"/>
            </w14:solidFill>
          </w14:textFill>
        </w:rPr>
        <w:t>小结</w:t>
      </w:r>
      <w:bookmarkEnd w:id="543"/>
      <w:bookmarkEnd w:id="544"/>
      <w:bookmarkEnd w:id="545"/>
      <w:bookmarkEnd w:id="546"/>
      <w:bookmarkEnd w:id="547"/>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建设项目在保证环保投资落实到位，环保设施正常运行，各污染物达标排放的前提下，环保投资具有较好的环境效益、经济效益及社会效益，项目的各项基础条件已具备，既符合国家的有关方针、政策，又能产生一定的经济效益和良好的社会效益，从环境经济的角度分析，项目的建设是可行的。综上所述，该因此项目可行。</w:t>
      </w:r>
    </w:p>
    <w:p>
      <w:pPr>
        <w:pStyle w:val="2"/>
        <w:pageBreakBefore w:val="0"/>
        <w:widowControl w:val="0"/>
        <w:kinsoku/>
        <w:wordWrap/>
        <w:overflowPunct/>
        <w:topLinePunct w:val="0"/>
        <w:autoSpaceDE/>
        <w:autoSpaceDN/>
        <w:bidi w:val="0"/>
        <w:adjustRightInd w:val="0"/>
        <w:snapToGrid w:val="0"/>
        <w:spacing w:line="360" w:lineRule="auto"/>
        <w:textAlignment w:val="auto"/>
        <w:rPr>
          <w:color w:val="000000" w:themeColor="text1"/>
          <w14:textFill>
            <w14:solidFill>
              <w14:schemeClr w14:val="tx1"/>
            </w14:solidFill>
          </w14:textFill>
        </w:rPr>
      </w:pPr>
      <w:bookmarkStart w:id="548" w:name="_Toc532498764"/>
      <w:bookmarkStart w:id="549" w:name="_Toc532497695"/>
      <w:bookmarkStart w:id="550" w:name="_Toc532763228"/>
      <w:bookmarkStart w:id="551" w:name="_Toc532376171"/>
      <w:bookmarkStart w:id="552" w:name="_Toc22228"/>
      <w:r>
        <w:rPr>
          <w:color w:val="000000" w:themeColor="text1"/>
          <w14:textFill>
            <w14:solidFill>
              <w14:schemeClr w14:val="tx1"/>
            </w14:solidFill>
          </w14:textFill>
        </w:rPr>
        <w:t>环境管理</w:t>
      </w:r>
      <w:bookmarkEnd w:id="548"/>
      <w:bookmarkEnd w:id="549"/>
      <w:bookmarkEnd w:id="550"/>
      <w:bookmarkEnd w:id="551"/>
      <w:r>
        <w:rPr>
          <w:rFonts w:hint="eastAsia"/>
          <w:color w:val="000000" w:themeColor="text1"/>
          <w:lang w:eastAsia="zh-CN"/>
          <w14:textFill>
            <w14:solidFill>
              <w14:schemeClr w14:val="tx1"/>
            </w14:solidFill>
          </w14:textFill>
        </w:rPr>
        <w:t>与</w:t>
      </w:r>
      <w:r>
        <w:rPr>
          <w:color w:val="000000" w:themeColor="text1"/>
          <w14:textFill>
            <w14:solidFill>
              <w14:schemeClr w14:val="tx1"/>
            </w14:solidFill>
          </w14:textFill>
        </w:rPr>
        <w:t>环境监测</w:t>
      </w:r>
      <w:bookmarkEnd w:id="55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环境管理和环境监测是污染防治的重要内容之一，是实现污染总量控制和治理措施达到预期治理的有效保证。项目营运期间除了依据环评中所评述和建议的环境保护措施实施的同时，还需要加强环境管理和环境监测工作，以便及时发现装置运行过程中存在的问题，尽快采取处理措施，减少或避免污染和损失。同时通过加强管理和环境监测工作，为清洁生产工艺改造和污染处理技术进步提供具有实际指导意义的参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目营运过程应根据工程的排污特点、污染防治技术、《石油化工企业环境保护设计规范》（SH3024-95）等石化行业有关环保工作的规定，制定环境管理和监测计划。在确定机构设置和设备配置时，充分考虑营运过程环境管理和环境监测的情况，统筹考虑项目的需要，安排监测项目。</w:t>
      </w:r>
    </w:p>
    <w:p>
      <w:pPr>
        <w:pStyle w:val="4"/>
        <w:rPr>
          <w:color w:val="000000" w:themeColor="text1"/>
          <w14:textFill>
            <w14:solidFill>
              <w14:schemeClr w14:val="tx1"/>
            </w14:solidFill>
          </w14:textFill>
        </w:rPr>
      </w:pPr>
      <w:bookmarkStart w:id="553" w:name="_Toc4183"/>
      <w:r>
        <w:rPr>
          <w:color w:val="000000" w:themeColor="text1"/>
          <w14:textFill>
            <w14:solidFill>
              <w14:schemeClr w14:val="tx1"/>
            </w14:solidFill>
          </w14:textFill>
        </w:rPr>
        <w:t>环境管理</w:t>
      </w:r>
      <w:bookmarkEnd w:id="553"/>
    </w:p>
    <w:p>
      <w:pPr>
        <w:pStyle w:val="5"/>
        <w:rPr>
          <w:color w:val="000000" w:themeColor="text1"/>
          <w14:textFill>
            <w14:solidFill>
              <w14:schemeClr w14:val="tx1"/>
            </w14:solidFill>
          </w14:textFill>
        </w:rPr>
      </w:pPr>
      <w:r>
        <w:rPr>
          <w:color w:val="000000" w:themeColor="text1"/>
          <w14:textFill>
            <w14:solidFill>
              <w14:schemeClr w14:val="tx1"/>
            </w14:solidFill>
          </w14:textFill>
        </w:rPr>
        <w:t>环境管理计划</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建立比较合理的环境管理体制和管理机构，是保证环境保护措施有效实施的重要手段，制定科学的环境监控计划，正确处理经济发展与保护环境的关系，实现项目建设经济效益、社会效益和环境效益的统一。</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环境管理包括机构设置及职责、管理制度、管理计划、环保责任制等内容。开展企业环境管理的目的是在项目施工阶段和运营阶段履行监督与管理职责，确保工程在各阶段执行并遵守有关环保法规，协助地方环保管理部门做好监督监测工作，了解工程明显与潜在的环境影响，制定针对性的监督管理计划与措施。</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本项目位于巴陵石化分公司炼油部，巴陵石化分公司已建立环境管理机构和环境监测站，项目监测依托巴陵石化分公司环境监测站进行。</w:t>
      </w:r>
    </w:p>
    <w:p>
      <w:pPr>
        <w:pStyle w:val="5"/>
        <w:rPr>
          <w:color w:val="000000" w:themeColor="text1"/>
          <w14:textFill>
            <w14:solidFill>
              <w14:schemeClr w14:val="tx1"/>
            </w14:solidFill>
          </w14:textFill>
        </w:rPr>
      </w:pPr>
      <w:r>
        <w:rPr>
          <w:color w:val="000000" w:themeColor="text1"/>
          <w14:textFill>
            <w14:solidFill>
              <w14:schemeClr w14:val="tx1"/>
            </w14:solidFill>
          </w14:textFill>
        </w:rPr>
        <w:t>环境管理机构及职责</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项目所在巴陵石化分公司目前已有较完善的环境管理机构与环境管理制度， 实行公司董事长领导下的各级环保部门负责制，公司设有安全环保部和环保人 员；监测依托巴陵石化分公司环境监测站，其负责全公司的日常环境监测工作， 定期对公司内所有的污染源及大气、水环境进行监测；巴陵石化分公司共有环境管理和监测人员约230人。其职责主要包括：</w:t>
      </w:r>
    </w:p>
    <w:p>
      <w:pPr>
        <w:pStyle w:val="17"/>
        <w:spacing w:after="0" w:line="360" w:lineRule="auto"/>
        <w:ind w:firstLine="456" w:firstLineChars="200"/>
        <w:rPr>
          <w:color w:val="000000" w:themeColor="text1"/>
          <w:spacing w:val="-6"/>
          <w14:textFill>
            <w14:solidFill>
              <w14:schemeClr w14:val="tx1"/>
            </w14:solidFill>
          </w14:textFill>
        </w:rPr>
      </w:pPr>
      <w:r>
        <w:rPr>
          <w:color w:val="000000" w:themeColor="text1"/>
          <w:spacing w:val="-6"/>
          <w14:textFill>
            <w14:solidFill>
              <w14:schemeClr w14:val="tx1"/>
            </w14:solidFill>
          </w14:textFill>
        </w:rPr>
        <w:t>（1）环境总负责人对全场环保问题总负责。</w:t>
      </w:r>
    </w:p>
    <w:p>
      <w:pPr>
        <w:pStyle w:val="17"/>
        <w:spacing w:after="0" w:line="360" w:lineRule="auto"/>
        <w:ind w:firstLine="456" w:firstLineChars="200"/>
        <w:rPr>
          <w:color w:val="000000" w:themeColor="text1"/>
          <w:spacing w:val="-6"/>
          <w14:textFill>
            <w14:solidFill>
              <w14:schemeClr w14:val="tx1"/>
            </w14:solidFill>
          </w14:textFill>
        </w:rPr>
      </w:pPr>
      <w:r>
        <w:rPr>
          <w:color w:val="000000" w:themeColor="text1"/>
          <w:spacing w:val="-6"/>
          <w14:textFill>
            <w14:solidFill>
              <w14:schemeClr w14:val="tx1"/>
            </w14:solidFill>
          </w14:textFill>
        </w:rPr>
        <w:t>（2）生产部主管对生产中的环保问题总负责。</w:t>
      </w:r>
    </w:p>
    <w:p>
      <w:pPr>
        <w:pStyle w:val="17"/>
        <w:spacing w:after="0" w:line="360" w:lineRule="auto"/>
        <w:ind w:firstLine="456" w:firstLineChars="200"/>
        <w:rPr>
          <w:color w:val="000000" w:themeColor="text1"/>
          <w:spacing w:val="-6"/>
          <w14:textFill>
            <w14:solidFill>
              <w14:schemeClr w14:val="tx1"/>
            </w14:solidFill>
          </w14:textFill>
        </w:rPr>
      </w:pPr>
      <w:r>
        <w:rPr>
          <w:color w:val="000000" w:themeColor="text1"/>
          <w:spacing w:val="-6"/>
          <w14:textFill>
            <w14:solidFill>
              <w14:schemeClr w14:val="tx1"/>
            </w14:solidFill>
          </w14:textFill>
        </w:rPr>
        <w:t>（3）保管理机构负责制定公司环保法规及相关制度，并负责监督执行。并对公司环保设施运行情况及厂区环境状况进行监督管理。</w:t>
      </w:r>
    </w:p>
    <w:p>
      <w:pPr>
        <w:pStyle w:val="17"/>
        <w:spacing w:after="0" w:line="360" w:lineRule="auto"/>
        <w:ind w:firstLine="456" w:firstLineChars="200"/>
        <w:rPr>
          <w:color w:val="000000" w:themeColor="text1"/>
          <w:spacing w:val="-6"/>
          <w14:textFill>
            <w14:solidFill>
              <w14:schemeClr w14:val="tx1"/>
            </w14:solidFill>
          </w14:textFill>
        </w:rPr>
      </w:pPr>
      <w:r>
        <w:rPr>
          <w:color w:val="000000" w:themeColor="text1"/>
          <w:spacing w:val="-6"/>
          <w14:textFill>
            <w14:solidFill>
              <w14:schemeClr w14:val="tx1"/>
            </w14:solidFill>
          </w14:textFill>
        </w:rPr>
        <w:t>（4）环保管理部门依据环保局等部门提出的要求，开展相应的环保方面工作，并定期整理环保资料上报有关部门。</w:t>
      </w:r>
    </w:p>
    <w:p>
      <w:pPr>
        <w:pStyle w:val="17"/>
        <w:spacing w:after="0" w:line="360" w:lineRule="auto"/>
        <w:ind w:firstLine="456" w:firstLineChars="200"/>
        <w:rPr>
          <w:color w:val="000000" w:themeColor="text1"/>
          <w:spacing w:val="-6"/>
          <w14:textFill>
            <w14:solidFill>
              <w14:schemeClr w14:val="tx1"/>
            </w14:solidFill>
          </w14:textFill>
        </w:rPr>
      </w:pPr>
      <w:r>
        <w:rPr>
          <w:color w:val="000000" w:themeColor="text1"/>
          <w:spacing w:val="-6"/>
          <w14:textFill>
            <w14:solidFill>
              <w14:schemeClr w14:val="tx1"/>
            </w14:solidFill>
          </w14:textFill>
        </w:rPr>
        <w:t>（5）环保监测人员对厂区内涉及环保方面相关指标进行定期监测，并负责数据的汇总填报。</w:t>
      </w:r>
    </w:p>
    <w:p>
      <w:pPr>
        <w:pStyle w:val="17"/>
        <w:spacing w:after="0" w:line="360" w:lineRule="auto"/>
        <w:ind w:firstLine="456" w:firstLineChars="200"/>
        <w:rPr>
          <w:color w:val="000000" w:themeColor="text1"/>
          <w:spacing w:val="-6"/>
          <w14:textFill>
            <w14:solidFill>
              <w14:schemeClr w14:val="tx1"/>
            </w14:solidFill>
          </w14:textFill>
        </w:rPr>
      </w:pPr>
      <w:r>
        <w:rPr>
          <w:color w:val="000000" w:themeColor="text1"/>
          <w:spacing w:val="-6"/>
          <w14:textFill>
            <w14:solidFill>
              <w14:schemeClr w14:val="tx1"/>
            </w14:solidFill>
          </w14:textFill>
        </w:rPr>
        <w:t>（6）现场管理人员对现场环保设施的运行状况负责。</w:t>
      </w:r>
    </w:p>
    <w:p>
      <w:pPr>
        <w:pStyle w:val="17"/>
        <w:spacing w:after="0" w:line="360" w:lineRule="auto"/>
        <w:ind w:firstLine="456" w:firstLineChars="200"/>
        <w:rPr>
          <w:color w:val="000000" w:themeColor="text1"/>
          <w:spacing w:val="-6"/>
          <w14:textFill>
            <w14:solidFill>
              <w14:schemeClr w14:val="tx1"/>
            </w14:solidFill>
          </w14:textFill>
        </w:rPr>
      </w:pPr>
      <w:r>
        <w:rPr>
          <w:color w:val="000000" w:themeColor="text1"/>
          <w:spacing w:val="-6"/>
          <w14:textFill>
            <w14:solidFill>
              <w14:schemeClr w14:val="tx1"/>
            </w14:solidFill>
          </w14:textFill>
        </w:rPr>
        <w:t>（7）负责处理各类污染事故及火灾事故，组织抢救和善后处理等。</w:t>
      </w:r>
    </w:p>
    <w:p>
      <w:pPr>
        <w:pStyle w:val="5"/>
        <w:rPr>
          <w:color w:val="000000" w:themeColor="text1"/>
          <w14:textFill>
            <w14:solidFill>
              <w14:schemeClr w14:val="tx1"/>
            </w14:solidFill>
          </w14:textFill>
        </w:rPr>
      </w:pPr>
      <w:r>
        <w:rPr>
          <w:color w:val="000000" w:themeColor="text1"/>
          <w14:textFill>
            <w14:solidFill>
              <w14:schemeClr w14:val="tx1"/>
            </w14:solidFill>
          </w14:textFill>
        </w:rPr>
        <w:t>营运过程环境管理</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营运过程的环境管理的重点是各项新增环境保护措施的落实，环保设施运行的管理和维护，日常的监测及污染事故的防范和应急处理。</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（1）建设单位应当按期及时申报污染物排放情况，及时办理排污许可证； 超标排放，应及时处理。</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（2）根据环保部门、安全部门对环保设施验收报告的批复意见进行补充完善。</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3）根据企业的环境保护目标考核计划，结合生产过程各环节的不同环境要求，把资源和能源消耗、资源回收利用、污染物排放量的反映环保工作水平的生产环境质量等环保指标，纳入各级生产作业计划，同其它生产指标一同组织实施和考核。</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（4）按环保设施的操作规程，定期对环保设施进行保养和检修，保证环保设施的正常运行和污染物的达标排放。一旦环保设施出现故障，应立即停产检修， 并上报环保法定责任人，严禁环保设施带病运行和事故性排放。建立运行记录并制定考核指标。</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（5）要加强设备、管道、阀门、仪器、仪表的检查、维护、检修，保证设备完好运行，防止跑、冒、滴、漏对环境的污染。</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6）加强各生产车间、工段的环境卫生管理：①督促有关工段及时清理废弃的渣料等，以免大风天气时形成扬尘，造成二次污染，影响周围环境。②保持工场的通风、整洁和宽畅。开工时废气净化装置必须正常运转，确保操作工人有安全生产的环境。操作工人还应做好个人防护工作，避免废气经呼吸道和皮肤吸收，引起急性中毒事件或职业病的发生。③及时将生产过程中产生的各类固废送至暂存场所，严禁露天堆放。</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（7）接受环保主管部门的监督检查。主要内容有：污染物排放情况、环保设施运行管理情况、环境监测及污染物监测情况、环境事故的调查和有关记录、污染源建档记录等。</w:t>
      </w:r>
    </w:p>
    <w:p>
      <w:pPr>
        <w:pStyle w:val="4"/>
        <w:rPr>
          <w:color w:val="000000" w:themeColor="text1"/>
          <w14:textFill>
            <w14:solidFill>
              <w14:schemeClr w14:val="tx1"/>
            </w14:solidFill>
          </w14:textFill>
        </w:rPr>
      </w:pPr>
      <w:bookmarkStart w:id="554" w:name="_Toc5786"/>
      <w:r>
        <w:rPr>
          <w:color w:val="000000" w:themeColor="text1"/>
          <w14:textFill>
            <w14:solidFill>
              <w14:schemeClr w14:val="tx1"/>
            </w14:solidFill>
          </w14:textFill>
        </w:rPr>
        <w:t>环境监测计划</w:t>
      </w:r>
      <w:bookmarkEnd w:id="554"/>
    </w:p>
    <w:p>
      <w:pPr>
        <w:pStyle w:val="5"/>
        <w:rPr>
          <w:color w:val="000000" w:themeColor="text1"/>
          <w14:textFill>
            <w14:solidFill>
              <w14:schemeClr w14:val="tx1"/>
            </w14:solidFill>
          </w14:textFill>
        </w:rPr>
      </w:pPr>
      <w:r>
        <w:rPr>
          <w:color w:val="000000" w:themeColor="text1"/>
          <w14:textFill>
            <w14:solidFill>
              <w14:schemeClr w14:val="tx1"/>
            </w14:solidFill>
          </w14:textFill>
        </w:rPr>
        <w:t>环境监测机构与人员</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项目污染源监测可依托巴陵石化分公司现有的监测站。监测站主要设置有环境分析室、生物分析室、气象噪声室、天平室等，气相色谱室、标准溶液配置室、数据处理室、办公室等，满足厂区环境空气、废气、污水、噪声的常规监测。监测站工作人员掌握了有关环境监测专业知识，熟练掌握操作技能。</w:t>
      </w:r>
    </w:p>
    <w:p>
      <w:pPr>
        <w:pStyle w:val="5"/>
        <w:rPr>
          <w:color w:val="000000" w:themeColor="text1"/>
          <w14:textFill>
            <w14:solidFill>
              <w14:schemeClr w14:val="tx1"/>
            </w14:solidFill>
          </w14:textFill>
        </w:rPr>
      </w:pPr>
      <w:r>
        <w:rPr>
          <w:color w:val="000000" w:themeColor="text1"/>
          <w14:textFill>
            <w14:solidFill>
              <w14:schemeClr w14:val="tx1"/>
            </w14:solidFill>
          </w14:textFill>
        </w:rPr>
        <w:t>运营期环境监测</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（1）污染物排放监测</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本项目运营后有1个雨水排放口和1个污水排放口，参照《排污单位自行监测技术指南 总则》(HJ819-2017)，建设单位应对项目排放的废气、废水、厂界噪声进行自行监测。本次评价参考《排污许可证申请与核发技术规范》（HJ853-2017）、</w:t>
      </w:r>
      <w:bookmarkStart w:id="555" w:name="_Hlk37145222"/>
      <w:r>
        <w:rPr>
          <w:color w:val="000000" w:themeColor="text1"/>
          <w14:textFill>
            <w14:solidFill>
              <w14:schemeClr w14:val="tx1"/>
            </w14:solidFill>
          </w14:textFill>
        </w:rPr>
        <w:t xml:space="preserve">《排污许可证申请与核发技术规范 </w:t>
      </w:r>
      <w:r>
        <w:rPr>
          <w:rFonts w:hint="eastAsia"/>
          <w:color w:val="000000" w:themeColor="text1"/>
          <w:lang w:eastAsia="zh-CN"/>
          <w14:textFill>
            <w14:solidFill>
              <w14:schemeClr w14:val="tx1"/>
            </w14:solidFill>
          </w14:textFill>
        </w:rPr>
        <w:t>石化工业</w:t>
      </w:r>
      <w:r>
        <w:rPr>
          <w:color w:val="000000" w:themeColor="text1"/>
          <w14:textFill>
            <w14:solidFill>
              <w14:schemeClr w14:val="tx1"/>
            </w14:solidFill>
          </w14:textFill>
        </w:rPr>
        <w:t>》（HJ</w:t>
      </w:r>
      <w:r>
        <w:rPr>
          <w:rFonts w:hint="eastAsia"/>
          <w:color w:val="000000" w:themeColor="text1"/>
          <w:lang w:val="en-US" w:eastAsia="zh-CN"/>
          <w14:textFill>
            <w14:solidFill>
              <w14:schemeClr w14:val="tx1"/>
            </w14:solidFill>
          </w14:textFill>
        </w:rPr>
        <w:t>853</w:t>
      </w:r>
      <w:r>
        <w:rPr>
          <w:color w:val="000000" w:themeColor="text1"/>
          <w14:textFill>
            <w14:solidFill>
              <w14:schemeClr w14:val="tx1"/>
            </w14:solidFill>
          </w14:textFill>
        </w:rPr>
        <w:t xml:space="preserve">-2017）、《排污单位自行监测技术指南 </w:t>
      </w:r>
      <w:r>
        <w:rPr>
          <w:rFonts w:hint="eastAsia"/>
          <w:color w:val="000000" w:themeColor="text1"/>
          <w:lang w:eastAsia="zh-CN"/>
          <w14:textFill>
            <w14:solidFill>
              <w14:schemeClr w14:val="tx1"/>
            </w14:solidFill>
          </w14:textFill>
        </w:rPr>
        <w:t>石油炼制工业</w:t>
      </w:r>
      <w:r>
        <w:rPr>
          <w:color w:val="000000" w:themeColor="text1"/>
          <w14:textFill>
            <w14:solidFill>
              <w14:schemeClr w14:val="tx1"/>
            </w14:solidFill>
          </w14:textFill>
        </w:rPr>
        <w:t>》（HJ</w:t>
      </w:r>
      <w:r>
        <w:rPr>
          <w:rFonts w:hint="eastAsia"/>
          <w:color w:val="000000" w:themeColor="text1"/>
          <w:lang w:val="en-US" w:eastAsia="zh-CN"/>
          <w14:textFill>
            <w14:solidFill>
              <w14:schemeClr w14:val="tx1"/>
            </w14:solidFill>
          </w14:textFill>
        </w:rPr>
        <w:t>880</w:t>
      </w:r>
      <w:r>
        <w:rPr>
          <w:color w:val="000000" w:themeColor="text1"/>
          <w14:textFill>
            <w14:solidFill>
              <w14:schemeClr w14:val="tx1"/>
            </w14:solidFill>
          </w14:textFill>
        </w:rPr>
        <w:t>-2017）</w:t>
      </w:r>
      <w:bookmarkEnd w:id="555"/>
      <w:r>
        <w:rPr>
          <w:color w:val="000000" w:themeColor="text1"/>
          <w14:textFill>
            <w14:solidFill>
              <w14:schemeClr w14:val="tx1"/>
            </w14:solidFill>
          </w14:textFill>
        </w:rPr>
        <w:t>制定本项目监测计划。</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采样口及采样平台应按《固定污染源排气中颗粒物测定与气态污染物采样方法》（</w:t>
      </w:r>
      <w:r>
        <w:rPr>
          <w:rFonts w:eastAsia="TimesNewRoman"/>
          <w:color w:val="000000" w:themeColor="text1"/>
          <w14:textFill>
            <w14:solidFill>
              <w14:schemeClr w14:val="tx1"/>
            </w14:solidFill>
          </w14:textFill>
        </w:rPr>
        <w:t>GB/T16157-1996</w:t>
      </w:r>
      <w:r>
        <w:rPr>
          <w:color w:val="000000" w:themeColor="text1"/>
          <w14:textFill>
            <w14:solidFill>
              <w14:schemeClr w14:val="tx1"/>
            </w14:solidFill>
          </w14:textFill>
        </w:rPr>
        <w:t>）及《固定源废气监测技术规范》（</w:t>
      </w:r>
      <w:r>
        <w:rPr>
          <w:rFonts w:eastAsia="TimesNewRoman"/>
          <w:color w:val="000000" w:themeColor="text1"/>
          <w14:textFill>
            <w14:solidFill>
              <w14:schemeClr w14:val="tx1"/>
            </w14:solidFill>
          </w14:textFill>
        </w:rPr>
        <w:t>HJ/T397-2007</w:t>
      </w:r>
      <w:r>
        <w:rPr>
          <w:color w:val="000000" w:themeColor="text1"/>
          <w14:textFill>
            <w14:solidFill>
              <w14:schemeClr w14:val="tx1"/>
            </w14:solidFill>
          </w14:textFill>
        </w:rPr>
        <w:t>）等标准规范要求进行；无组织排放源监测按照《大气污染物无组织排放监测技术导则》（</w:t>
      </w:r>
      <w:r>
        <w:rPr>
          <w:rFonts w:eastAsia="TimesNewRoman"/>
          <w:color w:val="000000" w:themeColor="text1"/>
          <w14:textFill>
            <w14:solidFill>
              <w14:schemeClr w14:val="tx1"/>
            </w14:solidFill>
          </w14:textFill>
        </w:rPr>
        <w:t>HJ/T55-2000</w:t>
      </w:r>
      <w:r>
        <w:rPr>
          <w:color w:val="000000" w:themeColor="text1"/>
          <w14:textFill>
            <w14:solidFill>
              <w14:schemeClr w14:val="tx1"/>
            </w14:solidFill>
          </w14:textFill>
        </w:rPr>
        <w:t>）中的相关要求进行设置。</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项目废气监测计划详见表1</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.2-1。</w:t>
      </w:r>
    </w:p>
    <w:p>
      <w:pPr>
        <w:pStyle w:val="132"/>
        <w:spacing w:line="240" w:lineRule="auto"/>
        <w:ind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表1</w:t>
      </w:r>
      <w:r>
        <w:rPr>
          <w:rFonts w:hint="eastAsia"/>
          <w:b/>
          <w:bCs w:val="0"/>
          <w:color w:val="000000" w:themeColor="text1"/>
          <w:lang w:val="en-US" w:eastAsia="zh-CN"/>
          <w14:textFill>
            <w14:solidFill>
              <w14:schemeClr w14:val="tx1"/>
            </w14:solidFill>
          </w14:textFill>
        </w:rPr>
        <w:t>1</w:t>
      </w:r>
      <w:r>
        <w:rPr>
          <w:b/>
          <w:bCs w:val="0"/>
          <w:color w:val="000000" w:themeColor="text1"/>
          <w14:textFill>
            <w14:solidFill>
              <w14:schemeClr w14:val="tx1"/>
            </w14:solidFill>
          </w14:textFill>
        </w:rPr>
        <w:t>.2-1  项目废气监测计划一览表</w:t>
      </w:r>
    </w:p>
    <w:tbl>
      <w:tblPr>
        <w:tblStyle w:val="4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622"/>
        <w:gridCol w:w="3785"/>
        <w:gridCol w:w="1209"/>
        <w:gridCol w:w="1013"/>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监测指标</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监测设施</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最低监测频次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无组织排放</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厂界、生产车间外</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非甲烷总烃</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手工监测</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1次/季度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0" w:type="auto"/>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泵、压缩机、阀门、开口阀或开口管线、</w:t>
            </w:r>
          </w:p>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气体/蒸气泄压设备、取样连接系统</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非甲烷总烃</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手工监测</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1次/季度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0" w:type="auto"/>
            <w:noWrap w:val="0"/>
            <w:vAlign w:val="center"/>
          </w:tcPr>
          <w:p>
            <w:pPr>
              <w:pStyle w:val="132"/>
              <w:keepNext w:val="0"/>
              <w:keepLines w:val="0"/>
              <w:suppressLineNumbers w:val="0"/>
              <w:spacing w:before="0" w:beforeAutospacing="0" w:afterAutospacing="0" w:line="240" w:lineRule="auto"/>
              <w:ind w:left="0" w:right="0" w:firstLine="0"/>
              <w:rPr>
                <w:color w:val="000000" w:themeColor="text1"/>
                <w:sz w:val="21"/>
                <w:szCs w:val="21"/>
                <w14:textFill>
                  <w14:solidFill>
                    <w14:schemeClr w14:val="tx1"/>
                  </w14:solidFill>
                </w14:textFill>
              </w:rPr>
            </w:pPr>
            <w:r>
              <w:rPr>
                <w:bCs w:val="0"/>
                <w:color w:val="000000" w:themeColor="text1"/>
                <w:kern w:val="0"/>
                <w:sz w:val="21"/>
                <w:szCs w:val="21"/>
                <w14:textFill>
                  <w14:solidFill>
                    <w14:schemeClr w14:val="tx1"/>
                  </w14:solidFill>
                </w14:textFill>
              </w:rPr>
              <w:t>法兰及其他连接件、其他密封设备</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非甲烷总烃</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手工监测</w:t>
            </w:r>
          </w:p>
        </w:tc>
        <w:tc>
          <w:tcPr>
            <w:tcW w:w="0" w:type="auto"/>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14:textFill>
                  <w14:solidFill>
                    <w14:schemeClr w14:val="tx1"/>
                  </w14:solidFill>
                </w14:textFill>
              </w:rPr>
              <w:t>1次/半年</w:t>
            </w:r>
          </w:p>
        </w:tc>
      </w:tr>
    </w:tbl>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项目废水监测计划详见表1</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.2-2。</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表1</w:t>
      </w:r>
      <w:r>
        <w:rPr>
          <w:rFonts w:hint="eastAsia"/>
          <w:b/>
          <w:color w:val="000000" w:themeColor="text1"/>
          <w:lang w:val="en-US" w:eastAsia="zh-CN"/>
          <w14:textFill>
            <w14:solidFill>
              <w14:schemeClr w14:val="tx1"/>
            </w14:solidFill>
          </w14:textFill>
        </w:rPr>
        <w:t>1</w:t>
      </w:r>
      <w:r>
        <w:rPr>
          <w:b/>
          <w:color w:val="000000" w:themeColor="text1"/>
          <w14:textFill>
            <w14:solidFill>
              <w14:schemeClr w14:val="tx1"/>
            </w14:solidFill>
          </w14:textFill>
        </w:rPr>
        <w:t>.2-2  项目废水监测计划一览表</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73"/>
        <w:gridCol w:w="1857"/>
        <w:gridCol w:w="1320"/>
        <w:gridCol w:w="1320"/>
        <w:gridCol w:w="2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12" w:space="0"/>
              <w:left w:val="nil"/>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743" w:type="pct"/>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1005" w:type="pct"/>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监测指标</w:t>
            </w:r>
          </w:p>
        </w:tc>
        <w:tc>
          <w:tcPr>
            <w:tcW w:w="714" w:type="pct"/>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监测设施</w:t>
            </w:r>
          </w:p>
        </w:tc>
        <w:tc>
          <w:tcPr>
            <w:tcW w:w="714" w:type="pct"/>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最低监测频次</w:t>
            </w:r>
          </w:p>
        </w:tc>
        <w:tc>
          <w:tcPr>
            <w:tcW w:w="1431" w:type="pct"/>
            <w:tcBorders>
              <w:top w:val="single" w:color="auto" w:sz="12" w:space="0"/>
              <w:right w:val="nil"/>
            </w:tcBorders>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restart"/>
            <w:tcBorders>
              <w:left w:val="nil"/>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743" w:type="pct"/>
            <w:vMerge w:val="restar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DW001</w:t>
            </w:r>
          </w:p>
        </w:tc>
        <w:tc>
          <w:tcPr>
            <w:tcW w:w="1005" w:type="pc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COD、氨氮</w:t>
            </w:r>
          </w:p>
        </w:tc>
        <w:tc>
          <w:tcPr>
            <w:tcW w:w="714" w:type="pc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手工监测</w:t>
            </w:r>
          </w:p>
        </w:tc>
        <w:tc>
          <w:tcPr>
            <w:tcW w:w="714"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bCs/>
                <w:color w:val="000000" w:themeColor="text1"/>
                <w:kern w:val="0"/>
                <w:sz w:val="21"/>
                <w:szCs w:val="21"/>
                <w14:textFill>
                  <w14:solidFill>
                    <w14:schemeClr w14:val="tx1"/>
                  </w14:solidFill>
                </w14:textFill>
              </w:rPr>
            </w:pPr>
            <w:r>
              <w:rPr>
                <w:rFonts w:eastAsia="宋体" w:cs="Times New Roman"/>
                <w:bCs/>
                <w:color w:val="000000" w:themeColor="text1"/>
                <w:kern w:val="0"/>
                <w:sz w:val="21"/>
                <w:szCs w:val="21"/>
                <w14:textFill>
                  <w14:solidFill>
                    <w14:schemeClr w14:val="tx1"/>
                  </w14:solidFill>
                </w14:textFill>
              </w:rPr>
              <w:t>1次/周</w:t>
            </w:r>
          </w:p>
        </w:tc>
        <w:tc>
          <w:tcPr>
            <w:tcW w:w="1431" w:type="pct"/>
            <w:vMerge w:val="restart"/>
            <w:tcBorders>
              <w:right w:val="nil"/>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GB3157</w:t>
            </w:r>
            <w:r>
              <w:rPr>
                <w:rFonts w:hint="eastAsia"/>
                <w:color w:val="000000" w:themeColor="text1"/>
                <w:sz w:val="21"/>
                <w:szCs w:val="21"/>
                <w:lang w:val="en-US" w:eastAsia="zh-CN"/>
                <w14:textFill>
                  <w14:solidFill>
                    <w14:schemeClr w14:val="tx1"/>
                  </w14:solidFill>
                </w14:textFill>
              </w:rPr>
              <w:t>0</w:t>
            </w:r>
            <w:r>
              <w:rPr>
                <w:color w:val="000000" w:themeColor="text1"/>
                <w:sz w:val="21"/>
                <w:szCs w:val="21"/>
                <w14:textFill>
                  <w14:solidFill>
                    <w14:schemeClr w14:val="tx1"/>
                  </w14:solidFill>
                </w14:textFill>
              </w:rPr>
              <w:t>-2015</w:t>
            </w:r>
            <w:r>
              <w:rPr>
                <w:rFonts w:hint="eastAsia"/>
                <w:color w:val="000000" w:themeColor="text1"/>
                <w:sz w:val="21"/>
                <w:szCs w:val="21"/>
                <w:lang w:eastAsia="zh-CN"/>
                <w14:textFill>
                  <w14:solidFill>
                    <w14:schemeClr w14:val="tx1"/>
                  </w14:solidFill>
                </w14:textFill>
              </w:rPr>
              <w:t>石油炼制工业</w:t>
            </w:r>
            <w:r>
              <w:rPr>
                <w:color w:val="000000" w:themeColor="text1"/>
                <w:sz w:val="21"/>
                <w:szCs w:val="21"/>
                <w14:textFill>
                  <w14:solidFill>
                    <w14:schemeClr w14:val="tx1"/>
                  </w14:solidFill>
                </w14:textFill>
              </w:rPr>
              <w:t>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continue"/>
            <w:tcBorders>
              <w:left w:val="nil"/>
            </w:tcBorders>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c>
          <w:tcPr>
            <w:tcW w:w="743" w:type="pct"/>
            <w:vMerge w:val="continue"/>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c>
          <w:tcPr>
            <w:tcW w:w="1005" w:type="pc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pH、SS、TP、TN、石油类、硫化物</w:t>
            </w:r>
          </w:p>
        </w:tc>
        <w:tc>
          <w:tcPr>
            <w:tcW w:w="714" w:type="pc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手工监测</w:t>
            </w:r>
          </w:p>
        </w:tc>
        <w:tc>
          <w:tcPr>
            <w:tcW w:w="714"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bCs/>
                <w:color w:val="000000" w:themeColor="text1"/>
                <w:kern w:val="0"/>
                <w:sz w:val="21"/>
                <w:szCs w:val="21"/>
                <w14:textFill>
                  <w14:solidFill>
                    <w14:schemeClr w14:val="tx1"/>
                  </w14:solidFill>
                </w14:textFill>
              </w:rPr>
            </w:pPr>
            <w:r>
              <w:rPr>
                <w:rFonts w:eastAsia="宋体" w:cs="Times New Roman"/>
                <w:bCs/>
                <w:color w:val="000000" w:themeColor="text1"/>
                <w:kern w:val="0"/>
                <w:sz w:val="21"/>
                <w:szCs w:val="21"/>
                <w14:textFill>
                  <w14:solidFill>
                    <w14:schemeClr w14:val="tx1"/>
                  </w14:solidFill>
                </w14:textFill>
              </w:rPr>
              <w:t>1次/月</w:t>
            </w:r>
          </w:p>
        </w:tc>
        <w:tc>
          <w:tcPr>
            <w:tcW w:w="1431" w:type="pct"/>
            <w:vMerge w:val="continue"/>
            <w:tcBorders>
              <w:right w:val="nil"/>
            </w:tcBorders>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continue"/>
            <w:tcBorders>
              <w:left w:val="nil"/>
            </w:tcBorders>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c>
          <w:tcPr>
            <w:tcW w:w="743" w:type="pct"/>
            <w:vMerge w:val="continue"/>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c>
          <w:tcPr>
            <w:tcW w:w="1005" w:type="pc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BOD</w:t>
            </w:r>
            <w:r>
              <w:rPr>
                <w:color w:val="000000" w:themeColor="text1"/>
                <w:kern w:val="0"/>
                <w:sz w:val="21"/>
                <w:szCs w:val="21"/>
                <w:vertAlign w:val="subscript"/>
                <w14:textFill>
                  <w14:solidFill>
                    <w14:schemeClr w14:val="tx1"/>
                  </w14:solidFill>
                </w14:textFill>
              </w:rPr>
              <w:t>5</w:t>
            </w:r>
            <w:r>
              <w:rPr>
                <w:color w:val="000000" w:themeColor="text1"/>
                <w:kern w:val="0"/>
                <w:sz w:val="21"/>
                <w:szCs w:val="21"/>
                <w14:textFill>
                  <w14:solidFill>
                    <w14:schemeClr w14:val="tx1"/>
                  </w14:solidFill>
                </w14:textFill>
              </w:rPr>
              <w:t>、总有机碳</w:t>
            </w:r>
          </w:p>
        </w:tc>
        <w:tc>
          <w:tcPr>
            <w:tcW w:w="714" w:type="pct"/>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手工监测</w:t>
            </w:r>
          </w:p>
        </w:tc>
        <w:tc>
          <w:tcPr>
            <w:tcW w:w="714" w:type="pct"/>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bCs/>
                <w:color w:val="000000" w:themeColor="text1"/>
                <w:kern w:val="0"/>
                <w:sz w:val="21"/>
                <w:szCs w:val="21"/>
                <w14:textFill>
                  <w14:solidFill>
                    <w14:schemeClr w14:val="tx1"/>
                  </w14:solidFill>
                </w14:textFill>
              </w:rPr>
            </w:pPr>
            <w:r>
              <w:rPr>
                <w:rFonts w:eastAsia="宋体" w:cs="Times New Roman"/>
                <w:bCs/>
                <w:color w:val="000000" w:themeColor="text1"/>
                <w:kern w:val="0"/>
                <w:sz w:val="21"/>
                <w:szCs w:val="21"/>
                <w14:textFill>
                  <w14:solidFill>
                    <w14:schemeClr w14:val="tx1"/>
                  </w14:solidFill>
                </w14:textFill>
              </w:rPr>
              <w:t>1次/季度</w:t>
            </w:r>
          </w:p>
        </w:tc>
        <w:tc>
          <w:tcPr>
            <w:tcW w:w="1431" w:type="pct"/>
            <w:vMerge w:val="continue"/>
            <w:tcBorders>
              <w:right w:val="nil"/>
            </w:tcBorders>
            <w:noWrap w:val="0"/>
            <w:vAlign w:val="center"/>
          </w:tcPr>
          <w:p>
            <w:pPr>
              <w:pStyle w:val="132"/>
              <w:keepNext w:val="0"/>
              <w:keepLines w:val="0"/>
              <w:suppressLineNumbers w:val="0"/>
              <w:spacing w:before="0" w:beforeAutospacing="0" w:afterAutospacing="0" w:line="240" w:lineRule="auto"/>
              <w:ind w:left="0" w:right="0"/>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left w:val="nil"/>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743" w:type="pct"/>
            <w:tcBorders>
              <w:bottom w:val="single" w:color="auto" w:sz="12" w:space="0"/>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bCs/>
                <w:color w:val="000000" w:themeColor="text1"/>
                <w:kern w:val="0"/>
                <w:sz w:val="21"/>
                <w:szCs w:val="21"/>
                <w14:textFill>
                  <w14:solidFill>
                    <w14:schemeClr w14:val="tx1"/>
                  </w14:solidFill>
                </w14:textFill>
              </w:rPr>
            </w:pPr>
            <w:r>
              <w:rPr>
                <w:rFonts w:eastAsia="宋体" w:cs="Times New Roman"/>
                <w:bCs/>
                <w:color w:val="000000" w:themeColor="text1"/>
                <w:kern w:val="0"/>
                <w:sz w:val="21"/>
                <w:szCs w:val="21"/>
                <w14:textFill>
                  <w14:solidFill>
                    <w14:schemeClr w14:val="tx1"/>
                  </w14:solidFill>
                </w14:textFill>
              </w:rPr>
              <w:t>雨水排放口</w:t>
            </w:r>
          </w:p>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（YS002）</w:t>
            </w:r>
          </w:p>
        </w:tc>
        <w:tc>
          <w:tcPr>
            <w:tcW w:w="1005" w:type="pct"/>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COD、氨氮、石油类</w:t>
            </w:r>
          </w:p>
        </w:tc>
        <w:tc>
          <w:tcPr>
            <w:tcW w:w="714" w:type="pct"/>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手工监测</w:t>
            </w:r>
          </w:p>
        </w:tc>
        <w:tc>
          <w:tcPr>
            <w:tcW w:w="2145" w:type="pct"/>
            <w:gridSpan w:val="2"/>
            <w:tcBorders>
              <w:bottom w:val="single" w:color="auto" w:sz="12" w:space="0"/>
              <w:right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eastAsia="宋体" w:cs="Times New Roman"/>
                <w:bCs/>
                <w:color w:val="000000" w:themeColor="text1"/>
                <w:kern w:val="0"/>
                <w:sz w:val="21"/>
                <w:szCs w:val="21"/>
                <w14:textFill>
                  <w14:solidFill>
                    <w14:schemeClr w14:val="tx1"/>
                  </w14:solidFill>
                </w14:textFill>
              </w:rPr>
            </w:pPr>
            <w:r>
              <w:rPr>
                <w:rFonts w:eastAsia="宋体" w:cs="Times New Roman"/>
                <w:bCs/>
                <w:color w:val="000000" w:themeColor="text1"/>
                <w:kern w:val="0"/>
                <w:sz w:val="21"/>
                <w:szCs w:val="21"/>
                <w14:textFill>
                  <w14:solidFill>
                    <w14:schemeClr w14:val="tx1"/>
                  </w14:solidFill>
                </w14:textFill>
              </w:rPr>
              <w:t>排放口有流动水时监测；</w:t>
            </w:r>
          </w:p>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连续监测一年无异常，改为每季度第一次流动水监测</w:t>
            </w:r>
          </w:p>
        </w:tc>
      </w:tr>
    </w:tbl>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项目噪声监测计划详见标1</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.2-3。</w:t>
      </w:r>
    </w:p>
    <w:p>
      <w:pPr>
        <w:pStyle w:val="132"/>
        <w:spacing w:line="240" w:lineRule="auto"/>
        <w:ind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表1</w:t>
      </w:r>
      <w:r>
        <w:rPr>
          <w:rFonts w:hint="eastAsia"/>
          <w:b/>
          <w:bCs w:val="0"/>
          <w:color w:val="000000" w:themeColor="text1"/>
          <w:lang w:val="en-US" w:eastAsia="zh-CN"/>
          <w14:textFill>
            <w14:solidFill>
              <w14:schemeClr w14:val="tx1"/>
            </w14:solidFill>
          </w14:textFill>
        </w:rPr>
        <w:t>1</w:t>
      </w:r>
      <w:r>
        <w:rPr>
          <w:b/>
          <w:bCs w:val="0"/>
          <w:color w:val="000000" w:themeColor="text1"/>
          <w14:textFill>
            <w14:solidFill>
              <w14:schemeClr w14:val="tx1"/>
            </w14:solidFill>
          </w14:textFill>
        </w:rPr>
        <w:t>.2-3  项目噪声监测计划一览表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650"/>
        <w:gridCol w:w="2472"/>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tcBorders>
              <w:top w:val="single" w:color="auto" w:sz="12" w:space="0"/>
              <w:left w:val="nil"/>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1650" w:type="dxa"/>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2472" w:type="dxa"/>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监测因子</w:t>
            </w:r>
          </w:p>
        </w:tc>
        <w:tc>
          <w:tcPr>
            <w:tcW w:w="1849" w:type="dxa"/>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监测点位</w:t>
            </w:r>
          </w:p>
        </w:tc>
        <w:tc>
          <w:tcPr>
            <w:tcW w:w="1849" w:type="dxa"/>
            <w:tcBorders>
              <w:top w:val="single" w:color="auto" w:sz="12" w:space="0"/>
              <w:right w:val="nil"/>
            </w:tcBorders>
            <w:noWrap w:val="0"/>
            <w:vAlign w:val="center"/>
          </w:tcPr>
          <w:p>
            <w:pPr>
              <w:pStyle w:val="132"/>
              <w:keepNext w:val="0"/>
              <w:keepLines w:val="0"/>
              <w:suppressLineNumbers w:val="0"/>
              <w:spacing w:before="0" w:beforeAutospacing="0" w:afterAutospacing="0" w:line="240" w:lineRule="auto"/>
              <w:ind w:left="0" w:right="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tcBorders>
              <w:left w:val="nil"/>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b/>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650" w:type="dxa"/>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rPr>
                <w:b/>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2472" w:type="dxa"/>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b/>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Leq(昼)、Leq(夜)</w:t>
            </w:r>
          </w:p>
        </w:tc>
        <w:tc>
          <w:tcPr>
            <w:tcW w:w="1849" w:type="dxa"/>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b/>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四周厂界外1m</w:t>
            </w:r>
          </w:p>
        </w:tc>
        <w:tc>
          <w:tcPr>
            <w:tcW w:w="1849" w:type="dxa"/>
            <w:tcBorders>
              <w:bottom w:val="single" w:color="auto" w:sz="12" w:space="0"/>
              <w:right w:val="nil"/>
            </w:tcBorders>
            <w:noWrap w:val="0"/>
            <w:vAlign w:val="center"/>
          </w:tcPr>
          <w:p>
            <w:pPr>
              <w:pStyle w:val="132"/>
              <w:keepNext w:val="0"/>
              <w:keepLines w:val="0"/>
              <w:suppressLineNumbers w:val="0"/>
              <w:spacing w:before="0" w:beforeAutospacing="0" w:afterAutospacing="0" w:line="240" w:lineRule="auto"/>
              <w:ind w:left="0" w:right="0" w:firstLine="0"/>
              <w:jc w:val="center"/>
              <w:rPr>
                <w:b/>
                <w:bCs w:val="0"/>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1次/季度</w:t>
            </w:r>
          </w:p>
        </w:tc>
      </w:tr>
    </w:tbl>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（2）环境质量监测</w:t>
      </w:r>
    </w:p>
    <w:p>
      <w:pPr>
        <w:pStyle w:val="132"/>
        <w:ind w:firstLine="480"/>
        <w:rPr>
          <w:color w:val="000000" w:themeColor="text1"/>
          <w14:textFill>
            <w14:solidFill>
              <w14:schemeClr w14:val="tx1"/>
            </w14:solidFill>
          </w14:textFill>
        </w:rPr>
      </w:pPr>
      <w:r>
        <w:rPr>
          <w:color w:val="000000" w:themeColor="text1"/>
          <w14:textFill>
            <w14:solidFill>
              <w14:schemeClr w14:val="tx1"/>
            </w14:solidFill>
          </w14:textFill>
        </w:rPr>
        <w:t>项目环境质量监测计划表详见标1</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.2-4。</w:t>
      </w:r>
    </w:p>
    <w:p>
      <w:pPr>
        <w:pStyle w:val="132"/>
        <w:spacing w:line="240" w:lineRule="auto"/>
        <w:ind w:firstLine="0"/>
        <w:jc w:val="center"/>
        <w:rPr>
          <w:b/>
          <w:bCs w:val="0"/>
          <w:color w:val="000000" w:themeColor="text1"/>
          <w14:textFill>
            <w14:solidFill>
              <w14:schemeClr w14:val="tx1"/>
            </w14:solidFill>
          </w14:textFill>
        </w:rPr>
      </w:pPr>
      <w:r>
        <w:rPr>
          <w:b/>
          <w:bCs w:val="0"/>
          <w:color w:val="000000" w:themeColor="text1"/>
          <w14:textFill>
            <w14:solidFill>
              <w14:schemeClr w14:val="tx1"/>
            </w14:solidFill>
          </w14:textFill>
        </w:rPr>
        <w:t>表1</w:t>
      </w:r>
      <w:r>
        <w:rPr>
          <w:rFonts w:hint="eastAsia"/>
          <w:b/>
          <w:bCs w:val="0"/>
          <w:color w:val="000000" w:themeColor="text1"/>
          <w:lang w:val="en-US" w:eastAsia="zh-CN"/>
          <w14:textFill>
            <w14:solidFill>
              <w14:schemeClr w14:val="tx1"/>
            </w14:solidFill>
          </w14:textFill>
        </w:rPr>
        <w:t>1</w:t>
      </w:r>
      <w:r>
        <w:rPr>
          <w:b/>
          <w:bCs w:val="0"/>
          <w:color w:val="000000" w:themeColor="text1"/>
          <w14:textFill>
            <w14:solidFill>
              <w14:schemeClr w14:val="tx1"/>
            </w14:solidFill>
          </w14:textFill>
        </w:rPr>
        <w:t>.2-4  环境质量监测一览表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848"/>
        <w:gridCol w:w="1848"/>
        <w:gridCol w:w="1849"/>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top w:val="single" w:color="auto" w:sz="12" w:space="0"/>
              <w:left w:val="nil"/>
            </w:tcBorders>
            <w:noWrap w:val="0"/>
            <w:vAlign w:val="center"/>
          </w:tcPr>
          <w:p>
            <w:pPr>
              <w:pStyle w:val="132"/>
              <w:keepNext w:val="0"/>
              <w:keepLines w:val="0"/>
              <w:suppressLineNumbers w:val="0"/>
              <w:spacing w:before="0" w:beforeAutospacing="0" w:afterAutospacing="0" w:line="240" w:lineRule="auto"/>
              <w:ind w:left="0" w:right="0"/>
              <w:jc w:val="both"/>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bCs w:val="0"/>
                <w:color w:val="000000" w:themeColor="text1"/>
                <w:sz w:val="21"/>
                <w:szCs w:val="21"/>
                <w14:textFill>
                  <w14:solidFill>
                    <w14:schemeClr w14:val="tx1"/>
                  </w14:solidFill>
                </w14:textFill>
              </w:rPr>
              <w:t>监测内容</w:t>
            </w:r>
          </w:p>
        </w:tc>
        <w:tc>
          <w:tcPr>
            <w:tcW w:w="1848" w:type="dxa"/>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jc w:val="both"/>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bCs w:val="0"/>
                <w:color w:val="000000" w:themeColor="text1"/>
                <w:sz w:val="21"/>
                <w:szCs w:val="21"/>
                <w14:textFill>
                  <w14:solidFill>
                    <w14:schemeClr w14:val="tx1"/>
                  </w14:solidFill>
                </w14:textFill>
              </w:rPr>
              <w:t>监测点位</w:t>
            </w:r>
          </w:p>
        </w:tc>
        <w:tc>
          <w:tcPr>
            <w:tcW w:w="1848" w:type="dxa"/>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bCs w:val="0"/>
                <w:color w:val="000000" w:themeColor="text1"/>
                <w:sz w:val="21"/>
                <w:szCs w:val="21"/>
                <w14:textFill>
                  <w14:solidFill>
                    <w14:schemeClr w14:val="tx1"/>
                  </w14:solidFill>
                </w14:textFill>
              </w:rPr>
              <w:t>监测指标</w:t>
            </w:r>
          </w:p>
        </w:tc>
        <w:tc>
          <w:tcPr>
            <w:tcW w:w="1849" w:type="dxa"/>
            <w:tcBorders>
              <w:top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监测频次</w:t>
            </w:r>
          </w:p>
        </w:tc>
        <w:tc>
          <w:tcPr>
            <w:tcW w:w="1849" w:type="dxa"/>
            <w:tcBorders>
              <w:top w:val="single" w:color="auto" w:sz="12" w:space="0"/>
              <w:right w:val="nil"/>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执行环境质量标准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bCs w:val="0"/>
                <w:color w:val="000000" w:themeColor="text1"/>
                <w:sz w:val="21"/>
                <w:szCs w:val="21"/>
                <w14:textFill>
                  <w14:solidFill>
                    <w14:schemeClr w14:val="tx1"/>
                  </w14:solidFill>
                </w14:textFill>
              </w:rPr>
              <w:t>地下水环境</w:t>
            </w:r>
          </w:p>
        </w:tc>
        <w:tc>
          <w:tcPr>
            <w:tcW w:w="1848" w:type="dxa"/>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eastAsia="宋体" w:cs="Times New Roman"/>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建设项目场地、上游、下游共设置3个监测点；场地监测点建议布设在</w:t>
            </w:r>
            <w:r>
              <w:rPr>
                <w:rFonts w:hint="eastAsia" w:cs="Times New Roman"/>
                <w:color w:val="000000" w:themeColor="text1"/>
                <w:sz w:val="21"/>
                <w:lang w:val="en-US" w:eastAsia="zh-CN"/>
                <w14:textFill>
                  <w14:solidFill>
                    <w14:schemeClr w14:val="tx1"/>
                  </w14:solidFill>
                </w14:textFill>
              </w:rPr>
              <w:t>装置区</w:t>
            </w:r>
          </w:p>
        </w:tc>
        <w:tc>
          <w:tcPr>
            <w:tcW w:w="1848" w:type="dxa"/>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pH、耗氧量、氨氮、石油类</w:t>
            </w:r>
          </w:p>
        </w:tc>
        <w:tc>
          <w:tcPr>
            <w:tcW w:w="1849" w:type="dxa"/>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每年一次</w:t>
            </w:r>
          </w:p>
        </w:tc>
        <w:tc>
          <w:tcPr>
            <w:tcW w:w="1849" w:type="dxa"/>
            <w:tcBorders>
              <w:right w:val="nil"/>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GB14848-2017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tcBorders>
              <w:left w:val="nil"/>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bCs w:val="0"/>
                <w:color w:val="000000" w:themeColor="text1"/>
                <w:sz w:val="21"/>
                <w:szCs w:val="21"/>
                <w14:textFill>
                  <w14:solidFill>
                    <w14:schemeClr w14:val="tx1"/>
                  </w14:solidFill>
                </w14:textFill>
              </w:rPr>
              <w:t>土壤环境</w:t>
            </w:r>
          </w:p>
        </w:tc>
        <w:tc>
          <w:tcPr>
            <w:tcW w:w="1848" w:type="dxa"/>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装置区</w:t>
            </w:r>
          </w:p>
        </w:tc>
        <w:tc>
          <w:tcPr>
            <w:tcW w:w="1848" w:type="dxa"/>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石油烃</w:t>
            </w:r>
          </w:p>
        </w:tc>
        <w:tc>
          <w:tcPr>
            <w:tcW w:w="1849" w:type="dxa"/>
            <w:tcBorders>
              <w:bottom w:val="single" w:color="auto" w:sz="12" w:space="0"/>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每5年一次</w:t>
            </w:r>
          </w:p>
        </w:tc>
        <w:tc>
          <w:tcPr>
            <w:tcW w:w="1849" w:type="dxa"/>
            <w:tcBorders>
              <w:bottom w:val="single" w:color="auto" w:sz="12" w:space="0"/>
              <w:right w:val="nil"/>
            </w:tcBorders>
            <w:noWrap w:val="0"/>
            <w:vAlign w:val="center"/>
          </w:tcPr>
          <w:p>
            <w:pPr>
              <w:pStyle w:val="132"/>
              <w:keepNext w:val="0"/>
              <w:keepLines w:val="0"/>
              <w:suppressLineNumbers w:val="0"/>
              <w:spacing w:before="0" w:beforeAutospacing="0" w:afterAutospacing="0" w:line="240" w:lineRule="auto"/>
              <w:ind w:left="0" w:right="0" w:firstLine="0"/>
              <w:jc w:val="center"/>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w:t>GB36600-2018</w:t>
            </w:r>
          </w:p>
        </w:tc>
      </w:tr>
    </w:tbl>
    <w:p>
      <w:pPr>
        <w:pStyle w:val="4"/>
        <w:rPr>
          <w:color w:val="000000" w:themeColor="text1"/>
          <w14:textFill>
            <w14:solidFill>
              <w14:schemeClr w14:val="tx1"/>
            </w14:solidFill>
          </w14:textFill>
        </w:rPr>
      </w:pPr>
      <w:bookmarkStart w:id="556" w:name="_Toc31071"/>
      <w:r>
        <w:rPr>
          <w:color w:val="000000" w:themeColor="text1"/>
          <w14:textFill>
            <w14:solidFill>
              <w14:schemeClr w14:val="tx1"/>
            </w14:solidFill>
          </w14:textFill>
        </w:rPr>
        <w:t>排污口设置及规范管理</w:t>
      </w:r>
      <w:bookmarkEnd w:id="556"/>
    </w:p>
    <w:p>
      <w:pPr>
        <w:pStyle w:val="5"/>
        <w:rPr>
          <w:color w:val="000000" w:themeColor="text1"/>
          <w14:textFill>
            <w14:solidFill>
              <w14:schemeClr w14:val="tx1"/>
            </w14:solidFill>
          </w14:textFill>
        </w:rPr>
      </w:pPr>
      <w:r>
        <w:rPr>
          <w:color w:val="000000" w:themeColor="text1"/>
          <w14:textFill>
            <w14:solidFill>
              <w14:schemeClr w14:val="tx1"/>
            </w14:solidFill>
          </w14:textFill>
        </w:rPr>
        <w:t>排污口设置</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排污口是企业排放污染物进入环境的通道，强化排污口的管理是实施污染物总量控制的基础工作之一，也是区域环境管理逐步实现污染物排放科学化、定量化的重要手段。</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（1）污水排放口</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①项目厂区的排水体制必须实施“雨污分流”制，应在排污口设置明显排口标志。应按照《环境保护图形标志—排放口（源）》和国家环保局《排污口规范化整治要求（试行）》的技术要求设置废水总排放口，排污口应在项目辖区边界内设置采样口，若排污管有压力，则应安装采样阀。</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②应设置规范的、便于测量流量、流速的测流段。</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（2）废气排放口</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有组织排放废气的排气筒高度应符合国家和省大气污染物排放标准的有关 规定；无组织排放有害气体的，应加装引风装置进行收集、处理，并设置采样点； 排气筒应设置便于采样、监测的采样口和采样监测平台。有净化设施的，应在其进出口分别设置采样口及采样监测平台。采样孔、点数目和位置应按《固定污染源排气中颗粒物测定与气态污染物采样方法》(GB/T16157-1996)和《污染源监测技术规范》的规定设置。</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（3）固定噪声源</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场内噪声排放源标志牌设置在距选定监测点较近且醒目处。固定噪声污染源对边界影响最大处，须按《工业企业厂界环境噪声排放标准》（GB12348-2008） 的规定，设置环境噪声监测点，并在该处附近醒目处设置环境保护图形标志牌。边界上有若干个在声环境中相对独立的固定噪声污染源，应分别设置环境噪声监测点和环境保护图形标志牌。</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（4）固废储存</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污染物排放口和固体废弃物堆场，应按国家的规定，设置国家环保统一制作的环境保护图形标志牌。并按</w:t>
      </w:r>
      <w:r>
        <w:rPr>
          <w:rFonts w:hint="eastAsia"/>
          <w:color w:val="000000" w:themeColor="text1"/>
          <w:szCs w:val="24"/>
          <w:lang w:val="en-US" w:eastAsia="zh-CN"/>
          <w14:textFill>
            <w14:solidFill>
              <w14:schemeClr w14:val="tx1"/>
            </w14:solidFill>
          </w14:textFill>
        </w:rPr>
        <w:t>照</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一般工业固体废物贮存和填埋污染控制标准</w:t>
      </w:r>
      <w:r>
        <w:rPr>
          <w:color w:val="000000" w:themeColor="text1"/>
          <w14:textFill>
            <w14:solidFill>
              <w14:schemeClr w14:val="tx1"/>
            </w14:solidFill>
          </w14:textFill>
        </w:rPr>
        <w:t>》(GB18599-20</w:t>
      </w:r>
      <w:r>
        <w:rPr>
          <w:rFonts w:hint="eastAsia"/>
          <w:color w:val="000000" w:themeColor="text1"/>
          <w:lang w:val="en-US" w:eastAsia="zh-CN"/>
          <w14:textFill>
            <w14:solidFill>
              <w14:schemeClr w14:val="tx1"/>
            </w14:solidFill>
          </w14:textFill>
        </w:rPr>
        <w:t>20</w:t>
      </w:r>
      <w:r>
        <w:rPr>
          <w:color w:val="000000" w:themeColor="text1"/>
          <w14:textFill>
            <w14:solidFill>
              <w14:schemeClr w14:val="tx1"/>
            </w14:solidFill>
          </w14:textFill>
        </w:rPr>
        <w:t>)</w:t>
      </w:r>
      <w:r>
        <w:rPr>
          <w:color w:val="000000" w:themeColor="text1"/>
          <w:szCs w:val="24"/>
          <w14:textFill>
            <w14:solidFill>
              <w14:schemeClr w14:val="tx1"/>
            </w14:solidFill>
          </w14:textFill>
        </w:rPr>
        <w:t>和《危险废物贮存污染控制标准》（GB 18597-2001）及修改单要求进行设计。</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（5）设置标志牌要求</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排放一般污染物排污口（源），设置提示式标志牌，排放有毒有害等污染物的排污口设置警告式标志牌。</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对企业废水处理、车间废气处理装置的排口分别设置平面固定式提示标志牌或树立式固定式提示标志牌，平面固定式标志牌为0.48cm×0.3cm的长方形冷轧钢板，树立式提示标志牌为0.42cm×0.42cm的正方形冷轧钢板，提示牌的背景和立柱为绿色，图案、边框、支架和铺助标志的文字为白色，文字字型为黑体，标志牌辅助标志内容包括排污单位名称、标志牌名称、排污口编号和主要污染物名称，并交付当地环保部门注明。</w:t>
      </w:r>
    </w:p>
    <w:p>
      <w:pPr>
        <w:adjustRightInd w:val="0"/>
        <w:snapToGrid w:val="0"/>
        <w:spacing w:line="360" w:lineRule="auto"/>
        <w:ind w:firstLine="480" w:firstLineChars="200"/>
        <w:jc w:val="left"/>
        <w:rPr>
          <w:color w:val="000000" w:themeColor="text1"/>
          <w:szCs w:val="24"/>
          <w14:textFill>
            <w14:solidFill>
              <w14:schemeClr w14:val="tx1"/>
            </w14:solidFill>
          </w14:textFill>
        </w:rPr>
      </w:pPr>
      <w:r>
        <w:rPr>
          <w:color w:val="000000" w:themeColor="text1"/>
          <w:szCs w:val="24"/>
          <w14:textFill>
            <w14:solidFill>
              <w14:schemeClr w14:val="tx1"/>
            </w14:solidFill>
          </w14:textFill>
        </w:rPr>
        <w:t>环境保护图形标志的形状及颜色见表1</w:t>
      </w:r>
      <w:r>
        <w:rPr>
          <w:rFonts w:hint="eastAsia"/>
          <w:color w:val="000000" w:themeColor="text1"/>
          <w:szCs w:val="24"/>
          <w:lang w:val="en-US" w:eastAsia="zh-CN"/>
          <w14:textFill>
            <w14:solidFill>
              <w14:schemeClr w14:val="tx1"/>
            </w14:solidFill>
          </w14:textFill>
        </w:rPr>
        <w:t>1</w:t>
      </w:r>
      <w:r>
        <w:rPr>
          <w:color w:val="000000" w:themeColor="text1"/>
          <w:szCs w:val="24"/>
          <w14:textFill>
            <w14:solidFill>
              <w14:schemeClr w14:val="tx1"/>
            </w14:solidFill>
          </w14:textFill>
        </w:rPr>
        <w:t>.3-1，环境保护图形符号见表1</w:t>
      </w:r>
      <w:r>
        <w:rPr>
          <w:rFonts w:hint="eastAsia"/>
          <w:color w:val="000000" w:themeColor="text1"/>
          <w:szCs w:val="24"/>
          <w:lang w:val="en-US" w:eastAsia="zh-CN"/>
          <w14:textFill>
            <w14:solidFill>
              <w14:schemeClr w14:val="tx1"/>
            </w14:solidFill>
          </w14:textFill>
        </w:rPr>
        <w:t>1</w:t>
      </w:r>
      <w:r>
        <w:rPr>
          <w:color w:val="000000" w:themeColor="text1"/>
          <w:szCs w:val="24"/>
          <w14:textFill>
            <w14:solidFill>
              <w14:schemeClr w14:val="tx1"/>
            </w14:solidFill>
          </w14:textFill>
        </w:rPr>
        <w:t>.3-2。</w:t>
      </w:r>
    </w:p>
    <w:p>
      <w:pPr>
        <w:pStyle w:val="14"/>
        <w:spacing w:line="240" w:lineRule="auto"/>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表</w:t>
      </w:r>
      <w:r>
        <w:rPr>
          <w:bCs/>
          <w:color w:val="000000" w:themeColor="text1"/>
          <w:szCs w:val="24"/>
          <w14:textFill>
            <w14:solidFill>
              <w14:schemeClr w14:val="tx1"/>
            </w14:solidFill>
          </w14:textFill>
        </w:rPr>
        <w:fldChar w:fldCharType="begin"/>
      </w:r>
      <w:r>
        <w:rPr>
          <w:bCs/>
          <w:color w:val="000000" w:themeColor="text1"/>
          <w:szCs w:val="24"/>
          <w14:textFill>
            <w14:solidFill>
              <w14:schemeClr w14:val="tx1"/>
            </w14:solidFill>
          </w14:textFill>
        </w:rPr>
        <w:instrText xml:space="preserve"> STYLEREF 2 \s </w:instrText>
      </w:r>
      <w:r>
        <w:rPr>
          <w:bCs/>
          <w:color w:val="000000" w:themeColor="text1"/>
          <w:szCs w:val="24"/>
          <w14:textFill>
            <w14:solidFill>
              <w14:schemeClr w14:val="tx1"/>
            </w14:solidFill>
          </w14:textFill>
        </w:rPr>
        <w:fldChar w:fldCharType="separate"/>
      </w:r>
      <w:r>
        <w:rPr>
          <w:bCs/>
          <w:color w:val="000000" w:themeColor="text1"/>
          <w:szCs w:val="24"/>
          <w14:textFill>
            <w14:solidFill>
              <w14:schemeClr w14:val="tx1"/>
            </w14:solidFill>
          </w14:textFill>
        </w:rPr>
        <w:t>11</w:t>
      </w:r>
      <w:r>
        <w:rPr>
          <w:rFonts w:hint="eastAsia"/>
          <w:bCs/>
          <w:color w:val="000000" w:themeColor="text1"/>
          <w:szCs w:val="24"/>
          <w:lang w:val="en-US" w:eastAsia="zh-CN"/>
          <w14:textFill>
            <w14:solidFill>
              <w14:schemeClr w14:val="tx1"/>
            </w14:solidFill>
          </w14:textFill>
        </w:rPr>
        <w:t>.</w:t>
      </w:r>
      <w:r>
        <w:rPr>
          <w:bCs/>
          <w:color w:val="000000" w:themeColor="text1"/>
          <w:szCs w:val="24"/>
          <w14:textFill>
            <w14:solidFill>
              <w14:schemeClr w14:val="tx1"/>
            </w14:solidFill>
          </w14:textFill>
        </w:rPr>
        <w:t>3</w:t>
      </w:r>
      <w:r>
        <w:rPr>
          <w:bCs/>
          <w:color w:val="000000" w:themeColor="text1"/>
          <w:szCs w:val="24"/>
          <w14:textFill>
            <w14:solidFill>
              <w14:schemeClr w14:val="tx1"/>
            </w14:solidFill>
          </w14:textFill>
        </w:rPr>
        <w:fldChar w:fldCharType="end"/>
      </w:r>
      <w:r>
        <w:rPr>
          <w:bCs/>
          <w:color w:val="000000" w:themeColor="text1"/>
          <w:szCs w:val="24"/>
          <w14:textFill>
            <w14:solidFill>
              <w14:schemeClr w14:val="tx1"/>
            </w14:solidFill>
          </w14:textFill>
        </w:rPr>
        <w:noBreakHyphen/>
      </w:r>
      <w:r>
        <w:rPr>
          <w:bCs/>
          <w:color w:val="000000" w:themeColor="text1"/>
          <w:szCs w:val="24"/>
          <w14:textFill>
            <w14:solidFill>
              <w14:schemeClr w14:val="tx1"/>
            </w14:solidFill>
          </w14:textFill>
        </w:rPr>
        <w:fldChar w:fldCharType="begin"/>
      </w:r>
      <w:r>
        <w:rPr>
          <w:bCs/>
          <w:color w:val="000000" w:themeColor="text1"/>
          <w:szCs w:val="24"/>
          <w14:textFill>
            <w14:solidFill>
              <w14:schemeClr w14:val="tx1"/>
            </w14:solidFill>
          </w14:textFill>
        </w:rPr>
        <w:instrText xml:space="preserve"> SEQ 表 \* ARABIC \s 2 </w:instrText>
      </w:r>
      <w:r>
        <w:rPr>
          <w:bCs/>
          <w:color w:val="000000" w:themeColor="text1"/>
          <w:szCs w:val="24"/>
          <w14:textFill>
            <w14:solidFill>
              <w14:schemeClr w14:val="tx1"/>
            </w14:solidFill>
          </w14:textFill>
        </w:rPr>
        <w:fldChar w:fldCharType="separate"/>
      </w:r>
      <w:r>
        <w:rPr>
          <w:bCs/>
          <w:color w:val="000000" w:themeColor="text1"/>
          <w:szCs w:val="24"/>
          <w14:textFill>
            <w14:solidFill>
              <w14:schemeClr w14:val="tx1"/>
            </w14:solidFill>
          </w14:textFill>
        </w:rPr>
        <w:t>1</w:t>
      </w:r>
      <w:r>
        <w:rPr>
          <w:bCs/>
          <w:color w:val="000000" w:themeColor="text1"/>
          <w:szCs w:val="24"/>
          <w14:textFill>
            <w14:solidFill>
              <w14:schemeClr w14:val="tx1"/>
            </w14:solidFill>
          </w14:textFill>
        </w:rPr>
        <w:fldChar w:fldCharType="end"/>
      </w:r>
      <w:r>
        <w:rPr>
          <w:bCs/>
          <w:color w:val="000000" w:themeColor="text1"/>
          <w:szCs w:val="24"/>
          <w14:textFill>
            <w14:solidFill>
              <w14:schemeClr w14:val="tx1"/>
            </w14:solidFill>
          </w14:textFill>
        </w:rPr>
        <w:t xml:space="preserve">  环境保护图形标志的形状及颜色表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28"/>
        <w:gridCol w:w="1656"/>
        <w:gridCol w:w="2529"/>
        <w:gridCol w:w="25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标志名称</w:t>
            </w:r>
          </w:p>
        </w:tc>
        <w:tc>
          <w:tcPr>
            <w:tcW w:w="896"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形状</w:t>
            </w:r>
          </w:p>
        </w:tc>
        <w:tc>
          <w:tcPr>
            <w:tcW w:w="1368"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背景颜色</w:t>
            </w:r>
          </w:p>
        </w:tc>
        <w:tc>
          <w:tcPr>
            <w:tcW w:w="1368"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警告标志</w:t>
            </w:r>
          </w:p>
        </w:tc>
        <w:tc>
          <w:tcPr>
            <w:tcW w:w="896"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三角形边框</w:t>
            </w:r>
          </w:p>
        </w:tc>
        <w:tc>
          <w:tcPr>
            <w:tcW w:w="136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黄色</w:t>
            </w:r>
          </w:p>
        </w:tc>
        <w:tc>
          <w:tcPr>
            <w:tcW w:w="136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提示标志</w:t>
            </w:r>
          </w:p>
        </w:tc>
        <w:tc>
          <w:tcPr>
            <w:tcW w:w="896"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正方形边框</w:t>
            </w:r>
          </w:p>
        </w:tc>
        <w:tc>
          <w:tcPr>
            <w:tcW w:w="136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绿色</w:t>
            </w:r>
          </w:p>
        </w:tc>
        <w:tc>
          <w:tcPr>
            <w:tcW w:w="136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白色</w:t>
            </w:r>
          </w:p>
        </w:tc>
      </w:tr>
    </w:tbl>
    <w:p>
      <w:pPr>
        <w:jc w:val="center"/>
        <w:rPr>
          <w:bCs/>
          <w:color w:val="000000" w:themeColor="text1"/>
          <w:kern w:val="18"/>
          <w:szCs w:val="24"/>
          <w14:textFill>
            <w14:solidFill>
              <w14:schemeClr w14:val="tx1"/>
            </w14:solidFill>
          </w14:textFill>
        </w:rPr>
      </w:pPr>
      <w:r>
        <w:rPr>
          <w:b/>
          <w:color w:val="000000" w:themeColor="text1"/>
          <w:szCs w:val="24"/>
          <w14:textFill>
            <w14:solidFill>
              <w14:schemeClr w14:val="tx1"/>
            </w14:solidFill>
          </w14:textFill>
        </w:rPr>
        <w:t>表</w:t>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STYLEREF 2 \s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11</w:t>
      </w:r>
      <w:r>
        <w:rPr>
          <w:rFonts w:hint="eastAsia"/>
          <w:b/>
          <w:color w:val="000000" w:themeColor="text1"/>
          <w:szCs w:val="24"/>
          <w:lang w:val="en-US" w:eastAsia="zh-CN"/>
          <w14:textFill>
            <w14:solidFill>
              <w14:schemeClr w14:val="tx1"/>
            </w14:solidFill>
          </w14:textFill>
        </w:rPr>
        <w:t>.</w:t>
      </w:r>
      <w:r>
        <w:rPr>
          <w:b/>
          <w:color w:val="000000" w:themeColor="text1"/>
          <w:szCs w:val="24"/>
          <w14:textFill>
            <w14:solidFill>
              <w14:schemeClr w14:val="tx1"/>
            </w14:solidFill>
          </w14:textFill>
        </w:rPr>
        <w:t>3</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noBreakHyphen/>
      </w:r>
      <w:r>
        <w:rPr>
          <w:b/>
          <w:color w:val="000000" w:themeColor="text1"/>
          <w:szCs w:val="24"/>
          <w14:textFill>
            <w14:solidFill>
              <w14:schemeClr w14:val="tx1"/>
            </w14:solidFill>
          </w14:textFill>
        </w:rPr>
        <w:fldChar w:fldCharType="begin"/>
      </w:r>
      <w:r>
        <w:rPr>
          <w:b/>
          <w:color w:val="000000" w:themeColor="text1"/>
          <w:szCs w:val="24"/>
          <w14:textFill>
            <w14:solidFill>
              <w14:schemeClr w14:val="tx1"/>
            </w14:solidFill>
          </w14:textFill>
        </w:rPr>
        <w:instrText xml:space="preserve"> SEQ 表 \* ARABIC \s 2 </w:instrText>
      </w:r>
      <w:r>
        <w:rPr>
          <w:b/>
          <w:color w:val="000000" w:themeColor="text1"/>
          <w:szCs w:val="24"/>
          <w14:textFill>
            <w14:solidFill>
              <w14:schemeClr w14:val="tx1"/>
            </w14:solidFill>
          </w14:textFill>
        </w:rPr>
        <w:fldChar w:fldCharType="separate"/>
      </w:r>
      <w:r>
        <w:rPr>
          <w:b/>
          <w:color w:val="000000" w:themeColor="text1"/>
          <w:szCs w:val="24"/>
          <w14:textFill>
            <w14:solidFill>
              <w14:schemeClr w14:val="tx1"/>
            </w14:solidFill>
          </w14:textFill>
        </w:rPr>
        <w:t>2</w:t>
      </w:r>
      <w:r>
        <w:rPr>
          <w:b/>
          <w:color w:val="000000" w:themeColor="text1"/>
          <w:szCs w:val="24"/>
          <w14:textFill>
            <w14:solidFill>
              <w14:schemeClr w14:val="tx1"/>
            </w14:solidFill>
          </w14:textFill>
        </w:rPr>
        <w:fldChar w:fldCharType="end"/>
      </w:r>
      <w:r>
        <w:rPr>
          <w:b/>
          <w:color w:val="000000" w:themeColor="text1"/>
          <w:szCs w:val="24"/>
          <w14:textFill>
            <w14:solidFill>
              <w14:schemeClr w14:val="tx1"/>
            </w14:solidFill>
          </w14:textFill>
        </w:rPr>
        <w:t xml:space="preserve">  环境保护图形符号一览表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749"/>
        <w:gridCol w:w="1865"/>
        <w:gridCol w:w="1743"/>
        <w:gridCol w:w="3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序号</w:t>
            </w:r>
          </w:p>
        </w:tc>
        <w:tc>
          <w:tcPr>
            <w:tcW w:w="946"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提示图形符号</w:t>
            </w:r>
          </w:p>
        </w:tc>
        <w:tc>
          <w:tcPr>
            <w:tcW w:w="1009"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警告图形符号</w:t>
            </w:r>
          </w:p>
        </w:tc>
        <w:tc>
          <w:tcPr>
            <w:tcW w:w="943"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名称</w:t>
            </w:r>
          </w:p>
        </w:tc>
        <w:tc>
          <w:tcPr>
            <w:tcW w:w="1694" w:type="pct"/>
            <w:noWrap w:val="0"/>
            <w:vAlign w:val="center"/>
          </w:tcPr>
          <w:p>
            <w:pPr>
              <w:pStyle w:val="116"/>
              <w:keepNext w:val="0"/>
              <w:keepLines w:val="0"/>
              <w:suppressLineNumbers w:val="0"/>
              <w:spacing w:before="0" w:beforeAutospacing="0" w:after="0" w:afterAutospacing="0"/>
              <w:ind w:left="0" w:right="0"/>
              <w:rPr>
                <w:bCs/>
                <w:color w:val="000000" w:themeColor="text1"/>
                <w14:textFill>
                  <w14:solidFill>
                    <w14:schemeClr w14:val="tx1"/>
                  </w14:solidFill>
                </w14:textFill>
              </w:rPr>
            </w:pPr>
            <w:r>
              <w:rPr>
                <w:bCs/>
                <w:color w:val="000000" w:themeColor="text1"/>
                <w14:textFill>
                  <w14:solidFill>
                    <w14:schemeClr w14:val="tx1"/>
                  </w14:solidFill>
                </w14:textFill>
              </w:rPr>
              <w:t>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1</w:t>
            </w:r>
          </w:p>
        </w:tc>
        <w:tc>
          <w:tcPr>
            <w:tcW w:w="946"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44220" cy="765810"/>
                  <wp:effectExtent l="0" t="0" r="17780" b="15240"/>
                  <wp:docPr id="22" name="图片 9" descr="C:\Users\123\AppData\Local\Temp\ksohtml78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C:\Users\123\AppData\Local\Temp\ksohtml7816\wps1.jpg"/>
                          <pic:cNvPicPr>
                            <a:picLocks noChangeAspect="1"/>
                          </pic:cNvPicPr>
                        </pic:nvPicPr>
                        <pic:blipFill>
                          <a:blip r:embed="rId69"/>
                          <a:stretch>
                            <a:fillRect/>
                          </a:stretch>
                        </pic:blipFill>
                        <pic:spPr>
                          <a:xfrm>
                            <a:off x="0" y="0"/>
                            <a:ext cx="744220" cy="765810"/>
                          </a:xfrm>
                          <a:prstGeom prst="rect">
                            <a:avLst/>
                          </a:prstGeom>
                          <a:noFill/>
                          <a:ln>
                            <a:noFill/>
                          </a:ln>
                        </pic:spPr>
                      </pic:pic>
                    </a:graphicData>
                  </a:graphic>
                </wp:inline>
              </w:drawing>
            </w:r>
          </w:p>
        </w:tc>
        <w:tc>
          <w:tcPr>
            <w:tcW w:w="1009"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800735"/>
                  <wp:effectExtent l="0" t="0" r="13335" b="18415"/>
                  <wp:docPr id="23" name="图片 10" descr="C:\Users\123\AppData\Local\Temp\ksohtml781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C:\Users\123\AppData\Local\Temp\ksohtml7816\wps2.jpg"/>
                          <pic:cNvPicPr>
                            <a:picLocks noChangeAspect="1"/>
                          </pic:cNvPicPr>
                        </pic:nvPicPr>
                        <pic:blipFill>
                          <a:blip r:embed="rId70"/>
                          <a:stretch>
                            <a:fillRect/>
                          </a:stretch>
                        </pic:blipFill>
                        <pic:spPr>
                          <a:xfrm>
                            <a:off x="0" y="0"/>
                            <a:ext cx="786765" cy="800735"/>
                          </a:xfrm>
                          <a:prstGeom prst="rect">
                            <a:avLst/>
                          </a:prstGeom>
                          <a:noFill/>
                          <a:ln>
                            <a:noFill/>
                          </a:ln>
                        </pic:spPr>
                      </pic:pic>
                    </a:graphicData>
                  </a:graphic>
                </wp:inline>
              </w:drawing>
            </w:r>
          </w:p>
        </w:tc>
        <w:tc>
          <w:tcPr>
            <w:tcW w:w="943"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废水排放口</w:t>
            </w:r>
          </w:p>
        </w:tc>
        <w:tc>
          <w:tcPr>
            <w:tcW w:w="1694"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表示废水向外环境排放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46"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2795" cy="786765"/>
                  <wp:effectExtent l="0" t="0" r="8255" b="13335"/>
                  <wp:docPr id="24" name="图片 11" descr="C:\Users\123\AppData\Local\Temp\ksohtml781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123\AppData\Local\Temp\ksohtml7816\wps3.jpg"/>
                          <pic:cNvPicPr>
                            <a:picLocks noChangeAspect="1"/>
                          </pic:cNvPicPr>
                        </pic:nvPicPr>
                        <pic:blipFill>
                          <a:blip r:embed="rId71"/>
                          <a:stretch>
                            <a:fillRect/>
                          </a:stretch>
                        </pic:blipFill>
                        <pic:spPr>
                          <a:xfrm>
                            <a:off x="0" y="0"/>
                            <a:ext cx="772795" cy="786765"/>
                          </a:xfrm>
                          <a:prstGeom prst="rect">
                            <a:avLst/>
                          </a:prstGeom>
                          <a:noFill/>
                          <a:ln>
                            <a:noFill/>
                          </a:ln>
                        </pic:spPr>
                      </pic:pic>
                    </a:graphicData>
                  </a:graphic>
                </wp:inline>
              </w:drawing>
            </w:r>
          </w:p>
        </w:tc>
        <w:tc>
          <w:tcPr>
            <w:tcW w:w="1009"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786765"/>
                  <wp:effectExtent l="0" t="0" r="13335" b="13335"/>
                  <wp:docPr id="25" name="图片 12" descr="C:\Users\123\AppData\Local\Temp\ksohtml781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C:\Users\123\AppData\Local\Temp\ksohtml7816\wps4.jpg"/>
                          <pic:cNvPicPr>
                            <a:picLocks noChangeAspect="1"/>
                          </pic:cNvPicPr>
                        </pic:nvPicPr>
                        <pic:blipFill>
                          <a:blip r:embed="rId72"/>
                          <a:stretch>
                            <a:fillRect/>
                          </a:stretch>
                        </pic:blipFill>
                        <pic:spPr>
                          <a:xfrm>
                            <a:off x="0" y="0"/>
                            <a:ext cx="786765" cy="786765"/>
                          </a:xfrm>
                          <a:prstGeom prst="rect">
                            <a:avLst/>
                          </a:prstGeom>
                          <a:noFill/>
                          <a:ln>
                            <a:noFill/>
                          </a:ln>
                        </pic:spPr>
                      </pic:pic>
                    </a:graphicData>
                  </a:graphic>
                </wp:inline>
              </w:drawing>
            </w:r>
          </w:p>
        </w:tc>
        <w:tc>
          <w:tcPr>
            <w:tcW w:w="943"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废气排放口</w:t>
            </w:r>
          </w:p>
        </w:tc>
        <w:tc>
          <w:tcPr>
            <w:tcW w:w="1694"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3</w:t>
            </w:r>
          </w:p>
        </w:tc>
        <w:tc>
          <w:tcPr>
            <w:tcW w:w="946"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786765"/>
                  <wp:effectExtent l="0" t="0" r="13335" b="13335"/>
                  <wp:docPr id="26" name="图片 13" descr="C:\Users\123\AppData\Local\Temp\ksohtml781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C:\Users\123\AppData\Local\Temp\ksohtml7816\wps5.jpg"/>
                          <pic:cNvPicPr>
                            <a:picLocks noChangeAspect="1"/>
                          </pic:cNvPicPr>
                        </pic:nvPicPr>
                        <pic:blipFill>
                          <a:blip r:embed="rId73"/>
                          <a:stretch>
                            <a:fillRect/>
                          </a:stretch>
                        </pic:blipFill>
                        <pic:spPr>
                          <a:xfrm>
                            <a:off x="0" y="0"/>
                            <a:ext cx="786765" cy="786765"/>
                          </a:xfrm>
                          <a:prstGeom prst="rect">
                            <a:avLst/>
                          </a:prstGeom>
                          <a:noFill/>
                          <a:ln>
                            <a:noFill/>
                          </a:ln>
                        </pic:spPr>
                      </pic:pic>
                    </a:graphicData>
                  </a:graphic>
                </wp:inline>
              </w:drawing>
            </w:r>
          </w:p>
        </w:tc>
        <w:tc>
          <w:tcPr>
            <w:tcW w:w="1009"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2795" cy="723265"/>
                  <wp:effectExtent l="0" t="0" r="8255" b="635"/>
                  <wp:docPr id="27" name="图片 14" descr="C:\Users\123\AppData\Local\Temp\ksohtml781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C:\Users\123\AppData\Local\Temp\ksohtml7816\wps6.jpg"/>
                          <pic:cNvPicPr>
                            <a:picLocks noChangeAspect="1"/>
                          </pic:cNvPicPr>
                        </pic:nvPicPr>
                        <pic:blipFill>
                          <a:blip r:embed="rId74"/>
                          <a:stretch>
                            <a:fillRect/>
                          </a:stretch>
                        </pic:blipFill>
                        <pic:spPr>
                          <a:xfrm>
                            <a:off x="0" y="0"/>
                            <a:ext cx="772795" cy="723265"/>
                          </a:xfrm>
                          <a:prstGeom prst="rect">
                            <a:avLst/>
                          </a:prstGeom>
                          <a:noFill/>
                          <a:ln>
                            <a:noFill/>
                          </a:ln>
                        </pic:spPr>
                      </pic:pic>
                    </a:graphicData>
                  </a:graphic>
                </wp:inline>
              </w:drawing>
            </w:r>
          </w:p>
        </w:tc>
        <w:tc>
          <w:tcPr>
            <w:tcW w:w="943"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一般固体废物</w:t>
            </w:r>
          </w:p>
        </w:tc>
        <w:tc>
          <w:tcPr>
            <w:tcW w:w="1694"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表示一般固体废物贮存、处置场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4</w:t>
            </w:r>
          </w:p>
        </w:tc>
        <w:tc>
          <w:tcPr>
            <w:tcW w:w="946"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786765"/>
                  <wp:effectExtent l="0" t="0" r="13335" b="13335"/>
                  <wp:docPr id="28" name="图片 15" descr="C:\Users\123\AppData\Local\Temp\ksohtml781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C:\Users\123\AppData\Local\Temp\ksohtml7816\wps7.jpg"/>
                          <pic:cNvPicPr>
                            <a:picLocks noChangeAspect="1"/>
                          </pic:cNvPicPr>
                        </pic:nvPicPr>
                        <pic:blipFill>
                          <a:blip r:embed="rId75"/>
                          <a:stretch>
                            <a:fillRect/>
                          </a:stretch>
                        </pic:blipFill>
                        <pic:spPr>
                          <a:xfrm>
                            <a:off x="0" y="0"/>
                            <a:ext cx="786765" cy="786765"/>
                          </a:xfrm>
                          <a:prstGeom prst="rect">
                            <a:avLst/>
                          </a:prstGeom>
                          <a:noFill/>
                          <a:ln>
                            <a:noFill/>
                          </a:ln>
                        </pic:spPr>
                      </pic:pic>
                    </a:graphicData>
                  </a:graphic>
                </wp:inline>
              </w:drawing>
            </w:r>
          </w:p>
        </w:tc>
        <w:tc>
          <w:tcPr>
            <w:tcW w:w="1009"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64870" cy="772795"/>
                  <wp:effectExtent l="0" t="0" r="11430" b="8255"/>
                  <wp:docPr id="29" name="图片 16" descr="C:\Users\123\AppData\Local\Temp\ksohtml781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C:\Users\123\AppData\Local\Temp\ksohtml7816\wps8.jpg"/>
                          <pic:cNvPicPr>
                            <a:picLocks noChangeAspect="1"/>
                          </pic:cNvPicPr>
                        </pic:nvPicPr>
                        <pic:blipFill>
                          <a:blip r:embed="rId76"/>
                          <a:stretch>
                            <a:fillRect/>
                          </a:stretch>
                        </pic:blipFill>
                        <pic:spPr>
                          <a:xfrm>
                            <a:off x="0" y="0"/>
                            <a:ext cx="864870" cy="772795"/>
                          </a:xfrm>
                          <a:prstGeom prst="rect">
                            <a:avLst/>
                          </a:prstGeom>
                          <a:noFill/>
                          <a:ln>
                            <a:noFill/>
                          </a:ln>
                        </pic:spPr>
                      </pic:pic>
                    </a:graphicData>
                  </a:graphic>
                </wp:inline>
              </w:drawing>
            </w:r>
          </w:p>
        </w:tc>
        <w:tc>
          <w:tcPr>
            <w:tcW w:w="943"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噪声排放源</w:t>
            </w:r>
          </w:p>
        </w:tc>
        <w:tc>
          <w:tcPr>
            <w:tcW w:w="1694"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5</w:t>
            </w:r>
          </w:p>
        </w:tc>
        <w:tc>
          <w:tcPr>
            <w:tcW w:w="946"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w:t>
            </w:r>
          </w:p>
        </w:tc>
        <w:tc>
          <w:tcPr>
            <w:tcW w:w="1009"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7885" cy="765810"/>
                  <wp:effectExtent l="0" t="0" r="18415" b="15240"/>
                  <wp:docPr id="30" name="图片 17" descr="C:\Users\123\AppData\Local\Temp\ksohtml78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C:\Users\123\AppData\Local\Temp\ksohtml7816\wps9.png"/>
                          <pic:cNvPicPr>
                            <a:picLocks noChangeAspect="1"/>
                          </pic:cNvPicPr>
                        </pic:nvPicPr>
                        <pic:blipFill>
                          <a:blip r:embed="rId77"/>
                          <a:stretch>
                            <a:fillRect/>
                          </a:stretch>
                        </pic:blipFill>
                        <pic:spPr>
                          <a:xfrm>
                            <a:off x="0" y="0"/>
                            <a:ext cx="857885" cy="765810"/>
                          </a:xfrm>
                          <a:prstGeom prst="rect">
                            <a:avLst/>
                          </a:prstGeom>
                          <a:noFill/>
                          <a:ln>
                            <a:noFill/>
                          </a:ln>
                        </pic:spPr>
                      </pic:pic>
                    </a:graphicData>
                  </a:graphic>
                </wp:inline>
              </w:drawing>
            </w:r>
          </w:p>
        </w:tc>
        <w:tc>
          <w:tcPr>
            <w:tcW w:w="943"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1694" w:type="pct"/>
            <w:noWrap w:val="0"/>
            <w:vAlign w:val="center"/>
          </w:tcPr>
          <w:p>
            <w:pPr>
              <w:pStyle w:val="116"/>
              <w:keepNext w:val="0"/>
              <w:keepLines w:val="0"/>
              <w:suppressLineNumbers w:val="0"/>
              <w:spacing w:before="0" w:beforeAutospacing="0" w:after="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t>表示危险废物贮存、处置场</w:t>
            </w:r>
          </w:p>
        </w:tc>
      </w:tr>
    </w:tbl>
    <w:p>
      <w:pPr>
        <w:pStyle w:val="5"/>
        <w:rPr>
          <w:color w:val="000000" w:themeColor="text1"/>
          <w14:textFill>
            <w14:solidFill>
              <w14:schemeClr w14:val="tx1"/>
            </w14:solidFill>
          </w14:textFill>
        </w:rPr>
      </w:pPr>
      <w:bookmarkStart w:id="557" w:name="_Toc532376175"/>
      <w:bookmarkStart w:id="558" w:name="_Toc532497706"/>
      <w:bookmarkStart w:id="559" w:name="_Toc532498768"/>
      <w:bookmarkStart w:id="560" w:name="_Toc532763232"/>
      <w:r>
        <w:rPr>
          <w:color w:val="000000" w:themeColor="text1"/>
          <w14:textFill>
            <w14:solidFill>
              <w14:schemeClr w14:val="tx1"/>
            </w14:solidFill>
          </w14:textFill>
        </w:rPr>
        <w:t>排污口规范化管理</w:t>
      </w:r>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排污口应按以下规范要求：</w:t>
      </w:r>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（1）排污口应符合“一明显二合理三便于”的要求，即环保标志明显；排污口设置合理，排污去向合理；便于采集样品、便于监测计量、便于公众参与监督管理。</w:t>
      </w:r>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（2）排污口必须按照国家环保部制定的《环境保护图形标志实施细则》相关规定，设置与排污口相应的环境保护图形标志牌。</w:t>
      </w:r>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（3）建设项目设置排污口时，需经负责审批环境影响评价报告书的环保部门审查批准。</w:t>
      </w:r>
    </w:p>
    <w:p>
      <w:pPr>
        <w:pStyle w:val="5"/>
        <w:rPr>
          <w:color w:val="000000" w:themeColor="text1"/>
          <w14:textFill>
            <w14:solidFill>
              <w14:schemeClr w14:val="tx1"/>
            </w14:solidFill>
          </w14:textFill>
        </w:rPr>
      </w:pPr>
      <w:r>
        <w:rPr>
          <w:color w:val="000000" w:themeColor="text1"/>
          <w14:textFill>
            <w14:solidFill>
              <w14:schemeClr w14:val="tx1"/>
            </w14:solidFill>
          </w14:textFill>
        </w:rPr>
        <w:t>排污口建档管理</w:t>
      </w:r>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（1）本项目应使用国家环保部统一印制的《中华人民共和国规范化排污口标志登记证》，并按要求填写有关内容；</w:t>
      </w:r>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（2）根据排污口管理内容要求，项目应将主要污染物种类、数量、浓度、排放去向、达标情况及设施运行情况记录于档案。</w:t>
      </w:r>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（3）对于排污档案要做好保存工作，积极配合有关部门定期或不定期的检查。</w:t>
      </w:r>
    </w:p>
    <w:p>
      <w:pPr>
        <w:pStyle w:val="4"/>
        <w:rPr>
          <w:color w:val="000000" w:themeColor="text1"/>
          <w14:textFill>
            <w14:solidFill>
              <w14:schemeClr w14:val="tx1"/>
            </w14:solidFill>
          </w14:textFill>
        </w:rPr>
      </w:pPr>
      <w:bookmarkStart w:id="561" w:name="_Toc1681"/>
      <w:r>
        <w:rPr>
          <w:color w:val="000000" w:themeColor="text1"/>
          <w14:textFill>
            <w14:solidFill>
              <w14:schemeClr w14:val="tx1"/>
            </w14:solidFill>
          </w14:textFill>
        </w:rPr>
        <w:t>项目竣工验收一览表</w:t>
      </w:r>
      <w:bookmarkEnd w:id="561"/>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本项目竣工验收内容见下表所示。</w:t>
      </w:r>
    </w:p>
    <w:p>
      <w:pPr>
        <w:keepNext/>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STYLEREF 2 \s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11</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4</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noBreakHyphen/>
      </w:r>
      <w:r>
        <w:rPr>
          <w:b/>
          <w:color w:val="000000" w:themeColor="text1"/>
          <w14:textFill>
            <w14:solidFill>
              <w14:schemeClr w14:val="tx1"/>
            </w14:solidFill>
          </w14:textFill>
        </w:rPr>
        <w:fldChar w:fldCharType="begin"/>
      </w:r>
      <w:r>
        <w:rPr>
          <w:b/>
          <w:color w:val="000000" w:themeColor="text1"/>
          <w14:textFill>
            <w14:solidFill>
              <w14:schemeClr w14:val="tx1"/>
            </w14:solidFill>
          </w14:textFill>
        </w:rPr>
        <w:instrText xml:space="preserve"> SEQ 表 \* ARABIC \s 2 </w:instrText>
      </w:r>
      <w:r>
        <w:rPr>
          <w:b/>
          <w:color w:val="000000" w:themeColor="text1"/>
          <w14:textFill>
            <w14:solidFill>
              <w14:schemeClr w14:val="tx1"/>
            </w14:solidFill>
          </w14:textFill>
        </w:rPr>
        <w:fldChar w:fldCharType="separate"/>
      </w:r>
      <w:r>
        <w:rPr>
          <w:b/>
          <w:color w:val="000000" w:themeColor="text1"/>
          <w14:textFill>
            <w14:solidFill>
              <w14:schemeClr w14:val="tx1"/>
            </w14:solidFill>
          </w14:textFill>
        </w:rPr>
        <w:t>1</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 xml:space="preserve">  项目竣工验收一览表</w:t>
      </w:r>
    </w:p>
    <w:tbl>
      <w:tblPr>
        <w:tblStyle w:val="41"/>
        <w:tblW w:w="504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541"/>
        <w:gridCol w:w="572"/>
        <w:gridCol w:w="1792"/>
        <w:gridCol w:w="1559"/>
        <w:gridCol w:w="3121"/>
        <w:gridCol w:w="1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序号</w:t>
            </w:r>
          </w:p>
        </w:tc>
        <w:tc>
          <w:tcPr>
            <w:tcW w:w="597" w:type="pct"/>
            <w:gridSpan w:val="2"/>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工程类别</w:t>
            </w:r>
          </w:p>
        </w:tc>
        <w:tc>
          <w:tcPr>
            <w:tcW w:w="96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环保措施及检查内容</w:t>
            </w:r>
          </w:p>
        </w:tc>
        <w:tc>
          <w:tcPr>
            <w:tcW w:w="835"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监测项目</w:t>
            </w:r>
          </w:p>
        </w:tc>
        <w:tc>
          <w:tcPr>
            <w:tcW w:w="167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执行标准</w:t>
            </w:r>
          </w:p>
        </w:tc>
        <w:tc>
          <w:tcPr>
            <w:tcW w:w="68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监测位置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1</w:t>
            </w:r>
          </w:p>
        </w:tc>
        <w:tc>
          <w:tcPr>
            <w:tcW w:w="2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废水</w:t>
            </w:r>
          </w:p>
        </w:tc>
        <w:tc>
          <w:tcPr>
            <w:tcW w:w="30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生产废水</w:t>
            </w:r>
          </w:p>
        </w:tc>
        <w:tc>
          <w:tcPr>
            <w:tcW w:w="96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雨污分流、清污分流，排污口规范化建设，设置标志牌</w:t>
            </w:r>
          </w:p>
        </w:tc>
        <w:tc>
          <w:tcPr>
            <w:tcW w:w="835" w:type="pct"/>
            <w:noWrap w:val="0"/>
            <w:vAlign w:val="center"/>
          </w:tcPr>
          <w:p>
            <w:pPr>
              <w:pStyle w:val="112"/>
              <w:keepNext w:val="0"/>
              <w:keepLines w:val="0"/>
              <w:suppressLineNumbers w:val="0"/>
              <w:adjustRightInd w:val="0"/>
              <w:snapToGrid w:val="0"/>
              <w:spacing w:before="24" w:beforeAutospacing="0" w:after="0" w:afterAutospacing="0"/>
              <w:ind w:left="116" w:right="-29"/>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2"/>
                <w:sz w:val="21"/>
                <w:szCs w:val="21"/>
                <w14:textFill>
                  <w14:solidFill>
                    <w14:schemeClr w14:val="tx1"/>
                  </w14:solidFill>
                </w14:textFill>
              </w:rPr>
              <w:t>流量</w:t>
            </w:r>
            <w:r>
              <w:rPr>
                <w:rFonts w:ascii="Times New Roman" w:hAnsi="Times New Roman" w:eastAsia="MS Gothic"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pH、COD</w:t>
            </w:r>
            <w:r>
              <w:rPr>
                <w:rFonts w:ascii="Times New Roman" w:hAnsi="Times New Roman" w:cs="Times New Roman"/>
                <w:color w:val="000000" w:themeColor="text1"/>
                <w:sz w:val="21"/>
                <w:szCs w:val="21"/>
                <w:vertAlign w:val="subscript"/>
                <w14:textFill>
                  <w14:solidFill>
                    <w14:schemeClr w14:val="tx1"/>
                  </w14:solidFill>
                </w14:textFill>
              </w:rPr>
              <w:t>Cr</w:t>
            </w:r>
            <w:r>
              <w:rPr>
                <w:rFonts w:ascii="Times New Roman" w:hAnsi="Times New Roman" w:cs="Times New Roman"/>
                <w:color w:val="000000" w:themeColor="text1"/>
                <w:sz w:val="21"/>
                <w:szCs w:val="21"/>
                <w14:textFill>
                  <w14:solidFill>
                    <w14:schemeClr w14:val="tx1"/>
                  </w14:solidFill>
                </w14:textFill>
              </w:rPr>
              <w:t>、氨</w:t>
            </w:r>
            <w:r>
              <w:rPr>
                <w:rFonts w:ascii="Times New Roman" w:hAnsi="Times New Roman" w:cs="Times New Roman"/>
                <w:color w:val="000000" w:themeColor="text1"/>
                <w:spacing w:val="-2"/>
                <w:sz w:val="21"/>
                <w:szCs w:val="21"/>
                <w14:textFill>
                  <w14:solidFill>
                    <w14:schemeClr w14:val="tx1"/>
                  </w14:solidFill>
                </w14:textFill>
              </w:rPr>
              <w:t>氮、</w:t>
            </w:r>
            <w:r>
              <w:rPr>
                <w:rFonts w:ascii="Times New Roman" w:hAnsi="Times New Roman" w:cs="Times New Roman"/>
                <w:color w:val="000000" w:themeColor="text1"/>
                <w:sz w:val="21"/>
                <w:szCs w:val="21"/>
                <w14:textFill>
                  <w14:solidFill>
                    <w14:schemeClr w14:val="tx1"/>
                  </w14:solidFill>
                </w14:textFill>
              </w:rPr>
              <w:t>BOD</w:t>
            </w:r>
            <w:r>
              <w:rPr>
                <w:rFonts w:ascii="Times New Roman" w:hAnsi="Times New Roman" w:cs="Times New Roman"/>
                <w:color w:val="000000" w:themeColor="text1"/>
                <w:sz w:val="21"/>
                <w:szCs w:val="21"/>
                <w:vertAlign w:val="subscript"/>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t>、SS、石油类</w:t>
            </w:r>
          </w:p>
        </w:tc>
        <w:tc>
          <w:tcPr>
            <w:tcW w:w="1673" w:type="pct"/>
            <w:noWrap w:val="0"/>
            <w:vAlign w:val="center"/>
          </w:tcPr>
          <w:p>
            <w:pPr>
              <w:pStyle w:val="112"/>
              <w:keepNext w:val="0"/>
              <w:keepLines w:val="0"/>
              <w:suppressLineNumbers w:val="0"/>
              <w:adjustRightInd w:val="0"/>
              <w:snapToGrid w:val="0"/>
              <w:spacing w:before="24" w:beforeAutospacing="0" w:after="0" w:afterAutospacing="0"/>
              <w:ind w:left="116" w:right="28" w:hanging="5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5"/>
                <w:sz w:val="21"/>
                <w:szCs w:val="21"/>
                <w14:textFill>
                  <w14:solidFill>
                    <w14:schemeClr w14:val="tx1"/>
                  </w14:solidFill>
                </w14:textFill>
              </w:rPr>
              <w:t>巴陵石化接管标准及《</w:t>
            </w:r>
            <w:r>
              <w:rPr>
                <w:rFonts w:hint="eastAsia" w:ascii="Times New Roman" w:hAnsi="Times New Roman" w:cs="Times New Roman"/>
                <w:color w:val="000000" w:themeColor="text1"/>
                <w:spacing w:val="-5"/>
                <w:sz w:val="21"/>
                <w:szCs w:val="21"/>
                <w:lang w:eastAsia="zh-CN"/>
                <w14:textFill>
                  <w14:solidFill>
                    <w14:schemeClr w14:val="tx1"/>
                  </w14:solidFill>
                </w14:textFill>
              </w:rPr>
              <w:t>石油炼制工业污染物排放标准》</w:t>
            </w:r>
            <w:r>
              <w:rPr>
                <w:rFonts w:ascii="Times New Roman" w:hAnsi="Times New Roman" w:cs="Times New Roman"/>
                <w:color w:val="000000" w:themeColor="text1"/>
                <w:spacing w:val="-3"/>
                <w:sz w:val="21"/>
                <w:szCs w:val="21"/>
                <w14:textFill>
                  <w14:solidFill>
                    <w14:schemeClr w14:val="tx1"/>
                  </w14:solidFill>
                </w14:textFill>
              </w:rPr>
              <w:t>（GB3157</w:t>
            </w:r>
            <w:r>
              <w:rPr>
                <w:rFonts w:hint="eastAsia" w:ascii="Times New Roman" w:hAnsi="Times New Roman" w:cs="Times New Roman"/>
                <w:color w:val="000000" w:themeColor="text1"/>
                <w:spacing w:val="-3"/>
                <w:sz w:val="21"/>
                <w:szCs w:val="21"/>
                <w:lang w:val="en-US" w:eastAsia="zh-CN"/>
                <w14:textFill>
                  <w14:solidFill>
                    <w14:schemeClr w14:val="tx1"/>
                  </w14:solidFill>
                </w14:textFill>
              </w:rPr>
              <w:t>0</w:t>
            </w:r>
            <w:r>
              <w:rPr>
                <w:rFonts w:ascii="Times New Roman" w:hAnsi="Times New Roman" w:cs="Times New Roman"/>
                <w:color w:val="000000" w:themeColor="text1"/>
                <w:spacing w:val="-3"/>
                <w:sz w:val="21"/>
                <w:szCs w:val="21"/>
                <w14:textFill>
                  <w14:solidFill>
                    <w14:schemeClr w14:val="tx1"/>
                  </w14:solidFill>
                </w14:textFill>
              </w:rPr>
              <w:t>-2015）</w:t>
            </w:r>
            <w:r>
              <w:rPr>
                <w:rFonts w:ascii="Times New Roman" w:hAnsi="Times New Roman" w:cs="Times New Roman"/>
                <w:color w:val="000000" w:themeColor="text1"/>
                <w:spacing w:val="-24"/>
                <w:sz w:val="21"/>
                <w:szCs w:val="21"/>
                <w14:textFill>
                  <w14:solidFill>
                    <w14:schemeClr w14:val="tx1"/>
                  </w14:solidFill>
                </w14:textFill>
              </w:rPr>
              <w:t xml:space="preserve">表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ascii="Times New Roman" w:hAnsi="Times New Roman" w:cs="Times New Roman"/>
                <w:color w:val="000000" w:themeColor="text1"/>
                <w:spacing w:val="-5"/>
                <w:sz w:val="21"/>
                <w:szCs w:val="21"/>
                <w14:textFill>
                  <w14:solidFill>
                    <w14:schemeClr w14:val="tx1"/>
                  </w14:solidFill>
                </w14:textFill>
              </w:rPr>
              <w:t>水污染间接排放限值</w:t>
            </w:r>
          </w:p>
        </w:tc>
        <w:tc>
          <w:tcPr>
            <w:tcW w:w="683"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处理设施进出口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2</w:t>
            </w:r>
          </w:p>
        </w:tc>
        <w:tc>
          <w:tcPr>
            <w:tcW w:w="2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废气</w:t>
            </w:r>
          </w:p>
        </w:tc>
        <w:tc>
          <w:tcPr>
            <w:tcW w:w="30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无组织废气</w:t>
            </w:r>
          </w:p>
        </w:tc>
        <w:tc>
          <w:tcPr>
            <w:tcW w:w="961"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选择合格的密封管道，经常开展泄漏检测</w:t>
            </w:r>
          </w:p>
        </w:tc>
        <w:tc>
          <w:tcPr>
            <w:tcW w:w="835"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VOCs</w:t>
            </w:r>
          </w:p>
        </w:tc>
        <w:tc>
          <w:tcPr>
            <w:tcW w:w="1673"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厂界非甲烷总烃满足</w:t>
            </w:r>
            <w:r>
              <w:rPr>
                <w:rFonts w:ascii="Times New Roman" w:hAnsi="Times New Roman" w:eastAsia="宋体" w:cs="Times New Roman"/>
                <w:color w:val="000000" w:themeColor="text1"/>
                <w:spacing w:val="-5"/>
                <w:sz w:val="21"/>
                <w:szCs w:val="21"/>
                <w14:textFill>
                  <w14:solidFill>
                    <w14:schemeClr w14:val="tx1"/>
                  </w14:solidFill>
                </w14:textFill>
              </w:rPr>
              <w:t>《</w:t>
            </w:r>
            <w:r>
              <w:rPr>
                <w:rFonts w:hint="eastAsia" w:ascii="Times New Roman" w:hAnsi="Times New Roman" w:eastAsia="宋体" w:cs="Times New Roman"/>
                <w:color w:val="000000" w:themeColor="text1"/>
                <w:spacing w:val="-5"/>
                <w:sz w:val="21"/>
                <w:szCs w:val="21"/>
                <w:lang w:eastAsia="zh-CN"/>
                <w14:textFill>
                  <w14:solidFill>
                    <w14:schemeClr w14:val="tx1"/>
                  </w14:solidFill>
                </w14:textFill>
              </w:rPr>
              <w:t>石油炼制工业污染物排放标准》</w:t>
            </w:r>
            <w:r>
              <w:rPr>
                <w:rFonts w:ascii="Times New Roman" w:hAnsi="Times New Roman" w:eastAsia="宋体" w:cs="Times New Roman"/>
                <w:color w:val="000000" w:themeColor="text1"/>
                <w:spacing w:val="-3"/>
                <w:sz w:val="21"/>
                <w:szCs w:val="21"/>
                <w14:textFill>
                  <w14:solidFill>
                    <w14:schemeClr w14:val="tx1"/>
                  </w14:solidFill>
                </w14:textFill>
              </w:rPr>
              <w:t>（GB3157</w:t>
            </w:r>
            <w:r>
              <w:rPr>
                <w:rFonts w:hint="eastAsia" w:ascii="Times New Roman" w:hAnsi="Times New Roman" w:eastAsia="宋体" w:cs="Times New Roman"/>
                <w:color w:val="000000" w:themeColor="text1"/>
                <w:spacing w:val="-3"/>
                <w:sz w:val="21"/>
                <w:szCs w:val="21"/>
                <w:lang w:val="en-US" w:eastAsia="zh-CN"/>
                <w14:textFill>
                  <w14:solidFill>
                    <w14:schemeClr w14:val="tx1"/>
                  </w14:solidFill>
                </w14:textFill>
              </w:rPr>
              <w:t>0</w:t>
            </w:r>
            <w:r>
              <w:rPr>
                <w:rFonts w:ascii="Times New Roman" w:hAnsi="Times New Roman" w:eastAsia="宋体" w:cs="Times New Roman"/>
                <w:color w:val="000000" w:themeColor="text1"/>
                <w:spacing w:val="-3"/>
                <w:sz w:val="21"/>
                <w:szCs w:val="21"/>
                <w14:textFill>
                  <w14:solidFill>
                    <w14:schemeClr w14:val="tx1"/>
                  </w14:solidFill>
                </w14:textFill>
              </w:rPr>
              <w:t>-2015）</w:t>
            </w:r>
            <w:r>
              <w:rPr>
                <w:rFonts w:ascii="Times New Roman" w:hAnsi="Times New Roman" w:eastAsia="宋体" w:cs="Times New Roman"/>
                <w:color w:val="000000" w:themeColor="text1"/>
                <w14:textFill>
                  <w14:solidFill>
                    <w14:schemeClr w14:val="tx1"/>
                  </w14:solidFill>
                </w14:textFill>
              </w:rPr>
              <w:t>的要求；厂区无组织的控制满足《挥发性有机物无组织排放控制标准》（GB37822-2019）的要求</w:t>
            </w:r>
          </w:p>
        </w:tc>
        <w:tc>
          <w:tcPr>
            <w:tcW w:w="68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厂界监控点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3</w:t>
            </w:r>
          </w:p>
        </w:tc>
        <w:tc>
          <w:tcPr>
            <w:tcW w:w="2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噪声</w:t>
            </w:r>
          </w:p>
        </w:tc>
        <w:tc>
          <w:tcPr>
            <w:tcW w:w="30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车间噪声</w:t>
            </w:r>
          </w:p>
        </w:tc>
        <w:tc>
          <w:tcPr>
            <w:tcW w:w="961"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采用低噪声设备， 采取减振、消声等措施</w:t>
            </w:r>
          </w:p>
        </w:tc>
        <w:tc>
          <w:tcPr>
            <w:tcW w:w="835" w:type="pct"/>
            <w:noWrap w:val="0"/>
            <w:vAlign w:val="center"/>
          </w:tcPr>
          <w:p>
            <w:pPr>
              <w:pStyle w:val="112"/>
              <w:keepNext w:val="0"/>
              <w:keepLines w:val="0"/>
              <w:suppressLineNumbers w:val="0"/>
              <w:adjustRightInd w:val="0"/>
              <w:snapToGrid w:val="0"/>
              <w:spacing w:before="0" w:beforeAutospacing="0" w:after="0" w:afterAutospacing="0"/>
              <w:ind w:left="0"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等效连续A 声级</w:t>
            </w:r>
          </w:p>
        </w:tc>
        <w:tc>
          <w:tcPr>
            <w:tcW w:w="1673"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《工业企业厂界环境噪声排放标准》</w:t>
            </w:r>
          </w:p>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（GB12348-2008）3类标准</w:t>
            </w:r>
          </w:p>
        </w:tc>
        <w:tc>
          <w:tcPr>
            <w:tcW w:w="683"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厂界监控点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4</w:t>
            </w:r>
          </w:p>
        </w:tc>
        <w:tc>
          <w:tcPr>
            <w:tcW w:w="2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固废</w:t>
            </w:r>
          </w:p>
        </w:tc>
        <w:tc>
          <w:tcPr>
            <w:tcW w:w="30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危险废物</w:t>
            </w:r>
          </w:p>
        </w:tc>
        <w:tc>
          <w:tcPr>
            <w:tcW w:w="1797" w:type="pct"/>
            <w:gridSpan w:val="2"/>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危险废物厂区暂存，并委托有资质单位处置</w:t>
            </w:r>
          </w:p>
        </w:tc>
        <w:tc>
          <w:tcPr>
            <w:tcW w:w="1673"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《危险废物贮存污染控制标准》（GB18597-2001）及修改单要求</w:t>
            </w:r>
          </w:p>
        </w:tc>
        <w:tc>
          <w:tcPr>
            <w:tcW w:w="683"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厂区内</w:t>
            </w:r>
          </w:p>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48"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5</w:t>
            </w:r>
          </w:p>
        </w:tc>
        <w:tc>
          <w:tcPr>
            <w:tcW w:w="290"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环境风险</w:t>
            </w:r>
          </w:p>
        </w:tc>
        <w:tc>
          <w:tcPr>
            <w:tcW w:w="3777" w:type="pct"/>
            <w:gridSpan w:val="4"/>
            <w:noWrap w:val="0"/>
            <w:vAlign w:val="center"/>
          </w:tcPr>
          <w:p>
            <w:pPr>
              <w:pStyle w:val="112"/>
              <w:keepNext w:val="0"/>
              <w:keepLines w:val="0"/>
              <w:suppressLineNumbers w:val="0"/>
              <w:adjustRightInd w:val="0"/>
              <w:snapToGrid w:val="0"/>
              <w:spacing w:before="0" w:beforeAutospacing="0" w:after="0" w:afterAutospacing="0"/>
              <w:ind w:left="115" w:right="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①核查危险化学品泄漏、火灾、爆炸等环境风险事故的防范措施落实情况。②配备应急设施，成立专门的事故应急小组；核查环境风险事故应急预案制定、报备、演练情况。与巴陵石化分公司突发环境事件应急系统进联防联控</w:t>
            </w:r>
          </w:p>
        </w:tc>
        <w:tc>
          <w:tcPr>
            <w:tcW w:w="683" w:type="pct"/>
            <w:noWrap w:val="0"/>
            <w:vAlign w:val="center"/>
          </w:tcPr>
          <w:p>
            <w:pPr>
              <w:pStyle w:val="126"/>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厂区内</w:t>
            </w:r>
          </w:p>
        </w:tc>
      </w:tr>
    </w:tbl>
    <w:p>
      <w:pPr>
        <w:pStyle w:val="4"/>
        <w:adjustRightInd w:val="0"/>
        <w:snapToGrid w:val="0"/>
        <w:rPr>
          <w:color w:val="000000" w:themeColor="text1"/>
          <w14:textFill>
            <w14:solidFill>
              <w14:schemeClr w14:val="tx1"/>
            </w14:solidFill>
          </w14:textFill>
        </w:rPr>
      </w:pPr>
      <w:bookmarkStart w:id="562" w:name="_Toc15337"/>
      <w:r>
        <w:rPr>
          <w:rFonts w:hint="eastAsia"/>
          <w:color w:val="000000" w:themeColor="text1"/>
          <w:lang w:eastAsia="zh-CN"/>
          <w14:textFill>
            <w14:solidFill>
              <w14:schemeClr w14:val="tx1"/>
            </w14:solidFill>
          </w14:textFill>
        </w:rPr>
        <w:t>与排污许可制度的衔接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根据《排污许可管理办法</w:t>
      </w:r>
      <w:r>
        <w:rPr>
          <w:rFonts w:hint="eastAsia"/>
          <w:color w:val="000000" w:themeColor="text1"/>
          <w:lang w:val="en-US" w:eastAsia="zh-CN"/>
          <w14:textFill>
            <w14:solidFill>
              <w14:schemeClr w14:val="tx1"/>
            </w14:solidFill>
          </w14:textFill>
        </w:rPr>
        <w:t>（试行）</w:t>
      </w:r>
      <w:r>
        <w:rPr>
          <w:rFonts w:hint="eastAsia"/>
          <w:color w:val="000000" w:themeColor="text1"/>
          <w:lang w:eastAsia="zh-CN"/>
          <w14:textFill>
            <w14:solidFill>
              <w14:schemeClr w14:val="tx1"/>
            </w14:solidFill>
          </w14:textFill>
        </w:rPr>
        <w:t>》（环境保护部令第</w:t>
      </w:r>
      <w:r>
        <w:rPr>
          <w:rFonts w:hint="eastAsia"/>
          <w:color w:val="000000" w:themeColor="text1"/>
          <w:lang w:val="en-US" w:eastAsia="zh-CN"/>
          <w14:textFill>
            <w14:solidFill>
              <w14:schemeClr w14:val="tx1"/>
            </w14:solidFill>
          </w14:textFill>
        </w:rPr>
        <w:t>48号</w:t>
      </w:r>
      <w:r>
        <w:rPr>
          <w:rFonts w:hint="eastAsia"/>
          <w:color w:val="000000" w:themeColor="text1"/>
          <w:lang w:eastAsia="zh-CN"/>
          <w14:textFill>
            <w14:solidFill>
              <w14:schemeClr w14:val="tx1"/>
            </w14:solidFill>
          </w14:textFill>
        </w:rPr>
        <w:t>），纳入固定污染源排污许可分类管理名录的企业事业单位和其他生产经营者（以下简称排污单位）应当按照规定的时限申请并取得排污许可证：未纳入固定污染源排污许可分类管理名录的排污单位，暂不需申请排污许可。本项目已纳入《固定污染源排污许可分类管理名录》（</w:t>
      </w:r>
      <w:r>
        <w:rPr>
          <w:rFonts w:hint="eastAsia"/>
          <w:color w:val="000000" w:themeColor="text1"/>
          <w:lang w:val="en-US" w:eastAsia="zh-CN"/>
          <w14:textFill>
            <w14:solidFill>
              <w14:schemeClr w14:val="tx1"/>
            </w14:solidFill>
          </w14:textFill>
        </w:rPr>
        <w:t>2019版</w:t>
      </w:r>
      <w:r>
        <w:rPr>
          <w:rFonts w:hint="eastAsia"/>
          <w:color w:val="000000" w:themeColor="text1"/>
          <w:lang w:eastAsia="zh-CN"/>
          <w14:textFill>
            <w14:solidFill>
              <w14:schemeClr w14:val="tx1"/>
            </w14:solidFill>
          </w14:textFill>
        </w:rPr>
        <w:t>）“二十：石油、煤炭及其他燃料加工业</w:t>
      </w:r>
      <w:r>
        <w:rPr>
          <w:rFonts w:hint="eastAsia"/>
          <w:color w:val="000000" w:themeColor="text1"/>
          <w:lang w:val="en-US" w:eastAsia="zh-CN"/>
          <w14:textFill>
            <w14:solidFill>
              <w14:schemeClr w14:val="tx1"/>
            </w14:solidFill>
          </w14:textFill>
        </w:rPr>
        <w:t>24.精炼石油产品制造251  原油加工及石油制品制造2511，其他原油制造2519，以上均不含单纯混合或分装的</w:t>
      </w:r>
      <w:r>
        <w:rPr>
          <w:rFonts w:hint="eastAsia"/>
          <w:color w:val="000000" w:themeColor="text1"/>
          <w:lang w:eastAsia="zh-CN"/>
          <w14:textFill>
            <w14:solidFill>
              <w14:schemeClr w14:val="tx1"/>
            </w14:solidFill>
          </w14:textFill>
        </w:rPr>
        <w:t>”类别，需申请排污许可证。本项目应当在启动生产设施或者在实际排污之前，申请排污许可证。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此外，根据《建设项目竣工环境保护验收暂行办法》，纳入排污许可管理的建设项目，需要同步取得排污许可证，无证排污</w:t>
      </w:r>
      <w:r>
        <w:rPr>
          <w:rFonts w:hint="eastAsia"/>
          <w:color w:val="000000" w:themeColor="text1"/>
          <w:lang w:val="en-US" w:eastAsia="zh-CN"/>
          <w14:textFill>
            <w14:solidFill>
              <w14:schemeClr w14:val="tx1"/>
            </w14:solidFill>
          </w14:textFill>
        </w:rPr>
        <w:t>证的</w:t>
      </w:r>
      <w:r>
        <w:rPr>
          <w:rFonts w:hint="eastAsia"/>
          <w:color w:val="000000" w:themeColor="text1"/>
          <w:lang w:eastAsia="zh-CN"/>
          <w14:textFill>
            <w14:solidFill>
              <w14:schemeClr w14:val="tx1"/>
            </w14:solidFill>
          </w14:textFill>
        </w:rPr>
        <w:t>建设单位不得提出验收合格的意见。本项目应当在竣工环保验收之前，取得排污许可证。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为贯彻落实《国务院办公厅关于印发控制污染物排放许可制度实施方案的通知》（国办发[</w:t>
      </w:r>
      <w:r>
        <w:rPr>
          <w:rFonts w:hint="eastAsia"/>
          <w:color w:val="000000" w:themeColor="text1"/>
          <w:lang w:val="en-US" w:eastAsia="zh-CN"/>
          <w14:textFill>
            <w14:solidFill>
              <w14:schemeClr w14:val="tx1"/>
            </w14:solidFill>
          </w14:textFill>
        </w:rPr>
        <w:t>2016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81号</w:t>
      </w:r>
      <w:r>
        <w:rPr>
          <w:rFonts w:hint="eastAsia"/>
          <w:color w:val="000000" w:themeColor="text1"/>
          <w:lang w:eastAsia="zh-CN"/>
          <w14:textFill>
            <w14:solidFill>
              <w14:schemeClr w14:val="tx1"/>
            </w14:solidFill>
          </w14:textFill>
        </w:rPr>
        <w:t>）和《环境保护部关于印发&lt;“十三五”环境影响评价改革实施方案&gt;的通知》（环环评[</w:t>
      </w:r>
      <w:r>
        <w:rPr>
          <w:rFonts w:hint="eastAsia"/>
          <w:color w:val="000000" w:themeColor="text1"/>
          <w:lang w:val="en-US" w:eastAsia="zh-CN"/>
          <w14:textFill>
            <w14:solidFill>
              <w14:schemeClr w14:val="tx1"/>
            </w14:solidFill>
          </w14:textFill>
        </w:rPr>
        <w:t>2016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95号</w:t>
      </w:r>
      <w:r>
        <w:rPr>
          <w:rFonts w:hint="eastAsia"/>
          <w:color w:val="000000" w:themeColor="text1"/>
          <w:lang w:eastAsia="zh-CN"/>
          <w14:textFill>
            <w14:solidFill>
              <w14:schemeClr w14:val="tx1"/>
            </w14:solidFill>
          </w14:textFill>
        </w:rPr>
        <w:t>），推进环境质量改善，现就做好建设项目环境影响评价制度与排污许可制有机衔接相关工作通知如下：</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环境影响评价制度是建设项目的环境准入门槛，是申请排污许可证的前提和重要依据。</w:t>
      </w:r>
    </w:p>
    <w:p>
      <w:pPr>
        <w:pStyle w:val="20"/>
        <w:keepNext w:val="0"/>
        <w:keepLines w:val="0"/>
        <w:pageBreakBefore w:val="0"/>
        <w:widowControl w:val="0"/>
        <w:numPr>
          <w:ilvl w:val="0"/>
          <w:numId w:val="19"/>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做好《建设项目环境影响评价分类管理名录》和《固定污染源排污许可分类管理名录》的衔接，按照建设项目对环境的影响程度、污染物产生量和排放量，实行统一分类管理。</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境影响评价审批部门要做好建设项目环境影响报告书（表）的审查，结合排污许可证申请与核发技术规范，核定建设项目的产排污环节、污染物种类及污染防治设施和措施等基本信息；依据国家或地方污染物排污标准、环境质量标准和总量控制要求等管理规定，按照污染源源强核算技术指南、环境影响评价要素导则等技术文件，严格核定排放口数量、位置以及每一个排放口的污染物种类、允许排放浓度和允许排放量、排放方式、排放去向、自行监测计划等与污染物排放相关的主要内容。</w:t>
      </w:r>
    </w:p>
    <w:p>
      <w:pPr>
        <w:pStyle w:val="20"/>
        <w:keepNext w:val="0"/>
        <w:keepLines w:val="0"/>
        <w:pageBreakBefore w:val="0"/>
        <w:widowControl w:val="0"/>
        <w:numPr>
          <w:ilvl w:val="0"/>
          <w:numId w:val="19"/>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分期建设的项目，环境影响报告书（表）以及审批文件应当列明分期建设内容，明确分期实施后排放口数量、位置以及每个排放口的污染物种类、允许排放浓度和允许排放量、排放方式、排放去向、自行监测计划等与污染物排放相关的主要内容，建设单位应据此分期申请排污许可证。</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改扩建项目的环境影响评价，应当将排污许可证执行情况作为现有工程回顾评价的主要依据。</w:t>
      </w:r>
    </w:p>
    <w:p>
      <w:pPr>
        <w:pStyle w:val="20"/>
        <w:keepNext w:val="0"/>
        <w:keepLines w:val="0"/>
        <w:pageBreakBefore w:val="0"/>
        <w:widowControl w:val="0"/>
        <w:numPr>
          <w:ilvl w:val="0"/>
          <w:numId w:val="19"/>
        </w:numPr>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建设项目发生实际排污行为之前，排污单位应当按照国家环境保护相关法律法规以及排污许可证申请与核发技术规范要求申请排污许可证，不得无证排污或不按证排污。</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国家将分行业制定建设项目重大变动清单。建设项目的环境影响写报告书（表）经批准后，建设项目的性质、规模、地点、采用的生产工艺或防治污染、防止生态破坏的措施发生重大变动的，建设单位应当依法重新报批环境影响评价文件，并在申请排污许可时提交重新报批的环评批复（文号）。发生变动但不属于重大变动情形的建设项目，环境影响报告书（表）</w:t>
      </w:r>
      <w:r>
        <w:rPr>
          <w:rFonts w:hint="eastAsia"/>
          <w:color w:val="000000" w:themeColor="text1"/>
          <w:lang w:val="en-US" w:eastAsia="zh-CN"/>
          <w14:textFill>
            <w14:solidFill>
              <w14:schemeClr w14:val="tx1"/>
            </w14:solidFill>
          </w14:textFill>
        </w:rPr>
        <w:t>2015年1月1日（含）后获得批准的，排污许可证核发部门按照污染物排放标准、总量控制要求、环境影响报告书（表）以及审批文件从严核发，其他建设项目由排污许可证核发部门按照排污许可证申请与核发技术规范要求核发。</w:t>
      </w:r>
    </w:p>
    <w:p>
      <w:pPr>
        <w:pStyle w:val="20"/>
        <w:keepNext w:val="0"/>
        <w:keepLines w:val="0"/>
        <w:pageBreakBefore w:val="0"/>
        <w:widowControl w:val="0"/>
        <w:numPr>
          <w:ilvl w:val="0"/>
          <w:numId w:val="19"/>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建设项目涉及“上大压小”“区域（总量）替代”等措施的，环境影响评价审批部门应当审查总量指标来源，依法依规应当取得排污许可证的被替代或关停企业，须明确其排污许可证编码及污染物替代量。排污许可证核发部门应按照环境影响报告书（表）审批文件要求，变更或注销被替代或关停企业的排污许可证。应当取得排污许可证但未取得的企业，不予计算其污染物替代量。</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环境保护部负责统一建设项目环评审批信息申报系统，并与全国排污许可证管理信息平台充分衔接。建设单位在报批建设项目环境影响报告书（表）时，应当登陆建设项目环评审批信息申报系统，在线填报相关信息并对信息的真实性、准确性和完整性负责。</w:t>
      </w:r>
    </w:p>
    <w:p>
      <w:pPr>
        <w:pStyle w:val="20"/>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对环境的影响主要来自营运期的各种作业活动，将会给自然生态环境带来一定的影响。为最大限度地减轻施工期及生产过程对环境的影响，建立科学有效的环境管理制度，落实各项环保和安全措施显得尤为重要。通过建立环境管理体系，提高员工环保意识、规范企业管理，最终实施污染预防、提高综合效益。根据《关于做好环境影响评价制度与排污许可制衔接相关工作通知》（</w:t>
      </w:r>
      <w:r>
        <w:rPr>
          <w:rFonts w:hint="default" w:ascii="Times New Roman" w:hAnsi="Times New Roman" w:cs="Times New Roman"/>
          <w:color w:val="000000" w:themeColor="text1"/>
          <w:lang w:val="en-US" w:eastAsia="zh-CN"/>
          <w14:textFill>
            <w14:solidFill>
              <w14:schemeClr w14:val="tx1"/>
            </w14:solidFill>
          </w14:textFill>
        </w:rPr>
        <w:t>环办环评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[2017]84号</w:t>
      </w:r>
      <w:r>
        <w:rPr>
          <w:rFonts w:hint="eastAsia"/>
          <w:color w:val="000000" w:themeColor="text1"/>
          <w:lang w:val="en-US" w:eastAsia="zh-CN"/>
          <w14:textFill>
            <w14:solidFill>
              <w14:schemeClr w14:val="tx1"/>
            </w14:solidFill>
          </w14:textFill>
        </w:rPr>
        <w:t>），环境管理与环境监察内容结合排污许可证申请与核发相关内容。</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在排污许可管理中，应严格按照本评价的要求核发排污许可证；</w:t>
      </w:r>
    </w:p>
    <w:p>
      <w:pPr>
        <w:pStyle w:val="20"/>
        <w:keepNext w:val="0"/>
        <w:keepLines w:val="0"/>
        <w:pageBreakBefore w:val="0"/>
        <w:widowControl w:val="0"/>
        <w:numPr>
          <w:ilvl w:val="0"/>
          <w:numId w:val="20"/>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在核发排污许可证时应严格核定排污口数量、位置以及每个排放口的污染物种类、允许排放浓度和允许排放量、排放方式、排放去向、自行监测计划等与污染物排放相关的主要内容；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（3）项目在发生实际排污行为之前，排污单位应当按照国家环境保护相关法律法规以及排污许可证申请与核发技术规范要求申请排污许可证，不得无证排污或不按证排污。</w:t>
      </w:r>
    </w:p>
    <w:p>
      <w:pPr>
        <w:pStyle w:val="4"/>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总量控制</w:t>
      </w:r>
      <w:bookmarkEnd w:id="557"/>
      <w:bookmarkEnd w:id="558"/>
      <w:bookmarkEnd w:id="559"/>
      <w:bookmarkEnd w:id="560"/>
      <w:bookmarkEnd w:id="562"/>
    </w:p>
    <w:p>
      <w:pPr>
        <w:pStyle w:val="17"/>
        <w:spacing w:after="0"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按照《国务院关于印发“十三五”节能减排综合性工作方案的通知》（国发[2016]74 号）和湖南省、岳阳市“十三五”主要污染物排放总量控制计划的要求、十三五环境保护规划纲要内容，并结合项目污染源及其源强的分析</w:t>
      </w:r>
      <w:r>
        <w:rPr>
          <w:rFonts w:hint="eastAsia"/>
          <w:color w:val="000000" w:themeColor="text1"/>
          <w:szCs w:val="24"/>
          <w:lang w:eastAsia="zh-CN"/>
          <w14:textFill>
            <w14:solidFill>
              <w14:schemeClr w14:val="tx1"/>
            </w14:solidFill>
          </w14:textFill>
        </w:rPr>
        <w:t>，</w:t>
      </w:r>
      <w:r>
        <w:rPr>
          <w:color w:val="000000" w:themeColor="text1"/>
          <w:szCs w:val="24"/>
          <w14:textFill>
            <w14:solidFill>
              <w14:schemeClr w14:val="tx1"/>
            </w14:solidFill>
          </w14:textFill>
        </w:rPr>
        <w:t>本次环评在达标排放基础上给出该项目污染物排放总量控制建议指标，项目废水经</w:t>
      </w:r>
      <w:r>
        <w:rPr>
          <w:rFonts w:hint="default"/>
          <w:color w:val="000000" w:themeColor="text1"/>
          <w:szCs w:val="24"/>
          <w14:textFill>
            <w14:solidFill>
              <w14:schemeClr w14:val="tx1"/>
            </w14:solidFill>
          </w14:textFill>
        </w:rPr>
        <w:t>巴陵石化水务部云溪生化装置</w:t>
      </w:r>
      <w:r>
        <w:rPr>
          <w:color w:val="000000" w:themeColor="text1"/>
          <w:szCs w:val="24"/>
          <w14:textFill>
            <w14:solidFill>
              <w14:schemeClr w14:val="tx1"/>
            </w14:solidFill>
          </w14:textFill>
        </w:rPr>
        <w:t>处理达到《</w:t>
      </w:r>
      <w:r>
        <w:rPr>
          <w:rFonts w:hint="eastAsia"/>
          <w:color w:val="000000" w:themeColor="text1"/>
          <w:szCs w:val="24"/>
          <w:lang w:eastAsia="zh-CN"/>
          <w14:textFill>
            <w14:solidFill>
              <w14:schemeClr w14:val="tx1"/>
            </w14:solidFill>
          </w14:textFill>
        </w:rPr>
        <w:t>石油炼制工业污染物排放标准》</w:t>
      </w:r>
      <w:r>
        <w:rPr>
          <w:color w:val="000000" w:themeColor="text1"/>
          <w:szCs w:val="24"/>
          <w14:textFill>
            <w14:solidFill>
              <w14:schemeClr w14:val="tx1"/>
            </w14:solidFill>
          </w14:textFill>
        </w:rPr>
        <w:t>（GB3157</w:t>
      </w:r>
      <w:r>
        <w:rPr>
          <w:rFonts w:hint="eastAsia"/>
          <w:color w:val="000000" w:themeColor="text1"/>
          <w:szCs w:val="24"/>
          <w:lang w:val="en-US" w:eastAsia="zh-CN"/>
          <w14:textFill>
            <w14:solidFill>
              <w14:schemeClr w14:val="tx1"/>
            </w14:solidFill>
          </w14:textFill>
        </w:rPr>
        <w:t>0</w:t>
      </w:r>
      <w:r>
        <w:rPr>
          <w:color w:val="000000" w:themeColor="text1"/>
          <w:szCs w:val="24"/>
          <w14:textFill>
            <w14:solidFill>
              <w14:schemeClr w14:val="tx1"/>
            </w14:solidFill>
          </w14:textFill>
        </w:rPr>
        <w:t>-2015）表</w:t>
      </w:r>
      <w:r>
        <w:rPr>
          <w:rFonts w:hint="eastAsia"/>
          <w:color w:val="000000" w:themeColor="text1"/>
          <w:szCs w:val="24"/>
          <w:lang w:val="en-US" w:eastAsia="zh-CN"/>
          <w14:textFill>
            <w14:solidFill>
              <w14:schemeClr w14:val="tx1"/>
            </w14:solidFill>
          </w14:textFill>
        </w:rPr>
        <w:t>2</w:t>
      </w:r>
      <w:r>
        <w:rPr>
          <w:color w:val="000000" w:themeColor="text1"/>
          <w:szCs w:val="24"/>
          <w14:textFill>
            <w14:solidFill>
              <w14:schemeClr w14:val="tx1"/>
            </w14:solidFill>
          </w14:textFill>
        </w:rPr>
        <w:t>水污染排放限值后外排至长江</w:t>
      </w:r>
      <w:r>
        <w:rPr>
          <w:rFonts w:hint="eastAsia"/>
          <w:color w:val="000000" w:themeColor="text1"/>
          <w:szCs w:val="24"/>
          <w:lang w:eastAsia="zh-CN"/>
          <w14:textFill>
            <w14:solidFill>
              <w14:schemeClr w14:val="tx1"/>
            </w14:solidFill>
          </w14:textFill>
        </w:rPr>
        <w:t>，废水不在另行申请指标，</w:t>
      </w:r>
      <w:r>
        <w:rPr>
          <w:color w:val="000000" w:themeColor="text1"/>
          <w:szCs w:val="24"/>
          <w14:textFill>
            <w14:solidFill>
              <w14:schemeClr w14:val="tx1"/>
            </w14:solidFill>
          </w14:textFill>
        </w:rPr>
        <w:t>废气总量控制因子为VOC</w:t>
      </w:r>
      <w:r>
        <w:rPr>
          <w:color w:val="000000" w:themeColor="text1"/>
          <w:szCs w:val="24"/>
          <w:vertAlign w:val="subscript"/>
          <w14:textFill>
            <w14:solidFill>
              <w14:schemeClr w14:val="tx1"/>
            </w14:solidFill>
          </w14:textFill>
        </w:rPr>
        <w:t>S</w:t>
      </w:r>
      <w:r>
        <w:rPr>
          <w:color w:val="000000" w:themeColor="text1"/>
          <w:szCs w:val="24"/>
          <w14:textFill>
            <w14:solidFill>
              <w14:schemeClr w14:val="tx1"/>
            </w14:solidFill>
          </w14:textFill>
        </w:rPr>
        <w:t>。</w:t>
      </w:r>
    </w:p>
    <w:p>
      <w:pPr>
        <w:pStyle w:val="17"/>
        <w:spacing w:after="0" w:line="360" w:lineRule="auto"/>
        <w:ind w:firstLine="480" w:firstLineChars="200"/>
        <w:rPr>
          <w:color w:val="000000" w:themeColor="text1"/>
          <w:spacing w:val="3"/>
          <w14:textFill>
            <w14:solidFill>
              <w14:schemeClr w14:val="tx1"/>
            </w14:solidFill>
          </w14:textFill>
        </w:rPr>
      </w:pPr>
      <w:r>
        <w:rPr>
          <w:rFonts w:hint="eastAsia"/>
          <w:color w:val="000000" w:themeColor="text1"/>
          <w:szCs w:val="24"/>
          <w:lang w:eastAsia="zh-CN"/>
          <w14:textFill>
            <w14:solidFill>
              <w14:schemeClr w14:val="tx1"/>
            </w14:solidFill>
          </w14:textFill>
        </w:rPr>
        <w:t>本项目</w:t>
      </w:r>
      <w:r>
        <w:rPr>
          <w:color w:val="000000" w:themeColor="text1"/>
          <w:szCs w:val="24"/>
          <w14:textFill>
            <w14:solidFill>
              <w14:schemeClr w14:val="tx1"/>
            </w14:solidFill>
          </w14:textFill>
        </w:rPr>
        <w:t>VOCS的建议指标为：</w:t>
      </w:r>
      <w:r>
        <w:rPr>
          <w:rFonts w:hint="eastAsia"/>
          <w:color w:val="000000" w:themeColor="text1"/>
          <w:szCs w:val="24"/>
          <w:lang w:val="en-US" w:eastAsia="zh-CN"/>
          <w14:textFill>
            <w14:solidFill>
              <w14:schemeClr w14:val="tx1"/>
            </w14:solidFill>
          </w14:textFill>
        </w:rPr>
        <w:t>0.271</w:t>
      </w:r>
      <w:r>
        <w:rPr>
          <w:color w:val="000000" w:themeColor="text1"/>
          <w:szCs w:val="24"/>
          <w14:textFill>
            <w14:solidFill>
              <w14:schemeClr w14:val="tx1"/>
            </w14:solidFill>
          </w14:textFill>
        </w:rPr>
        <w:t>t/a。</w:t>
      </w:r>
      <w:r>
        <w:rPr>
          <w:color w:val="000000" w:themeColor="text1"/>
          <w:spacing w:val="3"/>
          <w14:textFill>
            <w14:solidFill>
              <w14:schemeClr w14:val="tx1"/>
            </w14:solidFill>
          </w14:textFill>
        </w:rPr>
        <w:t>炼油部作为巴陵石化分公司部门废气污染物排放一直纳入巴陵公司管理，无需另外申请购买，VOC</w:t>
      </w:r>
      <w:r>
        <w:rPr>
          <w:color w:val="000000" w:themeColor="text1"/>
          <w:spacing w:val="3"/>
          <w:vertAlign w:val="subscript"/>
          <w14:textFill>
            <w14:solidFill>
              <w14:schemeClr w14:val="tx1"/>
            </w14:solidFill>
          </w14:textFill>
        </w:rPr>
        <w:t>S</w:t>
      </w:r>
      <w:r>
        <w:rPr>
          <w:color w:val="000000" w:themeColor="text1"/>
          <w:spacing w:val="3"/>
          <w14:textFill>
            <w14:solidFill>
              <w14:schemeClr w14:val="tx1"/>
            </w14:solidFill>
          </w14:textFill>
        </w:rPr>
        <w:t>总量由建设单位向生态环境主管部门申请。</w:t>
      </w:r>
    </w:p>
    <w:p>
      <w:pPr>
        <w:pStyle w:val="14"/>
        <w:spacing w:line="240" w:lineRule="auto"/>
        <w:rPr>
          <w:color w:val="000000" w:themeColor="text1"/>
          <w:kern w:val="0"/>
          <w:szCs w:val="24"/>
          <w14:textFill>
            <w14:solidFill>
              <w14:schemeClr w14:val="tx1"/>
            </w14:solidFill>
          </w14:textFill>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color w:val="000000" w:themeColor="text1"/>
          <w:spacing w:val="-6"/>
          <w14:textFill>
            <w14:solidFill>
              <w14:schemeClr w14:val="tx1"/>
            </w14:solidFill>
          </w14:textFill>
        </w:rPr>
        <w:t>污染物排放总量控制建议指标</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565"/>
        <w:gridCol w:w="1827"/>
        <w:gridCol w:w="1507"/>
        <w:gridCol w:w="1607"/>
        <w:gridCol w:w="2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372"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项目</w:t>
            </w:r>
          </w:p>
        </w:tc>
        <w:tc>
          <w:tcPr>
            <w:tcW w:w="846"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污染物名称</w:t>
            </w:r>
          </w:p>
        </w:tc>
        <w:tc>
          <w:tcPr>
            <w:tcW w:w="988"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污染物产生量</w:t>
            </w:r>
          </w:p>
        </w:tc>
        <w:tc>
          <w:tcPr>
            <w:tcW w:w="815"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削减量</w:t>
            </w:r>
          </w:p>
        </w:tc>
        <w:tc>
          <w:tcPr>
            <w:tcW w:w="869"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最终排放总量</w:t>
            </w:r>
          </w:p>
        </w:tc>
        <w:tc>
          <w:tcPr>
            <w:tcW w:w="1107" w:type="pct"/>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巴陵石化公司目前总量控制指标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372"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废气</w:t>
            </w:r>
          </w:p>
        </w:tc>
        <w:tc>
          <w:tcPr>
            <w:tcW w:w="846" w:type="pct"/>
            <w:noWrap w:val="0"/>
            <w:vAlign w:val="center"/>
          </w:tcPr>
          <w:p>
            <w:pPr>
              <w:keepNext w:val="0"/>
              <w:keepLines w:val="0"/>
              <w:suppressLineNumbers w:val="0"/>
              <w:adjustRightInd w:val="0"/>
              <w:snapToGrid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VOCs</w:t>
            </w:r>
          </w:p>
        </w:tc>
        <w:tc>
          <w:tcPr>
            <w:tcW w:w="988"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0.2524t/a</w:t>
            </w:r>
          </w:p>
        </w:tc>
        <w:tc>
          <w:tcPr>
            <w:tcW w:w="815"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kern w:val="0"/>
                <w:sz w:val="21"/>
                <w14:textFill>
                  <w14:solidFill>
                    <w14:schemeClr w14:val="tx1"/>
                  </w14:solidFill>
                </w14:textFill>
              </w:rPr>
            </w:pPr>
            <w:r>
              <w:rPr>
                <w:rFonts w:eastAsia="宋体" w:cs="Times New Roman"/>
                <w:color w:val="000000" w:themeColor="text1"/>
                <w:kern w:val="0"/>
                <w:sz w:val="21"/>
                <w14:textFill>
                  <w14:solidFill>
                    <w14:schemeClr w14:val="tx1"/>
                  </w14:solidFill>
                </w14:textFill>
              </w:rPr>
              <w:t>0</w:t>
            </w:r>
          </w:p>
        </w:tc>
        <w:tc>
          <w:tcPr>
            <w:tcW w:w="869" w:type="pct"/>
            <w:noWrap w:val="0"/>
            <w:vAlign w:val="center"/>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0.</w:t>
            </w:r>
            <w:r>
              <w:rPr>
                <w:rFonts w:hint="eastAsia" w:cs="Times New Roman"/>
                <w:color w:val="000000" w:themeColor="text1"/>
                <w:sz w:val="21"/>
                <w:lang w:val="en-US" w:eastAsia="zh-CN"/>
                <w14:textFill>
                  <w14:solidFill>
                    <w14:schemeClr w14:val="tx1"/>
                  </w14:solidFill>
                </w14:textFill>
              </w:rPr>
              <w:t>271</w:t>
            </w:r>
            <w:r>
              <w:rPr>
                <w:rFonts w:eastAsia="宋体" w:cs="Times New Roman"/>
                <w:color w:val="000000" w:themeColor="text1"/>
                <w:sz w:val="21"/>
                <w14:textFill>
                  <w14:solidFill>
                    <w14:schemeClr w14:val="tx1"/>
                  </w14:solidFill>
                </w14:textFill>
              </w:rPr>
              <w:t>t/a</w:t>
            </w:r>
          </w:p>
        </w:tc>
        <w:tc>
          <w:tcPr>
            <w:tcW w:w="1107" w:type="pct"/>
            <w:noWrap w:val="0"/>
            <w:vAlign w:val="top"/>
          </w:tcPr>
          <w:p>
            <w:pPr>
              <w:keepNext w:val="0"/>
              <w:keepLines w:val="0"/>
              <w:suppressLineNumbers w:val="0"/>
              <w:spacing w:before="0" w:beforeAutospacing="0" w:after="0" w:afterAutospacing="0"/>
              <w:ind w:left="0" w:right="0"/>
              <w:jc w:val="center"/>
              <w:rPr>
                <w:rFonts w:eastAsia="宋体" w:cs="Times New Roman"/>
                <w:color w:val="000000" w:themeColor="text1"/>
                <w:sz w:val="21"/>
                <w14:textFill>
                  <w14:solidFill>
                    <w14:schemeClr w14:val="tx1"/>
                  </w14:solidFill>
                </w14:textFill>
              </w:rPr>
            </w:pPr>
            <w:r>
              <w:rPr>
                <w:rFonts w:eastAsia="宋体" w:cs="Times New Roman"/>
                <w:color w:val="000000" w:themeColor="text1"/>
                <w:sz w:val="21"/>
                <w14:textFill>
                  <w14:solidFill>
                    <w14:schemeClr w14:val="tx1"/>
                  </w14:solidFill>
                </w14:textFill>
              </w:rPr>
              <w:t>/</w:t>
            </w:r>
          </w:p>
        </w:tc>
      </w:tr>
    </w:tbl>
    <w:p>
      <w:pPr>
        <w:pStyle w:val="14"/>
        <w:rPr>
          <w:color w:val="000000" w:themeColor="text1"/>
          <w:kern w:val="0"/>
          <w:szCs w:val="24"/>
          <w14:textFill>
            <w14:solidFill>
              <w14:schemeClr w14:val="tx1"/>
            </w14:solidFill>
          </w14:textFill>
        </w:rPr>
      </w:pPr>
    </w:p>
    <w:p>
      <w:pPr>
        <w:pStyle w:val="2"/>
        <w:adjustRightInd w:val="0"/>
        <w:snapToGrid w:val="0"/>
        <w:spacing w:line="360" w:lineRule="auto"/>
        <w:rPr>
          <w:color w:val="000000" w:themeColor="text1"/>
          <w14:textFill>
            <w14:solidFill>
              <w14:schemeClr w14:val="tx1"/>
            </w14:solidFill>
          </w14:textFill>
        </w:rPr>
      </w:pPr>
      <w:bookmarkStart w:id="563" w:name="_Toc532763239"/>
      <w:bookmarkStart w:id="564" w:name="_Toc532498775"/>
      <w:bookmarkStart w:id="565" w:name="_Toc532376182"/>
      <w:bookmarkStart w:id="566" w:name="_Toc532497729"/>
      <w:bookmarkStart w:id="567" w:name="_Toc19655"/>
      <w:r>
        <w:rPr>
          <w:color w:val="000000" w:themeColor="text1"/>
          <w14:textFill>
            <w14:solidFill>
              <w14:schemeClr w14:val="tx1"/>
            </w14:solidFill>
          </w14:textFill>
        </w:rPr>
        <w:t>结论与建议</w:t>
      </w:r>
      <w:bookmarkEnd w:id="563"/>
      <w:bookmarkEnd w:id="564"/>
      <w:bookmarkEnd w:id="565"/>
      <w:bookmarkEnd w:id="566"/>
      <w:bookmarkEnd w:id="567"/>
    </w:p>
    <w:p>
      <w:pPr>
        <w:pStyle w:val="4"/>
        <w:adjustRightInd w:val="0"/>
        <w:snapToGrid w:val="0"/>
        <w:rPr>
          <w:color w:val="000000" w:themeColor="text1"/>
          <w14:textFill>
            <w14:solidFill>
              <w14:schemeClr w14:val="tx1"/>
            </w14:solidFill>
          </w14:textFill>
        </w:rPr>
      </w:pPr>
      <w:bookmarkStart w:id="568" w:name="_Toc532376183"/>
      <w:bookmarkStart w:id="569" w:name="_Toc532498776"/>
      <w:bookmarkStart w:id="570" w:name="_Toc532497730"/>
      <w:bookmarkStart w:id="571" w:name="_Toc532763240"/>
      <w:bookmarkStart w:id="572" w:name="_Toc28779"/>
      <w:r>
        <w:rPr>
          <w:color w:val="000000" w:themeColor="text1"/>
          <w14:textFill>
            <w14:solidFill>
              <w14:schemeClr w14:val="tx1"/>
            </w14:solidFill>
          </w14:textFill>
        </w:rPr>
        <w:t>建设项目概况</w:t>
      </w:r>
      <w:bookmarkEnd w:id="568"/>
      <w:bookmarkEnd w:id="569"/>
      <w:bookmarkEnd w:id="570"/>
      <w:bookmarkEnd w:id="571"/>
      <w:bookmarkEnd w:id="572"/>
    </w:p>
    <w:p>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本项目位于中石化巴陵石油化工有限公司炼油部厂区内，项目总投资2107.83万元，拟建粗白油精制装置的构架及设备位于常压装置区内的预留地，拟建粗白油精制装置的构架及设备占地面积约为340m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，利用常压装置区内的空地，不需要新征土地，也无拆迁工程。拟建粗白油精制装置的构架主要有原料过滤器、加氢反应器和粗白油分馏塔。本项目主要的产品为年产200#溶剂油2.4×10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t/a、年产3#粗白油5.602×10</w:t>
      </w:r>
      <w:r>
        <w:rPr>
          <w:color w:val="000000" w:themeColor="text1"/>
          <w:vertAlign w:val="superscript"/>
          <w14:textFill>
            <w14:solidFill>
              <w14:schemeClr w14:val="tx1"/>
            </w14:solidFill>
          </w14:textFill>
        </w:rPr>
        <w:t>4</w:t>
      </w:r>
      <w:r>
        <w:rPr>
          <w:color w:val="000000" w:themeColor="text1"/>
          <w14:textFill>
            <w14:solidFill>
              <w14:schemeClr w14:val="tx1"/>
            </w14:solidFill>
          </w14:textFill>
        </w:rPr>
        <w:t>t/a。</w:t>
      </w:r>
    </w:p>
    <w:p>
      <w:pPr>
        <w:pStyle w:val="4"/>
        <w:adjustRightInd w:val="0"/>
        <w:snapToGrid w:val="0"/>
        <w:rPr>
          <w:color w:val="000000" w:themeColor="text1"/>
          <w14:textFill>
            <w14:solidFill>
              <w14:schemeClr w14:val="tx1"/>
            </w14:solidFill>
          </w14:textFill>
        </w:rPr>
      </w:pPr>
      <w:bookmarkStart w:id="573" w:name="_Toc532498777"/>
      <w:bookmarkStart w:id="574" w:name="_Toc532376184"/>
      <w:bookmarkStart w:id="575" w:name="_Toc2033"/>
      <w:bookmarkStart w:id="576" w:name="_Toc532763241"/>
      <w:bookmarkStart w:id="577" w:name="_Toc532497731"/>
      <w:r>
        <w:rPr>
          <w:color w:val="000000" w:themeColor="text1"/>
          <w14:textFill>
            <w14:solidFill>
              <w14:schemeClr w14:val="tx1"/>
            </w14:solidFill>
          </w14:textFill>
        </w:rPr>
        <w:t>环境和质量现状</w:t>
      </w:r>
      <w:bookmarkEnd w:id="573"/>
      <w:bookmarkEnd w:id="574"/>
      <w:bookmarkEnd w:id="575"/>
      <w:bookmarkEnd w:id="576"/>
      <w:bookmarkEnd w:id="577"/>
    </w:p>
    <w:p>
      <w:pPr>
        <w:numPr>
          <w:ilvl w:val="0"/>
          <w:numId w:val="21"/>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地表水环境</w:t>
      </w:r>
    </w:p>
    <w:p>
      <w:pPr>
        <w:adjustRightInd w:val="0"/>
        <w:snapToGrid w:val="0"/>
        <w:spacing w:line="360" w:lineRule="auto"/>
        <w:ind w:firstLine="480" w:firstLineChars="200"/>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bCs/>
          <w:color w:val="000000" w:themeColor="text1"/>
          <w:lang w:eastAsia="zh-CN"/>
          <w14:textFill>
            <w14:solidFill>
              <w14:schemeClr w14:val="tx1"/>
            </w14:solidFill>
          </w14:textFill>
        </w:rPr>
        <w:t>本项目地表水评价等级为三级</w:t>
      </w:r>
      <w:r>
        <w:rPr>
          <w:rFonts w:hint="default" w:ascii="Times New Roman" w:hAnsi="Times New Roman" w:cs="Times New Roman"/>
          <w:bCs/>
          <w:color w:val="000000" w:themeColor="text1"/>
          <w:lang w:val="en-US" w:eastAsia="zh-CN"/>
          <w14:textFill>
            <w14:solidFill>
              <w14:schemeClr w14:val="tx1"/>
            </w14:solidFill>
          </w14:textFill>
        </w:rPr>
        <w:t>B，本项目废水经炼油部预处理站处理之后，排入供水事业部污水处理厂处理，</w:t>
      </w:r>
      <w:r>
        <w:rPr>
          <w:rFonts w:hint="default" w:ascii="Times New Roman" w:hAnsi="Times New Roman" w:cs="Times New Roman"/>
          <w:color w:val="000000" w:themeColor="text1"/>
          <w14:textFill>
            <w14:solidFill>
              <w14:schemeClr w14:val="tx1"/>
            </w14:solidFill>
          </w14:textFill>
        </w:rPr>
        <w:t>处理达标的废水排入长江道仁矶，项目区雨水通过管道排入松阳湖。因此本评价收集了2019年省站对长江城陵矶断面及陆城断面的常规监测数据说明地表水环境质量现状。</w:t>
      </w:r>
      <w:r>
        <w:rPr>
          <w:rFonts w:hint="default" w:ascii="Times New Roman" w:hAnsi="Times New Roman" w:cs="Times New Roman"/>
          <w:color w:val="000000" w:themeColor="text1"/>
          <w:lang w:eastAsia="zh-CN"/>
          <w14:textFill>
            <w14:solidFill>
              <w14:schemeClr w14:val="tx1"/>
            </w14:solidFill>
          </w14:textFill>
        </w:rPr>
        <w:t>根据监测结果可知，</w:t>
      </w:r>
      <w:r>
        <w:rPr>
          <w:rFonts w:hint="default" w:ascii="Times New Roman" w:hAnsi="Times New Roman" w:cs="Times New Roman"/>
          <w:color w:val="000000" w:themeColor="text1"/>
          <w14:textFill>
            <w14:solidFill>
              <w14:schemeClr w14:val="tx1"/>
            </w14:solidFill>
          </w14:textFill>
        </w:rPr>
        <w:t>长江道仁矶</w:t>
      </w:r>
      <w:r>
        <w:rPr>
          <w:rFonts w:hint="default" w:ascii="Times New Roman" w:hAnsi="Times New Roman" w:cs="Times New Roman"/>
          <w:color w:val="000000" w:themeColor="text1"/>
          <w:lang w:eastAsia="zh-CN"/>
          <w14:textFill>
            <w14:solidFill>
              <w14:schemeClr w14:val="tx1"/>
            </w14:solidFill>
          </w14:textFill>
        </w:rPr>
        <w:t>的监测因子能满足</w:t>
      </w:r>
      <w:r>
        <w:rPr>
          <w:rFonts w:hint="default" w:ascii="Times New Roman" w:hAnsi="Times New Roman" w:eastAsia="宋体" w:cs="Times New Roman"/>
          <w:color w:val="000000" w:themeColor="text1"/>
          <w:sz w:val="24"/>
          <w:szCs w:val="24"/>
          <w14:textFill>
            <w14:solidFill>
              <w14:schemeClr w14:val="tx1"/>
            </w14:solidFill>
          </w14:textFill>
        </w:rPr>
        <w:t>《地表水环境质量标准》（GB3838-2002）中的Ⅲ类标准要求。松阳湖五日生化需氧量存在超标现象，其余指标满足《地表水环境质量标准》（GB3838-2002）中的Ⅳ类标准要求。待区域配套雨污管网全面建成后，松阳湖水质将得到改善。</w:t>
      </w:r>
    </w:p>
    <w:p>
      <w:pPr>
        <w:numPr>
          <w:ilvl w:val="0"/>
          <w:numId w:val="21"/>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环境空气</w:t>
      </w:r>
    </w:p>
    <w:p>
      <w:pPr>
        <w:adjustRightInd w:val="0"/>
        <w:snapToGrid w:val="0"/>
        <w:spacing w:line="360" w:lineRule="auto"/>
        <w:ind w:firstLine="480" w:firstLineChars="200"/>
        <w:rPr>
          <w:bCs/>
          <w:color w:val="000000" w:themeColor="text1"/>
          <w14:textFill>
            <w14:solidFill>
              <w14:schemeClr w14:val="tx1"/>
            </w14:solidFill>
          </w14:textFill>
        </w:rPr>
      </w:pPr>
      <w:r>
        <w:rPr>
          <w:rFonts w:hint="default" w:ascii="Times New Roman" w:hAnsi="Times New Roman" w:cs="Times New Roman"/>
          <w:color w:val="000000" w:themeColor="text1"/>
          <w:sz w:val="24"/>
          <w:szCs w:val="24"/>
          <w:u w:val="none"/>
          <w14:textFill>
            <w14:solidFill>
              <w14:schemeClr w14:val="tx1"/>
            </w14:solidFill>
          </w14:textFill>
        </w:rPr>
        <w:t>根据《环境影响评价技术导则大气环境》（HJ2.2-2018）第6.4.1.1条“城市环境空气质量达标情况评价指标为SO</w:t>
      </w:r>
      <w:r>
        <w:rPr>
          <w:rFonts w:hint="default" w:ascii="Times New Roman" w:hAnsi="Times New Roman" w:cs="Times New Roman"/>
          <w:color w:val="000000" w:themeColor="text1"/>
          <w:sz w:val="24"/>
          <w:szCs w:val="24"/>
          <w:u w:val="none"/>
          <w:vertAlign w:val="subscript"/>
          <w14:textFill>
            <w14:solidFill>
              <w14:schemeClr w14:val="tx1"/>
            </w14:solidFill>
          </w14:textFill>
        </w:rPr>
        <w:t>2</w:t>
      </w:r>
      <w:r>
        <w:rPr>
          <w:rFonts w:hint="default" w:ascii="Times New Roman" w:hAnsi="Times New Roman" w:cs="Times New Roman"/>
          <w:color w:val="000000" w:themeColor="text1"/>
          <w:sz w:val="24"/>
          <w:szCs w:val="24"/>
          <w:u w:val="none"/>
          <w14:textFill>
            <w14:solidFill>
              <w14:schemeClr w14:val="tx1"/>
            </w14:solidFill>
          </w14:textFill>
        </w:rPr>
        <w:t>、NO</w:t>
      </w:r>
      <w:r>
        <w:rPr>
          <w:rFonts w:hint="default" w:ascii="Times New Roman" w:hAnsi="Times New Roman" w:cs="Times New Roman"/>
          <w:color w:val="000000" w:themeColor="text1"/>
          <w:sz w:val="24"/>
          <w:szCs w:val="24"/>
          <w:u w:val="none"/>
          <w:vertAlign w:val="subscript"/>
          <w14:textFill>
            <w14:solidFill>
              <w14:schemeClr w14:val="tx1"/>
            </w14:solidFill>
          </w14:textFill>
        </w:rPr>
        <w:t>2</w:t>
      </w:r>
      <w:r>
        <w:rPr>
          <w:rFonts w:hint="default" w:ascii="Times New Roman" w:hAnsi="Times New Roman" w:cs="Times New Roman"/>
          <w:color w:val="000000" w:themeColor="text1"/>
          <w:sz w:val="24"/>
          <w:szCs w:val="24"/>
          <w:u w:val="none"/>
          <w14:textFill>
            <w14:solidFill>
              <w14:schemeClr w14:val="tx1"/>
            </w14:solidFill>
          </w14:textFill>
        </w:rPr>
        <w:t>、PM</w:t>
      </w:r>
      <w:r>
        <w:rPr>
          <w:rFonts w:hint="default" w:ascii="Times New Roman" w:hAnsi="Times New Roman" w:cs="Times New Roman"/>
          <w:color w:val="000000" w:themeColor="text1"/>
          <w:sz w:val="24"/>
          <w:szCs w:val="24"/>
          <w:u w:val="none"/>
          <w:vertAlign w:val="subscript"/>
          <w14:textFill>
            <w14:solidFill>
              <w14:schemeClr w14:val="tx1"/>
            </w14:solidFill>
          </w14:textFill>
        </w:rPr>
        <w:t>10</w:t>
      </w:r>
      <w:r>
        <w:rPr>
          <w:rFonts w:hint="default" w:ascii="Times New Roman" w:hAnsi="Times New Roman" w:cs="Times New Roman"/>
          <w:color w:val="000000" w:themeColor="text1"/>
          <w:sz w:val="24"/>
          <w:szCs w:val="24"/>
          <w:u w:val="none"/>
          <w14:textFill>
            <w14:solidFill>
              <w14:schemeClr w14:val="tx1"/>
            </w14:solidFill>
          </w14:textFill>
        </w:rPr>
        <w:t>、PM</w:t>
      </w:r>
      <w:r>
        <w:rPr>
          <w:rFonts w:hint="default" w:ascii="Times New Roman" w:hAnsi="Times New Roman" w:cs="Times New Roman"/>
          <w:color w:val="000000" w:themeColor="text1"/>
          <w:sz w:val="24"/>
          <w:szCs w:val="24"/>
          <w:u w:val="none"/>
          <w:vertAlign w:val="subscript"/>
          <w14:textFill>
            <w14:solidFill>
              <w14:schemeClr w14:val="tx1"/>
            </w14:solidFill>
          </w14:textFill>
        </w:rPr>
        <w:t>2.5</w:t>
      </w:r>
      <w:r>
        <w:rPr>
          <w:rFonts w:hint="default" w:ascii="Times New Roman" w:hAnsi="Times New Roman" w:cs="Times New Roman"/>
          <w:color w:val="000000" w:themeColor="text1"/>
          <w:sz w:val="24"/>
          <w:szCs w:val="24"/>
          <w:u w:val="none"/>
          <w14:textFill>
            <w14:solidFill>
              <w14:schemeClr w14:val="tx1"/>
            </w14:solidFill>
          </w14:textFill>
        </w:rPr>
        <w:t>、CO和O</w:t>
      </w:r>
      <w:r>
        <w:rPr>
          <w:rFonts w:hint="default" w:ascii="Times New Roman" w:hAnsi="Times New Roman" w:cs="Times New Roman"/>
          <w:color w:val="000000" w:themeColor="text1"/>
          <w:sz w:val="24"/>
          <w:szCs w:val="24"/>
          <w:u w:val="none"/>
          <w:vertAlign w:val="subscript"/>
          <w14:textFill>
            <w14:solidFill>
              <w14:schemeClr w14:val="tx1"/>
            </w14:solidFill>
          </w14:textFill>
        </w:rPr>
        <w:t>3</w:t>
      </w:r>
      <w:r>
        <w:rPr>
          <w:rFonts w:hint="default" w:ascii="Times New Roman" w:hAnsi="Times New Roman" w:cs="Times New Roman"/>
          <w:color w:val="000000" w:themeColor="text1"/>
          <w:sz w:val="24"/>
          <w:szCs w:val="24"/>
          <w:u w:val="none"/>
          <w14:textFill>
            <w14:solidFill>
              <w14:schemeClr w14:val="tx1"/>
            </w14:solidFill>
          </w14:textFill>
        </w:rPr>
        <w:t>，六项污染物全部达标即为城市环境空气质量达标”。根据上表可知</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rFonts w:hint="default" w:ascii="Times New Roman" w:hAnsi="Times New Roman" w:cs="Times New Roman"/>
          <w:color w:val="000000" w:themeColor="text1"/>
          <w:sz w:val="24"/>
          <w:szCs w:val="24"/>
          <w:u w:val="none"/>
          <w14:textFill>
            <w14:solidFill>
              <w14:schemeClr w14:val="tx1"/>
            </w14:solidFill>
          </w14:textFill>
        </w:rPr>
        <w:t>2019年PM</w:t>
      </w:r>
      <w:r>
        <w:rPr>
          <w:rFonts w:hint="default" w:ascii="Times New Roman" w:hAnsi="Times New Roman" w:cs="Times New Roman"/>
          <w:color w:val="000000" w:themeColor="text1"/>
          <w:sz w:val="24"/>
          <w:szCs w:val="24"/>
          <w:u w:val="none"/>
          <w:vertAlign w:val="subscript"/>
          <w14:textFill>
            <w14:solidFill>
              <w14:schemeClr w14:val="tx1"/>
            </w14:solidFill>
          </w14:textFill>
        </w:rPr>
        <w:t>2.5</w:t>
      </w:r>
      <w:r>
        <w:rPr>
          <w:rFonts w:hint="default" w:ascii="Times New Roman" w:hAnsi="Times New Roman" w:cs="Times New Roman"/>
          <w:color w:val="000000" w:themeColor="text1"/>
          <w:sz w:val="24"/>
          <w:szCs w:val="24"/>
          <w:u w:val="none"/>
          <w14:textFill>
            <w14:solidFill>
              <w14:schemeClr w14:val="tx1"/>
            </w14:solidFill>
          </w14:textFill>
        </w:rPr>
        <w:t>不满足《环境空气质量标准》（GB3095-2012）中的二级标准，属于不达标区</w:t>
      </w:r>
      <w:r>
        <w:rPr>
          <w:rFonts w:hint="eastAsia" w:ascii="Times New Roman" w:hAnsi="Times New Roman" w:cs="Times New Roman"/>
          <w:color w:val="000000" w:themeColor="text1"/>
          <w:sz w:val="24"/>
          <w:szCs w:val="24"/>
          <w:u w:val="none"/>
          <w:lang w:eastAsia="zh-CN"/>
          <w14:textFill>
            <w14:solidFill>
              <w14:schemeClr w14:val="tx1"/>
            </w14:solidFill>
          </w14:textFill>
        </w:rPr>
        <w:t>，</w:t>
      </w:r>
      <w:r>
        <w:rPr>
          <w:bCs/>
          <w:color w:val="000000" w:themeColor="text1"/>
          <w14:textFill>
            <w14:solidFill>
              <w14:schemeClr w14:val="tx1"/>
            </w14:solidFill>
          </w14:textFill>
        </w:rPr>
        <w:t xml:space="preserve">同时根据岳阳市大气污染防治行动计划要求，当地政府加大环境治理力度，采取更为严格的大气防治手段，区域大气环境质量将得到改善。 </w:t>
      </w:r>
    </w:p>
    <w:p>
      <w:pPr>
        <w:pStyle w:val="71"/>
        <w:spacing w:line="360" w:lineRule="auto"/>
        <w:ind w:firstLine="460" w:firstLineChars="200"/>
        <w:rPr>
          <w:rFonts w:hint="default" w:ascii="Times New Roman" w:hAnsi="Times New Roman" w:cs="Times New Roman"/>
          <w:color w:val="000000" w:themeColor="text1"/>
          <w:spacing w:val="6"/>
          <w:sz w:val="24"/>
          <w:szCs w:val="24"/>
          <w:u w:val="single"/>
          <w:lang w:bidi="ar"/>
          <w14:textFill>
            <w14:solidFill>
              <w14:schemeClr w14:val="tx1"/>
            </w14:solidFill>
          </w14:textFill>
        </w:rPr>
      </w:pPr>
      <w:r>
        <w:rPr>
          <w:rFonts w:hint="default" w:ascii="Times New Roman" w:hAnsi="Times New Roman" w:cs="Times New Roman"/>
          <w:color w:val="000000" w:themeColor="text1"/>
          <w:spacing w:val="-5"/>
          <w:sz w:val="24"/>
          <w:szCs w:val="24"/>
          <w:u w:val="single"/>
          <w14:textFill>
            <w14:solidFill>
              <w14:schemeClr w14:val="tx1"/>
            </w14:solidFill>
          </w14:textFill>
        </w:rPr>
        <w:t>为了解项目拟建地特征污染物</w:t>
      </w:r>
      <w:r>
        <w:rPr>
          <w:rFonts w:hint="default" w:ascii="Times New Roman" w:hAnsi="Times New Roman" w:cs="Times New Roman"/>
          <w:color w:val="000000" w:themeColor="text1"/>
          <w:sz w:val="24"/>
          <w:szCs w:val="24"/>
          <w:u w:val="single"/>
          <w14:textFill>
            <w14:solidFill>
              <w14:schemeClr w14:val="tx1"/>
            </w14:solidFill>
          </w14:textFill>
        </w:rPr>
        <w:t>TVOC的背景值，根据《环境影响评价技术导则</w:t>
      </w:r>
      <w:r>
        <w:rPr>
          <w:rFonts w:hint="default" w:ascii="Times New Roman" w:hAnsi="Times New Roman" w:cs="Times New Roman"/>
          <w:color w:val="000000" w:themeColor="text1"/>
          <w:spacing w:val="-1"/>
          <w:sz w:val="24"/>
          <w:szCs w:val="24"/>
          <w:u w:val="single"/>
          <w14:textFill>
            <w14:solidFill>
              <w14:schemeClr w14:val="tx1"/>
            </w14:solidFill>
          </w14:textFill>
        </w:rPr>
        <w:t>—大气环境》</w:t>
      </w:r>
      <w:r>
        <w:rPr>
          <w:rFonts w:hint="default" w:ascii="Times New Roman" w:hAnsi="Times New Roman" w:cs="Times New Roman"/>
          <w:color w:val="000000" w:themeColor="text1"/>
          <w:sz w:val="24"/>
          <w:szCs w:val="24"/>
          <w:u w:val="single"/>
          <w14:textFill>
            <w14:solidFill>
              <w14:schemeClr w14:val="tx1"/>
            </w14:solidFill>
          </w14:textFill>
        </w:rPr>
        <w:t>（HJ2.2-2018）</w:t>
      </w:r>
      <w:r>
        <w:rPr>
          <w:rFonts w:hint="default" w:ascii="Times New Roman" w:hAnsi="Times New Roman" w:cs="Times New Roman"/>
          <w:color w:val="000000" w:themeColor="text1"/>
          <w:spacing w:val="-31"/>
          <w:sz w:val="24"/>
          <w:szCs w:val="24"/>
          <w:u w:val="single"/>
          <w14:textFill>
            <w14:solidFill>
              <w14:schemeClr w14:val="tx1"/>
            </w14:solidFill>
          </w14:textFill>
        </w:rPr>
        <w:t xml:space="preserve">中 </w:t>
      </w:r>
      <w:r>
        <w:rPr>
          <w:rFonts w:hint="default" w:ascii="Times New Roman" w:hAnsi="Times New Roman" w:cs="Times New Roman"/>
          <w:color w:val="000000" w:themeColor="text1"/>
          <w:sz w:val="24"/>
          <w:szCs w:val="24"/>
          <w:u w:val="single"/>
          <w14:textFill>
            <w14:solidFill>
              <w14:schemeClr w14:val="tx1"/>
            </w14:solidFill>
          </w14:textFill>
        </w:rPr>
        <w:t>6.2.2.2要求：“评价范围内没有环境空气质量</w:t>
      </w:r>
      <w:r>
        <w:rPr>
          <w:rFonts w:hint="default" w:ascii="Times New Roman" w:hAnsi="Times New Roman" w:cs="Times New Roman"/>
          <w:color w:val="000000" w:themeColor="text1"/>
          <w:spacing w:val="-6"/>
          <w:sz w:val="24"/>
          <w:szCs w:val="24"/>
          <w:u w:val="single"/>
          <w14:textFill>
            <w14:solidFill>
              <w14:schemeClr w14:val="tx1"/>
            </w14:solidFill>
          </w14:textFill>
        </w:rPr>
        <w:t>监测网数据或公开发布的环境空气质量现状监测数据的，可收集评价范围内近</w:t>
      </w:r>
      <w:r>
        <w:rPr>
          <w:rFonts w:hint="default" w:ascii="Times New Roman" w:hAnsi="Times New Roman" w:cs="Times New Roman"/>
          <w:color w:val="000000" w:themeColor="text1"/>
          <w:sz w:val="24"/>
          <w:szCs w:val="24"/>
          <w:u w:val="single"/>
          <w14:textFill>
            <w14:solidFill>
              <w14:schemeClr w14:val="tx1"/>
            </w14:solidFill>
          </w14:textFill>
        </w:rPr>
        <w:t>3</w:t>
      </w:r>
      <w:r>
        <w:rPr>
          <w:rFonts w:hint="default" w:ascii="Times New Roman" w:hAnsi="Times New Roman" w:cs="Times New Roman"/>
          <w:color w:val="000000" w:themeColor="text1"/>
          <w:spacing w:val="-5"/>
          <w:sz w:val="24"/>
          <w:szCs w:val="24"/>
          <w:u w:val="single"/>
          <w14:textFill>
            <w14:solidFill>
              <w14:schemeClr w14:val="tx1"/>
            </w14:solidFill>
          </w14:textFill>
        </w:rPr>
        <w:t>年与项目排放的其他污染物有关的历史监测资料</w:t>
      </w:r>
      <w:r>
        <w:rPr>
          <w:rFonts w:hint="default" w:ascii="Times New Roman" w:hAnsi="Times New Roman" w:cs="Times New Roman"/>
          <w:color w:val="000000" w:themeColor="text1"/>
          <w:sz w:val="24"/>
          <w:szCs w:val="24"/>
          <w:u w:val="single"/>
          <w14:textFill>
            <w14:solidFill>
              <w14:schemeClr w14:val="tx1"/>
            </w14:solidFill>
          </w14:textFill>
        </w:rPr>
        <w:t>”</w:t>
      </w:r>
      <w:r>
        <w:rPr>
          <w:rFonts w:hint="default" w:ascii="Times New Roman" w:hAnsi="Times New Roman" w:cs="Times New Roman"/>
          <w:color w:val="000000" w:themeColor="text1"/>
          <w:spacing w:val="-5"/>
          <w:sz w:val="24"/>
          <w:szCs w:val="24"/>
          <w:u w:val="single"/>
          <w14:textFill>
            <w14:solidFill>
              <w14:schemeClr w14:val="tx1"/>
            </w14:solidFill>
          </w14:textFill>
        </w:rPr>
        <w:t>。因此本项目委托宇相津准（湖南）环境检测有限公司于2020.08.20~2020.08.26对项目的附近的特征因子TVOC、非甲烷总烃进行监测，</w:t>
      </w:r>
      <w:r>
        <w:rPr>
          <w:rFonts w:hint="default" w:ascii="Times New Roman" w:hAnsi="Times New Roman" w:cs="Times New Roman"/>
          <w:color w:val="000000" w:themeColor="text1"/>
          <w:spacing w:val="-5"/>
          <w:sz w:val="24"/>
          <w:szCs w:val="24"/>
          <w:u w:val="single"/>
          <w:lang w:eastAsia="zh-CN"/>
          <w14:textFill>
            <w14:solidFill>
              <w14:schemeClr w14:val="tx1"/>
            </w14:solidFill>
          </w14:textFill>
        </w:rPr>
        <w:t>于</w:t>
      </w:r>
      <w:r>
        <w:rPr>
          <w:rFonts w:hint="default" w:ascii="Times New Roman" w:hAnsi="Times New Roman" w:cs="Times New Roman"/>
          <w:color w:val="000000" w:themeColor="text1"/>
          <w:spacing w:val="-5"/>
          <w:sz w:val="24"/>
          <w:szCs w:val="24"/>
          <w:u w:val="single"/>
          <w:lang w:val="en-US" w:eastAsia="zh-CN"/>
          <w14:textFill>
            <w14:solidFill>
              <w14:schemeClr w14:val="tx1"/>
            </w14:solidFill>
          </w14:textFill>
        </w:rPr>
        <w:t>2020.12.21~2020.12.27对项目的附近的特征因子硫化氢和氨进行了监测，</w:t>
      </w:r>
      <w:r>
        <w:rPr>
          <w:rFonts w:hint="default" w:ascii="Times New Roman" w:hAnsi="Times New Roman" w:cs="Times New Roman"/>
          <w:color w:val="000000" w:themeColor="text1"/>
          <w:spacing w:val="-5"/>
          <w:sz w:val="24"/>
          <w:szCs w:val="24"/>
          <w:u w:val="single"/>
          <w14:textFill>
            <w14:solidFill>
              <w14:schemeClr w14:val="tx1"/>
            </w14:solidFill>
          </w14:textFill>
        </w:rPr>
        <w:t>具体情况见下列所示。</w:t>
      </w:r>
      <w:r>
        <w:rPr>
          <w:rFonts w:hint="default" w:ascii="Times New Roman" w:hAnsi="Times New Roman" w:cs="Times New Roman"/>
          <w:color w:val="000000" w:themeColor="text1"/>
          <w:spacing w:val="-7"/>
          <w:sz w:val="24"/>
          <w:szCs w:val="24"/>
          <w:u w:val="single"/>
          <w14:textFill>
            <w14:solidFill>
              <w14:schemeClr w14:val="tx1"/>
            </w14:solidFill>
          </w14:textFill>
        </w:rPr>
        <w:t>根据监测结果可知，监测因子</w:t>
      </w:r>
      <w:r>
        <w:rPr>
          <w:rFonts w:hint="default" w:ascii="Times New Roman" w:hAnsi="Times New Roman" w:eastAsia="Times New Roman" w:cs="Times New Roman"/>
          <w:color w:val="000000" w:themeColor="text1"/>
          <w:sz w:val="24"/>
          <w:szCs w:val="24"/>
          <w:u w:val="single"/>
          <w14:textFill>
            <w14:solidFill>
              <w14:schemeClr w14:val="tx1"/>
            </w14:solidFill>
          </w14:textFill>
        </w:rPr>
        <w:t>TVOC</w:t>
      </w:r>
      <w:r>
        <w:rPr>
          <w:rFonts w:hint="default" w:ascii="Times New Roman" w:hAnsi="Times New Roman" w:eastAsia="宋体" w:cs="Times New Roman"/>
          <w:color w:val="000000" w:themeColor="text1"/>
          <w:sz w:val="24"/>
          <w:szCs w:val="24"/>
          <w:u w:val="single"/>
          <w:lang w:eastAsia="zh-CN"/>
          <w14:textFill>
            <w14:solidFill>
              <w14:schemeClr w14:val="tx1"/>
            </w14:solidFill>
          </w14:textFill>
        </w:rPr>
        <w:t>、硫化氢和氨</w:t>
      </w:r>
      <w:r>
        <w:rPr>
          <w:rFonts w:hint="default" w:ascii="Times New Roman" w:hAnsi="Times New Roman" w:cs="Times New Roman"/>
          <w:color w:val="000000" w:themeColor="text1"/>
          <w:spacing w:val="-4"/>
          <w:sz w:val="24"/>
          <w:szCs w:val="24"/>
          <w:u w:val="single"/>
          <w14:textFill>
            <w14:solidFill>
              <w14:schemeClr w14:val="tx1"/>
            </w14:solidFill>
          </w14:textFill>
        </w:rPr>
        <w:t>均符合《环境影响评价技术导则 大气环境</w:t>
      </w:r>
      <w:r>
        <w:rPr>
          <w:rFonts w:hint="default" w:ascii="Times New Roman" w:hAnsi="Times New Roman" w:cs="Times New Roman"/>
          <w:color w:val="000000" w:themeColor="text1"/>
          <w:sz w:val="24"/>
          <w:szCs w:val="24"/>
          <w:u w:val="single"/>
          <w14:textFill>
            <w14:solidFill>
              <w14:schemeClr w14:val="tx1"/>
            </w14:solidFill>
          </w14:textFill>
        </w:rPr>
        <w:t>》（</w:t>
      </w:r>
      <w:r>
        <w:rPr>
          <w:rFonts w:hint="default" w:ascii="Times New Roman" w:hAnsi="Times New Roman" w:eastAsia="Times New Roman" w:cs="Times New Roman"/>
          <w:color w:val="000000" w:themeColor="text1"/>
          <w:sz w:val="24"/>
          <w:szCs w:val="24"/>
          <w:u w:val="single"/>
          <w14:textFill>
            <w14:solidFill>
              <w14:schemeClr w14:val="tx1"/>
            </w14:solidFill>
          </w14:textFill>
        </w:rPr>
        <w:t>HJ2.2-2018</w:t>
      </w:r>
      <w:r>
        <w:rPr>
          <w:rFonts w:hint="default" w:ascii="Times New Roman" w:hAnsi="Times New Roman" w:cs="Times New Roman"/>
          <w:color w:val="000000" w:themeColor="text1"/>
          <w:sz w:val="24"/>
          <w:szCs w:val="24"/>
          <w:u w:val="single"/>
          <w14:textFill>
            <w14:solidFill>
              <w14:schemeClr w14:val="tx1"/>
            </w14:solidFill>
          </w14:textFill>
        </w:rPr>
        <w:t>）</w:t>
      </w:r>
      <w:r>
        <w:rPr>
          <w:rFonts w:hint="default" w:ascii="Times New Roman" w:hAnsi="Times New Roman" w:cs="Times New Roman"/>
          <w:color w:val="000000" w:themeColor="text1"/>
          <w:spacing w:val="-21"/>
          <w:sz w:val="24"/>
          <w:szCs w:val="24"/>
          <w:u w:val="single"/>
          <w14:textFill>
            <w14:solidFill>
              <w14:schemeClr w14:val="tx1"/>
            </w14:solidFill>
          </w14:textFill>
        </w:rPr>
        <w:t>附录</w:t>
      </w:r>
      <w:r>
        <w:rPr>
          <w:rFonts w:hint="default" w:ascii="Times New Roman" w:hAnsi="Times New Roman" w:eastAsia="Times New Roman" w:cs="Times New Roman"/>
          <w:color w:val="000000" w:themeColor="text1"/>
          <w:sz w:val="24"/>
          <w:szCs w:val="24"/>
          <w:u w:val="single"/>
          <w14:textFill>
            <w14:solidFill>
              <w14:schemeClr w14:val="tx1"/>
            </w14:solidFill>
          </w14:textFill>
        </w:rPr>
        <w:t>D</w:t>
      </w:r>
      <w:r>
        <w:rPr>
          <w:rFonts w:hint="default" w:ascii="Times New Roman" w:hAnsi="Times New Roman" w:cs="Times New Roman"/>
          <w:color w:val="000000" w:themeColor="text1"/>
          <w:sz w:val="24"/>
          <w:szCs w:val="24"/>
          <w:u w:val="single"/>
          <w14:textFill>
            <w14:solidFill>
              <w14:schemeClr w14:val="tx1"/>
            </w14:solidFill>
          </w14:textFill>
        </w:rPr>
        <w:t>中的浓度限值，非甲烷总烃</w:t>
      </w:r>
      <w:r>
        <w:rPr>
          <w:rFonts w:hint="default" w:ascii="Times New Roman" w:hAnsi="Times New Roman" w:cs="Times New Roman"/>
          <w:color w:val="000000" w:themeColor="text1"/>
          <w:spacing w:val="6"/>
          <w:sz w:val="24"/>
          <w:szCs w:val="24"/>
          <w:u w:val="single"/>
          <w:lang w:bidi="ar"/>
          <w14:textFill>
            <w14:solidFill>
              <w14:schemeClr w14:val="tx1"/>
            </w14:solidFill>
          </w14:textFill>
        </w:rPr>
        <w:t>可以满足《大气综合污染综合排放标准详解》中的建议取值。</w:t>
      </w:r>
    </w:p>
    <w:p>
      <w:pPr>
        <w:numPr>
          <w:ilvl w:val="0"/>
          <w:numId w:val="21"/>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地下水环境</w:t>
      </w:r>
    </w:p>
    <w:p>
      <w:pPr>
        <w:adjustRightInd w:val="0"/>
        <w:snapToGrid w:val="0"/>
        <w:spacing w:line="360" w:lineRule="auto"/>
        <w:ind w:firstLine="480" w:firstLineChars="200"/>
        <w:rPr>
          <w:rFonts w:hint="eastAsia" w:eastAsia="宋体"/>
          <w:color w:val="000000" w:themeColor="text1"/>
          <w:u w:val="single"/>
          <w:lang w:eastAsia="zh-CN"/>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根据《环境影响评价技术导则  地下水环境》（HJ610-2016）相关要求：“地下水环境影响评价应充分利用已有资料和数据，二级评价项目潜水含水层水质监测点不少于5个，原则上上游及下游影响区域的地下水水质监测点不得少于一个”因此，为了解项目评价区域地下水环境质量现状，本次环评收集了《</w:t>
      </w:r>
      <w:r>
        <w:rPr>
          <w:rFonts w:hint="default" w:ascii="Times New Roman" w:hAnsi="Times New Roman" w:cs="Times New Roman"/>
          <w:color w:val="000000" w:themeColor="text1"/>
          <w:u w:val="single"/>
          <w:lang w:eastAsia="zh-CN"/>
          <w14:textFill>
            <w14:solidFill>
              <w14:schemeClr w14:val="tx1"/>
            </w14:solidFill>
          </w14:textFill>
        </w:rPr>
        <w:t>岳阳隆兴实业公司合成化工厂氯丁烷装置扩能改造及新建原料产品罐区项目</w:t>
      </w:r>
      <w:r>
        <w:rPr>
          <w:rFonts w:hint="default" w:ascii="Times New Roman" w:hAnsi="Times New Roman" w:cs="Times New Roman"/>
          <w:color w:val="000000" w:themeColor="text1"/>
          <w:u w:val="single"/>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w:t>
      </w:r>
      <w:r>
        <w:rPr>
          <w:rFonts w:hint="default" w:ascii="Times New Roman" w:hAnsi="Times New Roman" w:cs="Times New Roman"/>
          <w:color w:val="000000" w:themeColor="text1"/>
          <w:u w:val="single"/>
          <w:lang w:val="en-US" w:eastAsia="zh-CN"/>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岳阳市云溪区云溪加油站建设项目</w:t>
      </w:r>
      <w:r>
        <w:rPr>
          <w:rFonts w:hint="default" w:ascii="Times New Roman" w:hAnsi="Times New Roman" w:cs="Times New Roman"/>
          <w:color w:val="000000" w:themeColor="text1"/>
          <w:u w:val="single"/>
          <w:lang w:val="en-US" w:eastAsia="zh-CN"/>
          <w14:textFill>
            <w14:solidFill>
              <w14:schemeClr w14:val="tx1"/>
            </w14:solidFill>
          </w14:textFill>
        </w:rPr>
        <w:t>》</w:t>
      </w:r>
      <w:r>
        <w:rPr>
          <w:rFonts w:hint="eastAsia" w:cs="Times New Roman"/>
          <w:color w:val="000000" w:themeColor="text1"/>
          <w:u w:val="single"/>
          <w:lang w:val="en-US" w:eastAsia="zh-CN"/>
          <w14:textFill>
            <w14:solidFill>
              <w14:schemeClr w14:val="tx1"/>
            </w14:solidFill>
          </w14:textFill>
        </w:rPr>
        <w:t>和</w:t>
      </w:r>
      <w:r>
        <w:rPr>
          <w:rFonts w:hint="eastAsia" w:cs="Times New Roman"/>
          <w:color w:val="000000" w:themeColor="text1"/>
          <w:szCs w:val="20"/>
          <w:u w:val="single"/>
          <w:lang w:eastAsia="zh-CN"/>
          <w14:textFill>
            <w14:solidFill>
              <w14:schemeClr w14:val="tx1"/>
            </w14:solidFill>
          </w14:textFill>
        </w:rPr>
        <w:t>《云溪区工业固体废弃物处置</w:t>
      </w:r>
      <w:r>
        <w:rPr>
          <w:rFonts w:hint="eastAsia" w:cs="Times New Roman"/>
          <w:color w:val="000000" w:themeColor="text1"/>
          <w:szCs w:val="20"/>
          <w:u w:val="single"/>
          <w:lang w:val="en-US" w:eastAsia="zh-CN"/>
          <w14:textFill>
            <w14:solidFill>
              <w14:schemeClr w14:val="tx1"/>
            </w14:solidFill>
          </w14:textFill>
        </w:rPr>
        <w:t>（一期工程）</w:t>
      </w:r>
      <w:r>
        <w:rPr>
          <w:rFonts w:hint="eastAsia" w:cs="Times New Roman"/>
          <w:color w:val="000000" w:themeColor="text1"/>
          <w:szCs w:val="20"/>
          <w:u w:val="single"/>
          <w:lang w:eastAsia="zh-CN"/>
          <w14:textFill>
            <w14:solidFill>
              <w14:schemeClr w14:val="tx1"/>
            </w14:solidFill>
          </w14:textFill>
        </w:rPr>
        <w:t>》</w:t>
      </w:r>
      <w:r>
        <w:rPr>
          <w:rFonts w:hint="eastAsia" w:cs="Times New Roman"/>
          <w:color w:val="000000" w:themeColor="text1"/>
          <w:szCs w:val="20"/>
          <w:u w:val="single"/>
          <w:lang w:val="en-US" w:eastAsia="zh-CN"/>
          <w14:textFill>
            <w14:solidFill>
              <w14:schemeClr w14:val="tx1"/>
            </w14:solidFill>
          </w14:textFill>
        </w:rPr>
        <w:t>的</w:t>
      </w:r>
      <w:r>
        <w:rPr>
          <w:rFonts w:hint="default" w:ascii="Times New Roman" w:hAnsi="Times New Roman" w:cs="Times New Roman"/>
          <w:color w:val="000000" w:themeColor="text1"/>
          <w:u w:val="single"/>
          <w:lang w:val="en-US" w:eastAsia="zh-CN"/>
          <w14:textFill>
            <w14:solidFill>
              <w14:schemeClr w14:val="tx1"/>
            </w14:solidFill>
          </w14:textFill>
        </w:rPr>
        <w:t>地下水环境质量监测数据</w:t>
      </w:r>
      <w:r>
        <w:rPr>
          <w:rFonts w:hint="eastAsia"/>
          <w:color w:val="000000" w:themeColor="text1"/>
          <w:u w:val="single"/>
          <w:lang w:eastAsia="zh-CN"/>
          <w14:textFill>
            <w14:solidFill>
              <w14:schemeClr w14:val="tx1"/>
            </w14:solidFill>
          </w14:textFill>
        </w:rPr>
        <w:t>，由监测数据可知，</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总体上项目区地下水基本满足《地下水水质标准》(</w:t>
      </w:r>
      <w:r>
        <w:rPr>
          <w:rFonts w:hint="default" w:ascii="Times New Roman" w:hAnsi="Times New Roman" w:cs="Times New Roman"/>
          <w:b w:val="0"/>
          <w:bCs/>
          <w:color w:val="000000" w:themeColor="text1"/>
          <w:sz w:val="24"/>
          <w:szCs w:val="24"/>
          <w14:textFill>
            <w14:solidFill>
              <w14:schemeClr w14:val="tx1"/>
            </w14:solidFill>
          </w14:textFill>
        </w:rPr>
        <w:t>GB/T14848-2017</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)中</w:t>
      </w:r>
      <w:r>
        <w:rPr>
          <w:rFonts w:hint="default" w:ascii="Times New Roman" w:hAnsi="Times New Roman" w:cs="Times New Roman"/>
          <w:b w:val="0"/>
          <w:bCs/>
          <w:color w:val="000000" w:themeColor="text1"/>
          <w:sz w:val="24"/>
          <w:szCs w:val="24"/>
          <w14:textFill>
            <w14:solidFill>
              <w14:schemeClr w14:val="tx1"/>
            </w14:solidFill>
          </w14:textFill>
        </w:rPr>
        <w:t>Ⅲ类标准</w:t>
      </w:r>
      <w:r>
        <w:rPr>
          <w:rFonts w:hint="default" w:ascii="Times New Roman" w:hAnsi="Times New Roman" w:cs="Times New Roman"/>
          <w:b w:val="0"/>
          <w:bCs/>
          <w:color w:val="000000" w:themeColor="text1"/>
          <w:sz w:val="24"/>
          <w:szCs w:val="24"/>
          <w:lang w:eastAsia="zh-CN"/>
          <w14:textFill>
            <w14:solidFill>
              <w14:schemeClr w14:val="tx1"/>
            </w14:solidFill>
          </w14:textFill>
        </w:rPr>
        <w:t>的要求</w:t>
      </w:r>
      <w:r>
        <w:rPr>
          <w:rFonts w:hint="eastAsia" w:ascii="Times New Roman" w:hAnsi="Times New Roman" w:cs="Times New Roman"/>
          <w:b w:val="0"/>
          <w:bCs/>
          <w:color w:val="000000" w:themeColor="text1"/>
          <w:sz w:val="24"/>
          <w:szCs w:val="24"/>
          <w:lang w:eastAsia="zh-CN"/>
          <w14:textFill>
            <w14:solidFill>
              <w14:schemeClr w14:val="tx1"/>
            </w14:solidFill>
          </w14:textFill>
        </w:rPr>
        <w:t>，</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但是云溪区工业固体废弃物处置（一期工程）项目中地下水监测数据中的PH和总大肠菌群超标，出现超标的原因分析如下：总大肠菌群和PH超标的主要原因有两个：第一是取样地下水属于浅层地下水，由于周边存在自住民房、其生活垃圾、排泄物的污染导致浅层地下水存在污染。另外一个原因是钻孔水量较小，取样前抽水时间较短，抽水设备存在一定的人为污染。</w:t>
      </w:r>
    </w:p>
    <w:p>
      <w:pPr>
        <w:numPr>
          <w:ilvl w:val="0"/>
          <w:numId w:val="21"/>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声环境</w:t>
      </w:r>
    </w:p>
    <w:p>
      <w:pPr>
        <w:widowControl/>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项目地声环境昼间、夜间均能达到《声环境质量标准》（GB3096-2008）中的3类标准要求（</w:t>
      </w:r>
      <w:r>
        <w:rPr>
          <w:color w:val="000000" w:themeColor="text1"/>
          <w:kern w:val="0"/>
          <w:szCs w:val="24"/>
          <w14:textFill>
            <w14:solidFill>
              <w14:schemeClr w14:val="tx1"/>
            </w14:solidFill>
          </w14:textFill>
        </w:rPr>
        <w:t>昼间≤65dB（A）；夜间≤55 dB（A）</w:t>
      </w:r>
      <w:r>
        <w:rPr>
          <w:color w:val="000000" w:themeColor="text1"/>
          <w14:textFill>
            <w14:solidFill>
              <w14:schemeClr w14:val="tx1"/>
            </w14:solidFill>
          </w14:textFill>
        </w:rPr>
        <w:t>）。</w:t>
      </w:r>
    </w:p>
    <w:p>
      <w:pPr>
        <w:numPr>
          <w:ilvl w:val="0"/>
          <w:numId w:val="21"/>
        </w:num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土壤环境</w:t>
      </w:r>
    </w:p>
    <w:p>
      <w:pPr>
        <w:widowControl/>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 xml:space="preserve">监测结果表明，各监测点各监测因子均符合《土壤环境质量 建设用地土壤污染风险管控标准（试行）》（GB36600-2018）第二类用地筛选值标准。 </w:t>
      </w:r>
    </w:p>
    <w:p>
      <w:pPr>
        <w:pStyle w:val="4"/>
        <w:adjustRightInd w:val="0"/>
        <w:snapToGrid w:val="0"/>
        <w:rPr>
          <w:color w:val="000000" w:themeColor="text1"/>
          <w14:textFill>
            <w14:solidFill>
              <w14:schemeClr w14:val="tx1"/>
            </w14:solidFill>
          </w14:textFill>
        </w:rPr>
      </w:pPr>
      <w:bookmarkStart w:id="578" w:name="_Toc27259"/>
      <w:bookmarkStart w:id="579" w:name="_Toc532376185"/>
      <w:bookmarkStart w:id="580" w:name="_Toc532498778"/>
      <w:bookmarkStart w:id="581" w:name="_Toc532763242"/>
      <w:bookmarkStart w:id="582" w:name="_Toc532497732"/>
      <w:r>
        <w:rPr>
          <w:color w:val="000000" w:themeColor="text1"/>
          <w14:textFill>
            <w14:solidFill>
              <w14:schemeClr w14:val="tx1"/>
            </w14:solidFill>
          </w14:textFill>
        </w:rPr>
        <w:t>环境影响预测与评价</w:t>
      </w:r>
      <w:bookmarkEnd w:id="578"/>
      <w:bookmarkEnd w:id="579"/>
      <w:bookmarkEnd w:id="580"/>
      <w:bookmarkEnd w:id="581"/>
      <w:bookmarkEnd w:id="582"/>
    </w:p>
    <w:p>
      <w:pPr>
        <w:adjustRightInd w:val="0"/>
        <w:snapToGrid w:val="0"/>
        <w:spacing w:line="360" w:lineRule="auto"/>
        <w:ind w:left="600"/>
        <w:rPr>
          <w:bCs/>
          <w:color w:val="000000" w:themeColor="text1"/>
          <w14:textFill>
            <w14:solidFill>
              <w14:schemeClr w14:val="tx1"/>
            </w14:solidFill>
          </w14:textFill>
        </w:rPr>
      </w:pPr>
      <w:r>
        <w:rPr>
          <w:color w:val="000000" w:themeColor="text1"/>
          <w14:textFill>
            <w14:solidFill>
              <w14:schemeClr w14:val="tx1"/>
            </w14:solidFill>
          </w14:textFill>
        </w:rPr>
        <w:t>（1）</w:t>
      </w:r>
      <w:r>
        <w:rPr>
          <w:bCs/>
          <w:color w:val="000000" w:themeColor="text1"/>
          <w14:textFill>
            <w14:solidFill>
              <w14:schemeClr w14:val="tx1"/>
            </w14:solidFill>
          </w14:textFill>
        </w:rPr>
        <w:t>环境空气影响分析</w:t>
      </w:r>
    </w:p>
    <w:p>
      <w:pPr>
        <w:widowControl/>
        <w:spacing w:line="360" w:lineRule="auto"/>
        <w:ind w:firstLine="480" w:firstLineChars="200"/>
        <w:jc w:val="left"/>
        <w:rPr>
          <w:color w:val="000000" w:themeColor="text1"/>
          <w14:textFill>
            <w14:solidFill>
              <w14:schemeClr w14:val="tx1"/>
            </w14:solidFill>
          </w14:textFill>
        </w:rPr>
      </w:pPr>
      <w:r>
        <w:rPr>
          <w:color w:val="000000" w:themeColor="text1"/>
          <w:kern w:val="0"/>
          <w:szCs w:val="24"/>
          <w14:textFill>
            <w14:solidFill>
              <w14:schemeClr w14:val="tx1"/>
            </w14:solidFill>
          </w14:textFill>
        </w:rPr>
        <w:t>根据估算模式结果分析可知，项目有组织外排污染物和厂区无组织排放废气最大占标率均低于1%，各污染物的最大落地浓度均达到相应标准限值要求。因此，项目运营期间产生的大气污染物对周围环境影响不大。</w:t>
      </w:r>
    </w:p>
    <w:p>
      <w:pPr>
        <w:adjustRightInd w:val="0"/>
        <w:snapToGrid w:val="0"/>
        <w:spacing w:line="360" w:lineRule="auto"/>
        <w:ind w:left="600"/>
        <w:rPr>
          <w:bCs/>
          <w:color w:val="000000" w:themeColor="text1"/>
          <w14:textFill>
            <w14:solidFill>
              <w14:schemeClr w14:val="tx1"/>
            </w14:solidFill>
          </w14:textFill>
        </w:rPr>
      </w:pPr>
      <w:r>
        <w:rPr>
          <w:color w:val="000000" w:themeColor="text1"/>
          <w14:textFill>
            <w14:solidFill>
              <w14:schemeClr w14:val="tx1"/>
            </w14:solidFill>
          </w14:textFill>
        </w:rPr>
        <w:t>（2）</w:t>
      </w:r>
      <w:r>
        <w:rPr>
          <w:bCs/>
          <w:color w:val="000000" w:themeColor="text1"/>
          <w14:textFill>
            <w14:solidFill>
              <w14:schemeClr w14:val="tx1"/>
            </w14:solidFill>
          </w14:textFill>
        </w:rPr>
        <w:t>地表水影响分析</w:t>
      </w:r>
    </w:p>
    <w:p>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本项目废水排放量和废水中的污染物浓度均</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石油炼制工业污染物排放标准</w:t>
      </w:r>
      <w:r>
        <w:rPr>
          <w:color w:val="000000" w:themeColor="text1"/>
          <w14:textFill>
            <w14:solidFill>
              <w14:schemeClr w14:val="tx1"/>
            </w14:solidFill>
          </w14:textFill>
        </w:rPr>
        <w:t>》（GB3157</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-2015）表2水污染物特别排放限值中的间接排放限值</w:t>
      </w:r>
      <w:r>
        <w:rPr>
          <w:rFonts w:hint="eastAsia"/>
          <w:color w:val="000000" w:themeColor="text1"/>
          <w:lang w:val="en-US" w:eastAsia="zh-CN"/>
          <w14:textFill>
            <w14:solidFill>
              <w14:schemeClr w14:val="tx1"/>
            </w14:solidFill>
          </w14:textFill>
        </w:rPr>
        <w:t>的</w:t>
      </w:r>
      <w:r>
        <w:rPr>
          <w:bCs/>
          <w:color w:val="000000" w:themeColor="text1"/>
          <w14:textFill>
            <w14:solidFill>
              <w14:schemeClr w14:val="tx1"/>
            </w14:solidFill>
          </w14:textFill>
        </w:rPr>
        <w:t>排放要求。在目前长江道仁矶段水质变化不大的情况下，项目废水总排放量和污染物的排放量增加不多且在允许的范围内，对地表水的影响可维持在现有水平。</w:t>
      </w:r>
    </w:p>
    <w:p>
      <w:pPr>
        <w:adjustRightInd w:val="0"/>
        <w:snapToGrid w:val="0"/>
        <w:spacing w:line="360" w:lineRule="auto"/>
        <w:ind w:left="600"/>
        <w:rPr>
          <w:bCs/>
          <w:color w:val="000000" w:themeColor="text1"/>
          <w14:textFill>
            <w14:solidFill>
              <w14:schemeClr w14:val="tx1"/>
            </w14:solidFill>
          </w14:textFill>
        </w:rPr>
      </w:pPr>
      <w:r>
        <w:rPr>
          <w:color w:val="000000" w:themeColor="text1"/>
          <w14:textFill>
            <w14:solidFill>
              <w14:schemeClr w14:val="tx1"/>
            </w14:solidFill>
          </w14:textFill>
        </w:rPr>
        <w:t>（3）</w:t>
      </w:r>
      <w:r>
        <w:rPr>
          <w:bCs/>
          <w:color w:val="000000" w:themeColor="text1"/>
          <w14:textFill>
            <w14:solidFill>
              <w14:schemeClr w14:val="tx1"/>
            </w14:solidFill>
          </w14:textFill>
        </w:rPr>
        <w:t>地下水影响分析</w:t>
      </w:r>
    </w:p>
    <w:p>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正常工况下，项目产生的废水经收集后去</w:t>
      </w:r>
      <w:r>
        <w:rPr>
          <w:rFonts w:hint="default"/>
          <w:bCs/>
          <w:color w:val="000000" w:themeColor="text1"/>
          <w14:textFill>
            <w14:solidFill>
              <w14:schemeClr w14:val="tx1"/>
            </w14:solidFill>
          </w14:textFill>
        </w:rPr>
        <w:t>巴陵石化水务部云溪生化装置</w:t>
      </w:r>
      <w:r>
        <w:rPr>
          <w:bCs/>
          <w:color w:val="000000" w:themeColor="text1"/>
          <w14:textFill>
            <w14:solidFill>
              <w14:schemeClr w14:val="tx1"/>
            </w14:solidFill>
          </w14:textFill>
        </w:rPr>
        <w:t>，不会对地下水环境造成污染。装置区围堰内经过防渗处理，正常情况下也不会对围堰内地下水产生不利影响。在采取及时回收等措施的前提下，事故状态下（不破坏防渗层的情况下）污染泄露不会对重点污染源区和非污染区地下水产生不利的影响。</w:t>
      </w:r>
    </w:p>
    <w:p>
      <w:pPr>
        <w:adjustRightInd w:val="0"/>
        <w:snapToGrid w:val="0"/>
        <w:spacing w:line="360" w:lineRule="auto"/>
        <w:ind w:left="600"/>
        <w:rPr>
          <w:bCs/>
          <w:color w:val="000000" w:themeColor="text1"/>
          <w14:textFill>
            <w14:solidFill>
              <w14:schemeClr w14:val="tx1"/>
            </w14:solidFill>
          </w14:textFill>
        </w:rPr>
      </w:pPr>
      <w:r>
        <w:rPr>
          <w:color w:val="000000" w:themeColor="text1"/>
          <w14:textFill>
            <w14:solidFill>
              <w14:schemeClr w14:val="tx1"/>
            </w14:solidFill>
          </w14:textFill>
        </w:rPr>
        <w:t>（4）</w:t>
      </w:r>
      <w:r>
        <w:rPr>
          <w:bCs/>
          <w:color w:val="000000" w:themeColor="text1"/>
          <w14:textFill>
            <w14:solidFill>
              <w14:schemeClr w14:val="tx1"/>
            </w14:solidFill>
          </w14:textFill>
        </w:rPr>
        <w:t>声环境影响分析</w:t>
      </w:r>
    </w:p>
    <w:p>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项目建成投产后，厂界昼间、夜间预测值均满足《工业企业厂界环境噪声排放标准》（GB12348-2008）3类标准限值要求，对周边环境影响较小。</w:t>
      </w:r>
    </w:p>
    <w:p>
      <w:pPr>
        <w:adjustRightInd w:val="0"/>
        <w:snapToGrid w:val="0"/>
        <w:spacing w:line="360" w:lineRule="auto"/>
        <w:ind w:left="600"/>
        <w:rPr>
          <w:bCs/>
          <w:color w:val="000000" w:themeColor="text1"/>
          <w14:textFill>
            <w14:solidFill>
              <w14:schemeClr w14:val="tx1"/>
            </w14:solidFill>
          </w14:textFill>
        </w:rPr>
      </w:pPr>
      <w:r>
        <w:rPr>
          <w:color w:val="000000" w:themeColor="text1"/>
          <w14:textFill>
            <w14:solidFill>
              <w14:schemeClr w14:val="tx1"/>
            </w14:solidFill>
          </w14:textFill>
        </w:rPr>
        <w:t>（5）</w:t>
      </w:r>
      <w:r>
        <w:rPr>
          <w:bCs/>
          <w:color w:val="000000" w:themeColor="text1"/>
          <w14:textFill>
            <w14:solidFill>
              <w14:schemeClr w14:val="tx1"/>
            </w14:solidFill>
          </w14:textFill>
        </w:rPr>
        <w:t>固体废物影响分析</w:t>
      </w:r>
    </w:p>
    <w:p>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项目危险废物集中收集后交有资质单位处理，能得到妥善处置，对外环境的污染影响较小。</w:t>
      </w:r>
    </w:p>
    <w:p>
      <w:pPr>
        <w:adjustRightInd w:val="0"/>
        <w:snapToGrid w:val="0"/>
        <w:spacing w:line="360" w:lineRule="auto"/>
        <w:ind w:left="600"/>
        <w:rPr>
          <w:bCs/>
          <w:color w:val="000000" w:themeColor="text1"/>
          <w14:textFill>
            <w14:solidFill>
              <w14:schemeClr w14:val="tx1"/>
            </w14:solidFill>
          </w14:textFill>
        </w:rPr>
      </w:pPr>
      <w:r>
        <w:rPr>
          <w:color w:val="000000" w:themeColor="text1"/>
          <w14:textFill>
            <w14:solidFill>
              <w14:schemeClr w14:val="tx1"/>
            </w14:solidFill>
          </w14:textFill>
        </w:rPr>
        <w:t>（6）</w:t>
      </w:r>
      <w:r>
        <w:rPr>
          <w:bCs/>
          <w:color w:val="000000" w:themeColor="text1"/>
          <w14:textFill>
            <w14:solidFill>
              <w14:schemeClr w14:val="tx1"/>
            </w14:solidFill>
          </w14:textFill>
        </w:rPr>
        <w:t>土壤环境影响分析</w:t>
      </w:r>
    </w:p>
    <w:p>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根随着外来气源性VOCs输入时间的延长，在土壤中的累积量逐步增加，但累积增加量很小。由预测数据可知，项目运营5~30年后周围影响区域土壤中物质累积量运小于《土壤环境质量  建设用地土壤污染风险管控标准（试行）》（GB15618-2018），对占地范围内及占地范围外0.2km范围没土壤环境影响较小。</w:t>
      </w:r>
    </w:p>
    <w:p>
      <w:pPr>
        <w:spacing w:line="360" w:lineRule="auto"/>
        <w:ind w:firstLine="480" w:firstLineChars="200"/>
        <w:rPr>
          <w:color w:val="000000" w:themeColor="text1"/>
          <w14:textFill>
            <w14:solidFill>
              <w14:schemeClr w14:val="tx1"/>
            </w14:solidFill>
          </w14:textFill>
        </w:rPr>
      </w:pPr>
      <w:bookmarkStart w:id="583" w:name="_Toc532498779"/>
      <w:bookmarkStart w:id="584" w:name="_Toc532497735"/>
      <w:bookmarkStart w:id="585" w:name="_Toc532376186"/>
      <w:bookmarkStart w:id="586" w:name="_Toc532763243"/>
      <w:r>
        <w:rPr>
          <w:color w:val="000000" w:themeColor="text1"/>
          <w14:textFill>
            <w14:solidFill>
              <w14:schemeClr w14:val="tx1"/>
            </w14:solidFill>
          </w14:textFill>
        </w:rPr>
        <w:t>项目政策符合性和选址合理性</w:t>
      </w:r>
      <w:bookmarkEnd w:id="583"/>
      <w:bookmarkEnd w:id="584"/>
      <w:bookmarkEnd w:id="585"/>
      <w:bookmarkEnd w:id="586"/>
    </w:p>
    <w:p>
      <w:pPr>
        <w:pStyle w:val="4"/>
        <w:rPr>
          <w:color w:val="000000" w:themeColor="text1"/>
          <w14:textFill>
            <w14:solidFill>
              <w14:schemeClr w14:val="tx1"/>
            </w14:solidFill>
          </w14:textFill>
        </w:rPr>
      </w:pPr>
      <w:bookmarkStart w:id="587" w:name="_Toc30265"/>
      <w:r>
        <w:rPr>
          <w:color w:val="000000" w:themeColor="text1"/>
          <w14:textFill>
            <w14:solidFill>
              <w14:schemeClr w14:val="tx1"/>
            </w14:solidFill>
          </w14:textFill>
        </w:rPr>
        <w:t>环保措施可行性</w:t>
      </w:r>
      <w:bookmarkEnd w:id="58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装置、储罐管道跑漏废气主要经过氮封，集气系统涵盖每个产气点，并增加系统的密封性保证足够的处理能力，定期检测定期维护等措施进行处理；油汽冷凝过程未冷凝下来的不凝气通过管道进入公司的火炬进行燃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项目员工生活污水及生产废水经炼油部预处理站污水处理系统预处理后满足</w:t>
      </w:r>
      <w:r>
        <w:rPr>
          <w:rFonts w:hint="default"/>
          <w:color w:val="000000" w:themeColor="text1"/>
          <w14:textFill>
            <w14:solidFill>
              <w14:schemeClr w14:val="tx1"/>
            </w14:solidFill>
          </w14:textFill>
        </w:rPr>
        <w:t>巴陵石化水务部云溪生化装置</w:t>
      </w:r>
      <w:r>
        <w:rPr>
          <w:color w:val="000000" w:themeColor="text1"/>
          <w14:textFill>
            <w14:solidFill>
              <w14:schemeClr w14:val="tx1"/>
            </w14:solidFill>
          </w14:textFill>
        </w:rPr>
        <w:t>接纳标准及《</w:t>
      </w:r>
      <w:r>
        <w:rPr>
          <w:rFonts w:hint="eastAsia"/>
          <w:color w:val="000000" w:themeColor="text1"/>
          <w:lang w:eastAsia="zh-CN"/>
          <w14:textFill>
            <w14:solidFill>
              <w14:schemeClr w14:val="tx1"/>
            </w14:solidFill>
          </w14:textFill>
        </w:rPr>
        <w:t>石油炼制工业污染物排放标准</w:t>
      </w:r>
      <w:r>
        <w:rPr>
          <w:color w:val="000000" w:themeColor="text1"/>
          <w14:textFill>
            <w14:solidFill>
              <w14:schemeClr w14:val="tx1"/>
            </w14:solidFill>
          </w14:textFill>
        </w:rPr>
        <w:t>》（GB3157</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-2015）间接排放标准后送入巴陵石化分公司污水处理厂处理达标后排放到长江，对区域水环境影响较小。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选用低噪声设备；对车间设备安装基础减振；高噪声设备采取合理布置的方式，置于室内。通过采取上述措施后，根据预测结果，本项目生产设备噪声叠加本底值后各厂界昼夜噪声均能达到《工业企业厂界环境噪声排放标准》（GB12348-2008）中3类标准要求；说明本项目噪声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本项目产生的</w:t>
      </w:r>
      <w:r>
        <w:rPr>
          <w:color w:val="000000" w:themeColor="text1"/>
          <w14:textFill>
            <w14:solidFill>
              <w14:schemeClr w14:val="tx1"/>
            </w14:solidFill>
          </w14:textFill>
        </w:rPr>
        <w:t>危险废物暂存后定期交由有资质单位回收处置。本项目所有固体废物均得到了合理处置，防治措施可行。</w:t>
      </w:r>
    </w:p>
    <w:p>
      <w:pPr>
        <w:pStyle w:val="4"/>
        <w:rPr>
          <w:color w:val="000000" w:themeColor="text1"/>
          <w14:textFill>
            <w14:solidFill>
              <w14:schemeClr w14:val="tx1"/>
            </w14:solidFill>
          </w14:textFill>
        </w:rPr>
      </w:pPr>
      <w:bookmarkStart w:id="588" w:name="_Toc27868"/>
      <w:r>
        <w:rPr>
          <w:color w:val="000000" w:themeColor="text1"/>
          <w14:textFill>
            <w14:solidFill>
              <w14:schemeClr w14:val="tx1"/>
            </w14:solidFill>
          </w14:textFill>
        </w:rPr>
        <w:t>项目政策符合性和选址合理性</w:t>
      </w:r>
      <w:bookmarkEnd w:id="588"/>
    </w:p>
    <w:p>
      <w:pPr>
        <w:pStyle w:val="5"/>
        <w:rPr>
          <w:color w:val="000000" w:themeColor="text1"/>
          <w14:textFill>
            <w14:solidFill>
              <w14:schemeClr w14:val="tx1"/>
            </w14:solidFill>
          </w14:textFill>
        </w:rPr>
      </w:pPr>
      <w:r>
        <w:rPr>
          <w:color w:val="000000" w:themeColor="text1"/>
          <w14:textFill>
            <w14:solidFill>
              <w14:schemeClr w14:val="tx1"/>
            </w14:solidFill>
          </w14:textFill>
        </w:rPr>
        <w:t>建设项目可行性分析</w:t>
      </w:r>
    </w:p>
    <w:p>
      <w:pPr>
        <w:numPr>
          <w:ilvl w:val="0"/>
          <w:numId w:val="22"/>
        </w:num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产业政策符合性分析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本项目对照《产业结构调整指导目录（2019年本）》，项目不属于淘汰、限制类。根据《部分工业行业淘汰落后生产工艺装备和产品指导目录（2010年本）》，本项目使用的原材料、生产设备等，均不属于《部分工业行业淘汰落后生产工艺装备和产品指导目录（2010年本）》中的淘汰类，因此，本项目的建设符合国家产业政策。 </w:t>
      </w:r>
    </w:p>
    <w:p>
      <w:pPr>
        <w:numPr>
          <w:ilvl w:val="0"/>
          <w:numId w:val="22"/>
        </w:numPr>
        <w:adjustRightInd w:val="0"/>
        <w:snapToGrid w:val="0"/>
        <w:spacing w:line="360" w:lineRule="auto"/>
        <w:ind w:firstLine="480" w:firstLineChars="200"/>
        <w:rPr>
          <w:rFonts w:hint="default" w:ascii="Times New Roman" w:hAnsi="Times New Roman" w:cs="Times New Roman"/>
          <w:snapToGrid w:val="0"/>
          <w:color w:val="000000" w:themeColor="text1"/>
          <w:kern w:val="0"/>
          <w14:textFill>
            <w14:solidFill>
              <w14:schemeClr w14:val="tx1"/>
            </w14:solidFill>
          </w14:textFill>
        </w:rPr>
      </w:pPr>
      <w:r>
        <w:rPr>
          <w:rFonts w:hint="default" w:ascii="Times New Roman" w:hAnsi="Times New Roman" w:cs="Times New Roman"/>
          <w:snapToGrid w:val="0"/>
          <w:color w:val="000000" w:themeColor="text1"/>
          <w:kern w:val="0"/>
          <w14:textFill>
            <w14:solidFill>
              <w14:schemeClr w14:val="tx1"/>
            </w14:solidFill>
          </w14:textFill>
        </w:rPr>
        <w:t>其他相关性分析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不属于《环境保护综合名录（2017年版）》中的“一、高污染、高环境风险产品名录”产品，符合《环境保护综合名录（2017年版）》相关要求；项目位于中国石化集团经营管理有限公司巴陵石化分公司，属于精细化工（含农药及专用化学品）行业，符合《湖南省石化工业“十三五”发展规划》；项目营运期废水经收集后排入中国石化集团经营管理有限公司巴陵石化分公司污水处理厂深度处理，经处理后的尾水可达到《</w:t>
      </w:r>
      <w:r>
        <w:rPr>
          <w:rFonts w:hint="eastAsia" w:cs="Times New Roman"/>
          <w:color w:val="000000" w:themeColor="text1"/>
          <w:lang w:val="en-US" w:eastAsia="zh-CN"/>
          <w14:textFill>
            <w14:solidFill>
              <w14:schemeClr w14:val="tx1"/>
            </w14:solidFill>
          </w14:textFill>
        </w:rPr>
        <w:t>石油炼制工业污染物排放标准</w:t>
      </w:r>
      <w:r>
        <w:rPr>
          <w:rFonts w:hint="default" w:ascii="Times New Roman" w:hAnsi="Times New Roman" w:cs="Times New Roman"/>
          <w:color w:val="000000" w:themeColor="text1"/>
          <w14:textFill>
            <w14:solidFill>
              <w14:schemeClr w14:val="tx1"/>
            </w14:solidFill>
          </w14:textFill>
        </w:rPr>
        <w:t>》（GB3157</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-2015）中的直接排放标准后经管网排至长江；本项目位于</w:t>
      </w:r>
      <w:r>
        <w:rPr>
          <w:rFonts w:hint="eastAsia" w:cs="Times New Roman"/>
          <w:color w:val="000000" w:themeColor="text1"/>
          <w:lang w:val="en-US" w:eastAsia="zh-CN"/>
          <w14:textFill>
            <w14:solidFill>
              <w14:schemeClr w14:val="tx1"/>
            </w14:solidFill>
          </w14:textFill>
        </w:rPr>
        <w:t>中石化巴陵石化有限公司炼油部厂区内</w:t>
      </w:r>
      <w:r>
        <w:rPr>
          <w:rFonts w:hint="default" w:ascii="Times New Roman" w:hAnsi="Times New Roman" w:cs="Times New Roman"/>
          <w:color w:val="000000" w:themeColor="text1"/>
          <w14:textFill>
            <w14:solidFill>
              <w14:schemeClr w14:val="tx1"/>
            </w14:solidFill>
          </w14:textFill>
        </w:rPr>
        <w:t>，总用水量相对较小。本项目在公司现有厂区内建设，不属于禁止开发区域，不在生态保护红线范围内；经工程分析可知，本项目各污染物经收集处理后可达标排放；项目依托厂区内已建的事故池及应急系统，能够落实相关风险防范措施。根据以上分析，项目的建设与《长江经济带生态环境保护规划》相符。项目不属于《长江经济带发展负面清单指南（试行）》禁止建设项目，因此，项目的建设与《长江经济带发展负面清单指南（试行）》相符。对照《土壤污染防治行动计划》（国发[2016]31号），分析可知其符合其要求。</w:t>
      </w:r>
    </w:p>
    <w:p>
      <w:pPr>
        <w:numPr>
          <w:ilvl w:val="0"/>
          <w:numId w:val="22"/>
        </w:num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平面布置的合理性</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本项目各单元布置满足生产工艺流程要求，人流、物流顺畅，有利于生产，方便管理，满足国家现有的防火、卫生、安全等有关技术规范，因地制宜，紧凑布局。同时改造完成后项目总平面布置符合《石油化工企业设计防火规范》（GB50160-2008）、《石油化工企业厂区总平面布置设计规范》（SH/T 3053-2002）、《石油化工企业环境保护设计规范》（SH3024-95）要求，符合国家基本建设的方针政策要求，符合安全环保要求。 </w:t>
      </w:r>
    </w:p>
    <w:p>
      <w:pPr>
        <w:numPr>
          <w:ilvl w:val="0"/>
          <w:numId w:val="22"/>
        </w:num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项目选址合理性分析</w:t>
      </w:r>
    </w:p>
    <w:p>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本项目所选厂址交通条件便利，供水、供电设施齐全，区域具有一定的环境容量，项目建设与周围环境相容，公众支持，项目不存在的制约因素，从环保角度分析，项目的厂址选择是可行的。</w:t>
      </w:r>
    </w:p>
    <w:p>
      <w:pPr>
        <w:pStyle w:val="5"/>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公众参与</w:t>
      </w:r>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从环境信息公开及反馈的情况来看，周围公众对本项目的建设较了解，绝大多数人赞成本项目的建设，没有人反对项目建设。公众要求建设方在建设过程中做好环境管理和污染物防治工作，建设方对于公众的意见均表示采纳。</w:t>
      </w:r>
    </w:p>
    <w:p>
      <w:pPr>
        <w:pStyle w:val="4"/>
        <w:adjustRightInd w:val="0"/>
        <w:snapToGrid w:val="0"/>
        <w:rPr>
          <w:rFonts w:hint="default" w:ascii="Times New Roman" w:hAnsi="Times New Roman" w:cs="Times New Roman"/>
          <w:color w:val="000000" w:themeColor="text1"/>
          <w14:textFill>
            <w14:solidFill>
              <w14:schemeClr w14:val="tx1"/>
            </w14:solidFill>
          </w14:textFill>
        </w:rPr>
      </w:pPr>
      <w:bookmarkStart w:id="589" w:name="_Toc532497742"/>
      <w:bookmarkStart w:id="590" w:name="_Toc532376191"/>
      <w:bookmarkStart w:id="591" w:name="_Toc532498784"/>
      <w:bookmarkStart w:id="592" w:name="_Toc24464"/>
      <w:bookmarkStart w:id="593" w:name="_Toc532763248"/>
      <w:r>
        <w:rPr>
          <w:rFonts w:hint="default" w:ascii="Times New Roman" w:hAnsi="Times New Roman" w:cs="Times New Roman"/>
          <w:color w:val="000000" w:themeColor="text1"/>
          <w14:textFill>
            <w14:solidFill>
              <w14:schemeClr w14:val="tx1"/>
            </w14:solidFill>
          </w14:textFill>
        </w:rPr>
        <w:t>总结论</w:t>
      </w:r>
      <w:bookmarkEnd w:id="589"/>
      <w:bookmarkEnd w:id="590"/>
      <w:bookmarkEnd w:id="591"/>
      <w:bookmarkEnd w:id="592"/>
      <w:bookmarkEnd w:id="593"/>
    </w:p>
    <w:p>
      <w:pPr>
        <w:adjustRightInd w:val="0"/>
        <w:snapToGrid w:val="0"/>
        <w:spacing w:line="360" w:lineRule="auto"/>
        <w:ind w:firstLine="496" w:firstLineChars="200"/>
        <w:rPr>
          <w:rFonts w:hint="default" w:ascii="Times New Roman" w:hAnsi="Times New Roman" w:cs="Times New Roman"/>
          <w:color w:val="000000" w:themeColor="text1"/>
          <w:spacing w:val="4"/>
          <w14:textFill>
            <w14:solidFill>
              <w14:schemeClr w14:val="tx1"/>
            </w14:solidFill>
          </w14:textFill>
        </w:rPr>
      </w:pPr>
      <w:r>
        <w:rPr>
          <w:rFonts w:hint="default" w:ascii="Times New Roman" w:hAnsi="Times New Roman" w:cs="Times New Roman"/>
          <w:color w:val="000000" w:themeColor="text1"/>
          <w:spacing w:val="4"/>
          <w14:textFill>
            <w14:solidFill>
              <w14:schemeClr w14:val="tx1"/>
            </w14:solidFill>
          </w14:textFill>
        </w:rPr>
        <w:t>综上所述，本项目符合国家产业政策要求，选址符合岳阳市城市总体规划，建设项目所在区域环境现状功能良好，建设条件和设施较完善，可以满足建设需要，对周围环境的污染程度较轻，在采取相应的治理措施后，可达到相应的国家排放标准；项目实施后能满足区域环境质量与环境功能的要求；公众对本项目的实施持支持态度。项目在执行“三同时”原则的基础上，严格执行国家的环保法律法规，切实落实本环评中提出的各项污染防治和生态保护措施，将对周围环境的影响降低到可接受的程度。因此，从环保的角度分析，本项目的建设是可行的。</w:t>
      </w:r>
    </w:p>
    <w:p>
      <w:pPr>
        <w:pStyle w:val="4"/>
        <w:rPr>
          <w:rFonts w:hint="default" w:ascii="Times New Roman" w:hAnsi="Times New Roman" w:cs="Times New Roman"/>
          <w:color w:val="000000" w:themeColor="text1"/>
          <w14:textFill>
            <w14:solidFill>
              <w14:schemeClr w14:val="tx1"/>
            </w14:solidFill>
          </w14:textFill>
        </w:rPr>
      </w:pPr>
      <w:bookmarkStart w:id="594" w:name="_Toc22282"/>
      <w:r>
        <w:rPr>
          <w:rFonts w:hint="default" w:ascii="Times New Roman" w:hAnsi="Times New Roman" w:cs="Times New Roman"/>
          <w:color w:val="000000" w:themeColor="text1"/>
          <w14:textFill>
            <w14:solidFill>
              <w14:schemeClr w14:val="tx1"/>
            </w14:solidFill>
          </w14:textFill>
        </w:rPr>
        <w:t>建议与要求</w:t>
      </w:r>
      <w:bookmarkEnd w:id="594"/>
    </w:p>
    <w:p>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（1）加强职工环境意识教育，制定环保设施操作运行规程，建立健全各项环保岗位责任制，强化环保管理。严格落实本环评提出的 各种污染治理措施，确保环保设施正常稳定运行，防止污染事故发生；</w:t>
      </w:r>
    </w:p>
    <w:p>
      <w:pPr>
        <w:pStyle w:val="20"/>
        <w:adjustRightInd w:val="0"/>
        <w:snapToGrid w:val="0"/>
        <w:spacing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（2）搞好工厂生产中的节能降耗工作，通过工艺改进，进一步提高原辅材料的利用率，减少物料流失。生产用原料等须妥善保管，防止原料流失进入环境中，加强对物料运输的管理。</w:t>
      </w:r>
    </w:p>
    <w:p>
      <w:pPr>
        <w:pStyle w:val="20"/>
        <w:adjustRightInd w:val="0"/>
        <w:snapToGrid w:val="0"/>
        <w:spacing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（3）进一步加强企业现有污染防治设施的管理，确保外排污水的各项污染物长期、稳定、持续达标排放，减少企业外排污染物对周边环境的影响。</w:t>
      </w:r>
    </w:p>
    <w:p>
      <w:pPr>
        <w:pStyle w:val="20"/>
        <w:ind w:left="0" w:leftChars="0" w:firstLine="480" w:firstLineChars="0"/>
        <w:rPr>
          <w:color w:val="000000" w:themeColor="text1"/>
          <w14:textFill>
            <w14:solidFill>
              <w14:schemeClr w14:val="tx1"/>
            </w14:solidFill>
          </w14:textFill>
        </w:rPr>
      </w:pPr>
    </w:p>
    <w:p>
      <w:pPr>
        <w:adjustRightInd w:val="0"/>
        <w:snapToGrid w:val="0"/>
        <w:spacing w:line="360" w:lineRule="auto"/>
        <w:ind w:firstLine="480" w:firstLineChars="200"/>
        <w:rPr>
          <w:color w:val="000000" w:themeColor="text1"/>
          <w14:textFill>
            <w14:solidFill>
              <w14:schemeClr w14:val="tx1"/>
            </w14:solidFill>
          </w14:textFill>
        </w:rPr>
      </w:pPr>
    </w:p>
    <w:p>
      <w:pPr>
        <w:adjustRightInd w:val="0"/>
        <w:snapToGrid w:val="0"/>
        <w:spacing w:line="360" w:lineRule="auto"/>
        <w:ind w:firstLine="480" w:firstLineChars="200"/>
        <w:rPr>
          <w:color w:val="000000" w:themeColor="text1"/>
          <w14:textFill>
            <w14:solidFill>
              <w14:schemeClr w14:val="tx1"/>
            </w14:solidFill>
          </w14:textFill>
        </w:rPr>
      </w:pPr>
    </w:p>
    <w:p>
      <w:pPr>
        <w:widowControl/>
        <w:jc w:val="left"/>
        <w:rPr>
          <w:color w:val="000000" w:themeColor="text1"/>
          <w14:textFill>
            <w14:solidFill>
              <w14:schemeClr w14:val="tx1"/>
            </w14:solidFill>
          </w14:textFill>
        </w:rPr>
      </w:pPr>
    </w:p>
    <w:sectPr>
      <w:pgSz w:w="11906" w:h="16838"/>
      <w:pgMar w:top="1440" w:right="1440" w:bottom="1440" w:left="1440" w:header="720" w:footer="720" w:gutter="0"/>
      <w:pgBorders>
        <w:top w:val="none" w:sz="0" w:space="0"/>
        <w:left w:val="none" w:sz="0" w:space="0"/>
        <w:bottom w:val="none" w:sz="0" w:space="0"/>
        <w:right w:val="none" w:sz="0" w:space="0"/>
      </w:pgBorders>
      <w:cols w:space="720" w:num="1"/>
      <w:rtlGutter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昆仑仿宋">
    <w:altName w:val="黑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TimesNewRomanPSMT">
    <w:altName w:val="Times New Roman"/>
    <w:panose1 w:val="00000000000000000000"/>
    <w:charset w:val="80"/>
    <w:family w:val="auto"/>
    <w:pitch w:val="default"/>
    <w:sig w:usb0="00000000" w:usb1="00000000" w:usb2="00000010" w:usb3="00000000" w:csb0="00060000" w:csb1="00000000"/>
  </w:font>
  <w:font w:name="楷体">
    <w:panose1 w:val="02010609060101010101"/>
    <w:charset w:val="86"/>
    <w:family w:val="modern"/>
    <w:pitch w:val="default"/>
    <w:sig w:usb0="800002BF" w:usb1="38CF7CFA" w:usb2="00000016" w:usb3="00000000" w:csb0="00040001" w:csb1="00000000"/>
  </w:font>
  <w:font w:name="SimSun-ExtB">
    <w:panose1 w:val="02010609060101010101"/>
    <w:charset w:val="86"/>
    <w:family w:val="modern"/>
    <w:pitch w:val="default"/>
    <w:sig w:usb0="00000001" w:usb1="02000000" w:usb2="00000000" w:usb3="00000000" w:csb0="00040001" w:csb1="00000000"/>
  </w:font>
  <w:font w:name="宋体e眠副浡渀.">
    <w:altName w:val="宋体"/>
    <w:panose1 w:val="00000000000000000000"/>
    <w:charset w:val="86"/>
    <w:family w:val="roman"/>
    <w:pitch w:val="default"/>
    <w:sig w:usb0="00000000" w:usb1="00000000" w:usb2="00000010" w:usb3="00000000" w:csb0="00040000" w:csb1="00000000"/>
  </w:font>
  <w:font w:name="宋体_x0007_恵.葶..">
    <w:altName w:val="宋体"/>
    <w:panose1 w:val="00000000000000000000"/>
    <w:charset w:val="86"/>
    <w:family w:val="roman"/>
    <w:pitch w:val="default"/>
    <w:sig w:usb0="00000000" w:usb1="00000000" w:usb2="00000000" w:usb3="00000000" w:csb0="00040000" w:csb1="00000000"/>
  </w:font>
  <w:font w:name="宋体_x0002_伀.缂.">
    <w:altName w:val="宋体"/>
    <w:panose1 w:val="00000000000000000000"/>
    <w:charset w:val="86"/>
    <w:family w:val="roman"/>
    <w:pitch w:val="default"/>
    <w:sig w:usb0="00000000" w:usb1="0000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Wingdings 2">
    <w:panose1 w:val="05020102010507070707"/>
    <w:charset w:val="02"/>
    <w:family w:val="auto"/>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1" w:csb1="00000000"/>
  </w:font>
  <w:font w:name="Cambria Math">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1</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rFonts w:hint="eastAsia"/>
      </w:rPr>
      <w:t>中石化巴陵石油化工有限公司</w:t>
    </w:r>
    <w:r>
      <w:t>炼油部8万吨/年粗白油精</w:t>
    </w:r>
    <w:r>
      <w:rPr>
        <w:rFonts w:hint="eastAsia"/>
      </w:rPr>
      <w:t>制</w:t>
    </w:r>
    <w:r>
      <w:t>装置</w:t>
    </w:r>
    <w:r>
      <w:rPr>
        <w:rFonts w:hint="eastAsia" w:eastAsia="宋体"/>
        <w:lang w:eastAsia="zh-CN"/>
      </w:rPr>
      <w:t>建设</w:t>
    </w:r>
    <w: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458D07"/>
    <w:multiLevelType w:val="multilevel"/>
    <w:tmpl w:val="86458D07"/>
    <w:lvl w:ilvl="0" w:tentative="0">
      <w:start w:val="1"/>
      <w:numFmt w:val="decimal"/>
      <w:suff w:val="space"/>
      <w:lvlText w:val="(%1)"/>
      <w:lvlJc w:val="left"/>
      <w:pPr>
        <w:ind w:left="0" w:firstLine="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9900E3E5"/>
    <w:multiLevelType w:val="singleLevel"/>
    <w:tmpl w:val="9900E3E5"/>
    <w:lvl w:ilvl="0" w:tentative="0">
      <w:start w:val="1"/>
      <w:numFmt w:val="decimal"/>
      <w:suff w:val="nothing"/>
      <w:lvlText w:val="（%1）"/>
      <w:lvlJc w:val="left"/>
    </w:lvl>
  </w:abstractNum>
  <w:abstractNum w:abstractNumId="2">
    <w:nsid w:val="AE38F8EE"/>
    <w:multiLevelType w:val="singleLevel"/>
    <w:tmpl w:val="AE38F8EE"/>
    <w:lvl w:ilvl="0" w:tentative="0">
      <w:start w:val="1"/>
      <w:numFmt w:val="decimal"/>
      <w:suff w:val="nothing"/>
      <w:lvlText w:val="（%1）"/>
      <w:lvlJc w:val="left"/>
    </w:lvl>
  </w:abstractNum>
  <w:abstractNum w:abstractNumId="3">
    <w:nsid w:val="B6E01D9A"/>
    <w:multiLevelType w:val="singleLevel"/>
    <w:tmpl w:val="B6E01D9A"/>
    <w:lvl w:ilvl="0" w:tentative="0">
      <w:start w:val="1"/>
      <w:numFmt w:val="decimal"/>
      <w:suff w:val="nothing"/>
      <w:lvlText w:val="（%1）"/>
      <w:lvlJc w:val="left"/>
    </w:lvl>
  </w:abstractNum>
  <w:abstractNum w:abstractNumId="4">
    <w:nsid w:val="C7DA0B8D"/>
    <w:multiLevelType w:val="singleLevel"/>
    <w:tmpl w:val="C7DA0B8D"/>
    <w:lvl w:ilvl="0" w:tentative="0">
      <w:start w:val="1"/>
      <w:numFmt w:val="decimal"/>
      <w:suff w:val="nothing"/>
      <w:lvlText w:val="（%1）"/>
      <w:lvlJc w:val="left"/>
    </w:lvl>
  </w:abstractNum>
  <w:abstractNum w:abstractNumId="5">
    <w:nsid w:val="CC2B508B"/>
    <w:multiLevelType w:val="singleLevel"/>
    <w:tmpl w:val="CC2B508B"/>
    <w:lvl w:ilvl="0" w:tentative="0">
      <w:start w:val="1"/>
      <w:numFmt w:val="decimal"/>
      <w:suff w:val="nothing"/>
      <w:lvlText w:val="（%1）"/>
      <w:lvlJc w:val="left"/>
    </w:lvl>
  </w:abstractNum>
  <w:abstractNum w:abstractNumId="6">
    <w:nsid w:val="DBF1CD22"/>
    <w:multiLevelType w:val="singleLevel"/>
    <w:tmpl w:val="DBF1CD22"/>
    <w:lvl w:ilvl="0" w:tentative="0">
      <w:start w:val="1"/>
      <w:numFmt w:val="decimal"/>
      <w:suff w:val="nothing"/>
      <w:lvlText w:val="（%1）"/>
      <w:lvlJc w:val="left"/>
    </w:lvl>
  </w:abstractNum>
  <w:abstractNum w:abstractNumId="7">
    <w:nsid w:val="DFCE2006"/>
    <w:multiLevelType w:val="multilevel"/>
    <w:tmpl w:val="DFCE2006"/>
    <w:lvl w:ilvl="0" w:tentative="0">
      <w:start w:val="1"/>
      <w:numFmt w:val="decimal"/>
      <w:suff w:val="space"/>
      <w:lvlText w:val="(%1)"/>
      <w:lvlJc w:val="left"/>
      <w:pPr>
        <w:ind w:left="0" w:firstLine="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EBBB714B"/>
    <w:multiLevelType w:val="singleLevel"/>
    <w:tmpl w:val="EBBB714B"/>
    <w:lvl w:ilvl="0" w:tentative="0">
      <w:start w:val="1"/>
      <w:numFmt w:val="decimal"/>
      <w:suff w:val="nothing"/>
      <w:lvlText w:val="（%1）"/>
      <w:lvlJc w:val="left"/>
    </w:lvl>
  </w:abstractNum>
  <w:abstractNum w:abstractNumId="9">
    <w:nsid w:val="FE652CB2"/>
    <w:multiLevelType w:val="singleLevel"/>
    <w:tmpl w:val="FE652CB2"/>
    <w:lvl w:ilvl="0" w:tentative="0">
      <w:start w:val="1"/>
      <w:numFmt w:val="decimal"/>
      <w:suff w:val="nothing"/>
      <w:lvlText w:val="（%1）"/>
      <w:lvlJc w:val="left"/>
    </w:lvl>
  </w:abstractNum>
  <w:abstractNum w:abstractNumId="10">
    <w:nsid w:val="0D5B0874"/>
    <w:multiLevelType w:val="multilevel"/>
    <w:tmpl w:val="0D5B0874"/>
    <w:lvl w:ilvl="0" w:tentative="0">
      <w:start w:val="1"/>
      <w:numFmt w:val="decimal"/>
      <w:suff w:val="nothing"/>
      <w:lvlText w:val="(%1)"/>
      <w:lvlJc w:val="left"/>
      <w:pPr>
        <w:ind w:left="0" w:firstLine="0"/>
      </w:pPr>
      <w:rPr>
        <w:rFonts w:hint="default" w:ascii="Times New Roman" w:hAnsi="Times New Roman"/>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1">
    <w:nsid w:val="159764A0"/>
    <w:multiLevelType w:val="multilevel"/>
    <w:tmpl w:val="159764A0"/>
    <w:lvl w:ilvl="0" w:tentative="0">
      <w:start w:val="1"/>
      <w:numFmt w:val="decimal"/>
      <w:pStyle w:val="2"/>
      <w:suff w:val="space"/>
      <w:lvlText w:val="%1"/>
      <w:lvlJc w:val="left"/>
      <w:pPr>
        <w:ind w:left="1424" w:hanging="432"/>
      </w:pPr>
      <w:rPr>
        <w:rFonts w:hint="eastAsia"/>
      </w:rPr>
    </w:lvl>
    <w:lvl w:ilvl="1" w:tentative="0">
      <w:start w:val="1"/>
      <w:numFmt w:val="decimal"/>
      <w:pStyle w:val="4"/>
      <w:suff w:val="space"/>
      <w:lvlText w:val="%1.%2"/>
      <w:lvlJc w:val="left"/>
      <w:pPr>
        <w:ind w:left="576" w:hanging="576"/>
      </w:pPr>
      <w:rPr>
        <w:rFonts w:hint="eastAsia"/>
      </w:rPr>
    </w:lvl>
    <w:lvl w:ilvl="2" w:tentative="0">
      <w:start w:val="1"/>
      <w:numFmt w:val="decimal"/>
      <w:pStyle w:val="5"/>
      <w:suff w:val="space"/>
      <w:lvlText w:val="%1.%2.%3"/>
      <w:lvlJc w:val="left"/>
      <w:pPr>
        <w:ind w:left="1004" w:hanging="720"/>
      </w:pPr>
      <w:rPr>
        <w:rFonts w:hint="eastAsia"/>
      </w:rPr>
    </w:lvl>
    <w:lvl w:ilvl="3" w:tentative="0">
      <w:start w:val="1"/>
      <w:numFmt w:val="decimal"/>
      <w:pStyle w:val="6"/>
      <w:suff w:val="space"/>
      <w:lvlText w:val="%1.%2.%3.%4"/>
      <w:lvlJc w:val="left"/>
      <w:pPr>
        <w:ind w:left="2140" w:hanging="864"/>
      </w:pPr>
      <w:rPr>
        <w:rFonts w:hint="eastAsia"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7"/>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12">
    <w:nsid w:val="236F11A3"/>
    <w:multiLevelType w:val="multilevel"/>
    <w:tmpl w:val="236F11A3"/>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3">
    <w:nsid w:val="28A60FD2"/>
    <w:multiLevelType w:val="multilevel"/>
    <w:tmpl w:val="28A60FD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A0A8C0B"/>
    <w:multiLevelType w:val="singleLevel"/>
    <w:tmpl w:val="2A0A8C0B"/>
    <w:lvl w:ilvl="0" w:tentative="0">
      <w:start w:val="1"/>
      <w:numFmt w:val="decimal"/>
      <w:suff w:val="nothing"/>
      <w:lvlText w:val="（%1）"/>
      <w:lvlJc w:val="left"/>
    </w:lvl>
  </w:abstractNum>
  <w:abstractNum w:abstractNumId="15">
    <w:nsid w:val="2DEFBE3C"/>
    <w:multiLevelType w:val="singleLevel"/>
    <w:tmpl w:val="2DEFBE3C"/>
    <w:lvl w:ilvl="0" w:tentative="0">
      <w:start w:val="1"/>
      <w:numFmt w:val="decimal"/>
      <w:suff w:val="nothing"/>
      <w:lvlText w:val="（%1）"/>
      <w:lvlJc w:val="left"/>
    </w:lvl>
  </w:abstractNum>
  <w:abstractNum w:abstractNumId="16">
    <w:nsid w:val="351214A0"/>
    <w:multiLevelType w:val="singleLevel"/>
    <w:tmpl w:val="351214A0"/>
    <w:lvl w:ilvl="0" w:tentative="0">
      <w:start w:val="1"/>
      <w:numFmt w:val="decimal"/>
      <w:suff w:val="nothing"/>
      <w:lvlText w:val="（%1）"/>
      <w:lvlJc w:val="left"/>
    </w:lvl>
  </w:abstractNum>
  <w:abstractNum w:abstractNumId="17">
    <w:nsid w:val="44454AE1"/>
    <w:multiLevelType w:val="multilevel"/>
    <w:tmpl w:val="44454AE1"/>
    <w:lvl w:ilvl="0" w:tentative="0">
      <w:start w:val="1"/>
      <w:numFmt w:val="decimal"/>
      <w:suff w:val="nothing"/>
      <w:lvlText w:val="(%1)"/>
      <w:lvlJc w:val="left"/>
      <w:pPr>
        <w:ind w:left="0" w:firstLine="0"/>
      </w:pPr>
      <w:rPr>
        <w:rFonts w:hint="default" w:ascii="Times New Roman" w:hAnsi="Times New Roman"/>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18">
    <w:nsid w:val="4BFB7C90"/>
    <w:multiLevelType w:val="singleLevel"/>
    <w:tmpl w:val="4BFB7C90"/>
    <w:lvl w:ilvl="0" w:tentative="0">
      <w:start w:val="1"/>
      <w:numFmt w:val="decimal"/>
      <w:suff w:val="nothing"/>
      <w:lvlText w:val="%1、"/>
      <w:lvlJc w:val="left"/>
    </w:lvl>
  </w:abstractNum>
  <w:abstractNum w:abstractNumId="19">
    <w:nsid w:val="62506EB8"/>
    <w:multiLevelType w:val="multilevel"/>
    <w:tmpl w:val="62506EB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93BF8E0"/>
    <w:multiLevelType w:val="multilevel"/>
    <w:tmpl w:val="693BF8E0"/>
    <w:lvl w:ilvl="0" w:tentative="0">
      <w:start w:val="1"/>
      <w:numFmt w:val="decimal"/>
      <w:suff w:val="space"/>
      <w:lvlText w:val="(%1)"/>
      <w:lvlJc w:val="left"/>
      <w:pPr>
        <w:ind w:left="0" w:firstLine="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C0DB916"/>
    <w:multiLevelType w:val="singleLevel"/>
    <w:tmpl w:val="6C0DB916"/>
    <w:lvl w:ilvl="0" w:tentative="0">
      <w:start w:val="1"/>
      <w:numFmt w:val="decimal"/>
      <w:suff w:val="nothing"/>
      <w:lvlText w:val="（%1）"/>
      <w:lvlJc w:val="left"/>
    </w:lvl>
  </w:abstractNum>
  <w:num w:numId="1">
    <w:abstractNumId w:val="1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7"/>
  </w:num>
  <w:num w:numId="5">
    <w:abstractNumId w:val="1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1"/>
  </w:num>
  <w:num w:numId="9">
    <w:abstractNumId w:val="9"/>
  </w:num>
  <w:num w:numId="10">
    <w:abstractNumId w:val="0"/>
  </w:num>
  <w:num w:numId="11">
    <w:abstractNumId w:val="7"/>
  </w:num>
  <w:num w:numId="12">
    <w:abstractNumId w:val="20"/>
  </w:num>
  <w:num w:numId="13">
    <w:abstractNumId w:val="15"/>
  </w:num>
  <w:num w:numId="14">
    <w:abstractNumId w:val="6"/>
  </w:num>
  <w:num w:numId="15">
    <w:abstractNumId w:val="8"/>
  </w:num>
  <w:num w:numId="16">
    <w:abstractNumId w:val="5"/>
  </w:num>
  <w:num w:numId="17">
    <w:abstractNumId w:val="18"/>
  </w:num>
  <w:num w:numId="18">
    <w:abstractNumId w:val="3"/>
  </w:num>
  <w:num w:numId="19">
    <w:abstractNumId w:val="16"/>
  </w:num>
  <w:num w:numId="20">
    <w:abstractNumId w:val="1"/>
  </w:num>
  <w:num w:numId="21">
    <w:abstractNumId w:val="2"/>
  </w:num>
  <w:num w:numId="2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ou">
    <w15:presenceInfo w15:providerId="None" w15:userId="Y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isplayBackgroundShape w:val="1"/>
  <w:bordersDoNotSurroundHeader w:val="0"/>
  <w:bordersDoNotSurroundFooter w:val="0"/>
  <w:documentProtection w:enforcement="0"/>
  <w:defaultTabStop w:val="420"/>
  <w:hyphenationZone w:val="36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2F"/>
    <w:rsid w:val="00001493"/>
    <w:rsid w:val="00001770"/>
    <w:rsid w:val="00001870"/>
    <w:rsid w:val="000019EA"/>
    <w:rsid w:val="00001A02"/>
    <w:rsid w:val="00001BE6"/>
    <w:rsid w:val="00002122"/>
    <w:rsid w:val="00002369"/>
    <w:rsid w:val="00002C28"/>
    <w:rsid w:val="00003260"/>
    <w:rsid w:val="000034C6"/>
    <w:rsid w:val="00003741"/>
    <w:rsid w:val="00004080"/>
    <w:rsid w:val="00004146"/>
    <w:rsid w:val="000042AD"/>
    <w:rsid w:val="0000488D"/>
    <w:rsid w:val="000049AB"/>
    <w:rsid w:val="00004F30"/>
    <w:rsid w:val="0000509D"/>
    <w:rsid w:val="00005176"/>
    <w:rsid w:val="00005580"/>
    <w:rsid w:val="0000585B"/>
    <w:rsid w:val="00005C2C"/>
    <w:rsid w:val="000066B2"/>
    <w:rsid w:val="00006F10"/>
    <w:rsid w:val="0000756E"/>
    <w:rsid w:val="000077EB"/>
    <w:rsid w:val="00007927"/>
    <w:rsid w:val="00007B3F"/>
    <w:rsid w:val="00007DE5"/>
    <w:rsid w:val="000105A3"/>
    <w:rsid w:val="000109A6"/>
    <w:rsid w:val="000117E1"/>
    <w:rsid w:val="0001192D"/>
    <w:rsid w:val="00011C01"/>
    <w:rsid w:val="00013121"/>
    <w:rsid w:val="00013468"/>
    <w:rsid w:val="000135C8"/>
    <w:rsid w:val="000136FF"/>
    <w:rsid w:val="00013987"/>
    <w:rsid w:val="00013A93"/>
    <w:rsid w:val="000140E8"/>
    <w:rsid w:val="0001440E"/>
    <w:rsid w:val="00014891"/>
    <w:rsid w:val="00014A4F"/>
    <w:rsid w:val="00014BB8"/>
    <w:rsid w:val="00015DFD"/>
    <w:rsid w:val="00016185"/>
    <w:rsid w:val="000162F9"/>
    <w:rsid w:val="000167BC"/>
    <w:rsid w:val="00016FBB"/>
    <w:rsid w:val="00016FF9"/>
    <w:rsid w:val="00017097"/>
    <w:rsid w:val="00017926"/>
    <w:rsid w:val="00017FD2"/>
    <w:rsid w:val="0002004E"/>
    <w:rsid w:val="000202F8"/>
    <w:rsid w:val="00020C13"/>
    <w:rsid w:val="00021606"/>
    <w:rsid w:val="000218B5"/>
    <w:rsid w:val="00022102"/>
    <w:rsid w:val="00022BA5"/>
    <w:rsid w:val="000234EA"/>
    <w:rsid w:val="000234FC"/>
    <w:rsid w:val="00023FAC"/>
    <w:rsid w:val="000253BF"/>
    <w:rsid w:val="000254E7"/>
    <w:rsid w:val="000257B9"/>
    <w:rsid w:val="0002597E"/>
    <w:rsid w:val="00025BBD"/>
    <w:rsid w:val="000260F8"/>
    <w:rsid w:val="00026262"/>
    <w:rsid w:val="00026277"/>
    <w:rsid w:val="00026446"/>
    <w:rsid w:val="00026554"/>
    <w:rsid w:val="00026714"/>
    <w:rsid w:val="000267A1"/>
    <w:rsid w:val="00026C5F"/>
    <w:rsid w:val="00026CBA"/>
    <w:rsid w:val="00027431"/>
    <w:rsid w:val="00027C9D"/>
    <w:rsid w:val="000305FA"/>
    <w:rsid w:val="00030E26"/>
    <w:rsid w:val="0003161C"/>
    <w:rsid w:val="000318F1"/>
    <w:rsid w:val="00031AA4"/>
    <w:rsid w:val="00032072"/>
    <w:rsid w:val="0003272A"/>
    <w:rsid w:val="00032CF4"/>
    <w:rsid w:val="00032DF3"/>
    <w:rsid w:val="00032E7A"/>
    <w:rsid w:val="00033758"/>
    <w:rsid w:val="00033858"/>
    <w:rsid w:val="00034483"/>
    <w:rsid w:val="000348E2"/>
    <w:rsid w:val="00034B70"/>
    <w:rsid w:val="00034D74"/>
    <w:rsid w:val="00034E20"/>
    <w:rsid w:val="000350BF"/>
    <w:rsid w:val="0003542C"/>
    <w:rsid w:val="000358A3"/>
    <w:rsid w:val="000366BE"/>
    <w:rsid w:val="000367A6"/>
    <w:rsid w:val="00036880"/>
    <w:rsid w:val="00036CC2"/>
    <w:rsid w:val="00036F37"/>
    <w:rsid w:val="00036F51"/>
    <w:rsid w:val="000373BC"/>
    <w:rsid w:val="00037D14"/>
    <w:rsid w:val="00040CA3"/>
    <w:rsid w:val="000415CA"/>
    <w:rsid w:val="00042949"/>
    <w:rsid w:val="00043A5F"/>
    <w:rsid w:val="000447A6"/>
    <w:rsid w:val="00044B45"/>
    <w:rsid w:val="0004587E"/>
    <w:rsid w:val="0004619A"/>
    <w:rsid w:val="00046742"/>
    <w:rsid w:val="00046854"/>
    <w:rsid w:val="00046865"/>
    <w:rsid w:val="00046998"/>
    <w:rsid w:val="00046A38"/>
    <w:rsid w:val="00046CC4"/>
    <w:rsid w:val="00046FAF"/>
    <w:rsid w:val="00046FFB"/>
    <w:rsid w:val="00047A38"/>
    <w:rsid w:val="00047C0D"/>
    <w:rsid w:val="00047E44"/>
    <w:rsid w:val="0005012C"/>
    <w:rsid w:val="00050777"/>
    <w:rsid w:val="000510A1"/>
    <w:rsid w:val="00051F4B"/>
    <w:rsid w:val="00052CC1"/>
    <w:rsid w:val="000531DB"/>
    <w:rsid w:val="000533E3"/>
    <w:rsid w:val="00053C6F"/>
    <w:rsid w:val="00053D20"/>
    <w:rsid w:val="00053DC8"/>
    <w:rsid w:val="00054069"/>
    <w:rsid w:val="000543BE"/>
    <w:rsid w:val="00054551"/>
    <w:rsid w:val="0005535E"/>
    <w:rsid w:val="0005625D"/>
    <w:rsid w:val="000564E7"/>
    <w:rsid w:val="0005712B"/>
    <w:rsid w:val="000575F5"/>
    <w:rsid w:val="00057DD9"/>
    <w:rsid w:val="000605F9"/>
    <w:rsid w:val="0006090E"/>
    <w:rsid w:val="00060AD3"/>
    <w:rsid w:val="00061708"/>
    <w:rsid w:val="00061B5A"/>
    <w:rsid w:val="000621B8"/>
    <w:rsid w:val="00062734"/>
    <w:rsid w:val="0006321E"/>
    <w:rsid w:val="0006335B"/>
    <w:rsid w:val="000637A6"/>
    <w:rsid w:val="00063E69"/>
    <w:rsid w:val="00063EFD"/>
    <w:rsid w:val="0006415C"/>
    <w:rsid w:val="00065E41"/>
    <w:rsid w:val="000660A6"/>
    <w:rsid w:val="00066156"/>
    <w:rsid w:val="00066197"/>
    <w:rsid w:val="00066287"/>
    <w:rsid w:val="00066E2F"/>
    <w:rsid w:val="000701C0"/>
    <w:rsid w:val="0007074E"/>
    <w:rsid w:val="000708A9"/>
    <w:rsid w:val="0007099A"/>
    <w:rsid w:val="000712E4"/>
    <w:rsid w:val="000717D3"/>
    <w:rsid w:val="00071C85"/>
    <w:rsid w:val="00071D3D"/>
    <w:rsid w:val="000730BF"/>
    <w:rsid w:val="00073C49"/>
    <w:rsid w:val="00073C92"/>
    <w:rsid w:val="0007441F"/>
    <w:rsid w:val="000745A6"/>
    <w:rsid w:val="00074B96"/>
    <w:rsid w:val="00074E72"/>
    <w:rsid w:val="0007564C"/>
    <w:rsid w:val="0007566D"/>
    <w:rsid w:val="00075820"/>
    <w:rsid w:val="00075AD6"/>
    <w:rsid w:val="0007605D"/>
    <w:rsid w:val="000762E6"/>
    <w:rsid w:val="00076798"/>
    <w:rsid w:val="00076E4D"/>
    <w:rsid w:val="00077934"/>
    <w:rsid w:val="00080008"/>
    <w:rsid w:val="0008109D"/>
    <w:rsid w:val="00081B22"/>
    <w:rsid w:val="00081CAD"/>
    <w:rsid w:val="00081F96"/>
    <w:rsid w:val="000825C4"/>
    <w:rsid w:val="00082D08"/>
    <w:rsid w:val="0008396B"/>
    <w:rsid w:val="00083A14"/>
    <w:rsid w:val="00083EC4"/>
    <w:rsid w:val="00085AA3"/>
    <w:rsid w:val="00086248"/>
    <w:rsid w:val="0008629E"/>
    <w:rsid w:val="000862FF"/>
    <w:rsid w:val="0008687D"/>
    <w:rsid w:val="000868C3"/>
    <w:rsid w:val="0008695C"/>
    <w:rsid w:val="00087E22"/>
    <w:rsid w:val="00087E88"/>
    <w:rsid w:val="00090FDA"/>
    <w:rsid w:val="00091002"/>
    <w:rsid w:val="0009131C"/>
    <w:rsid w:val="000916F9"/>
    <w:rsid w:val="00091B16"/>
    <w:rsid w:val="00091E96"/>
    <w:rsid w:val="00092076"/>
    <w:rsid w:val="00092E80"/>
    <w:rsid w:val="00092F2B"/>
    <w:rsid w:val="000934A5"/>
    <w:rsid w:val="000940BF"/>
    <w:rsid w:val="000943C9"/>
    <w:rsid w:val="000946EA"/>
    <w:rsid w:val="00094F4F"/>
    <w:rsid w:val="00097818"/>
    <w:rsid w:val="00097C96"/>
    <w:rsid w:val="00097E93"/>
    <w:rsid w:val="00097F98"/>
    <w:rsid w:val="000A0343"/>
    <w:rsid w:val="000A0BAA"/>
    <w:rsid w:val="000A12BA"/>
    <w:rsid w:val="000A1491"/>
    <w:rsid w:val="000A16AD"/>
    <w:rsid w:val="000A1CE9"/>
    <w:rsid w:val="000A1DEC"/>
    <w:rsid w:val="000A2137"/>
    <w:rsid w:val="000A3DB8"/>
    <w:rsid w:val="000A3FB7"/>
    <w:rsid w:val="000A4136"/>
    <w:rsid w:val="000A446C"/>
    <w:rsid w:val="000A4F34"/>
    <w:rsid w:val="000A5610"/>
    <w:rsid w:val="000A5717"/>
    <w:rsid w:val="000A5752"/>
    <w:rsid w:val="000A6077"/>
    <w:rsid w:val="000B02EA"/>
    <w:rsid w:val="000B0A42"/>
    <w:rsid w:val="000B1708"/>
    <w:rsid w:val="000B1F54"/>
    <w:rsid w:val="000B21E7"/>
    <w:rsid w:val="000B24A9"/>
    <w:rsid w:val="000B2A9E"/>
    <w:rsid w:val="000B3231"/>
    <w:rsid w:val="000B35E5"/>
    <w:rsid w:val="000B3CF2"/>
    <w:rsid w:val="000B3E44"/>
    <w:rsid w:val="000B40D1"/>
    <w:rsid w:val="000B4685"/>
    <w:rsid w:val="000B4E29"/>
    <w:rsid w:val="000B54D2"/>
    <w:rsid w:val="000B58CF"/>
    <w:rsid w:val="000B5D06"/>
    <w:rsid w:val="000B5F73"/>
    <w:rsid w:val="000B70DC"/>
    <w:rsid w:val="000B7141"/>
    <w:rsid w:val="000B7166"/>
    <w:rsid w:val="000B716D"/>
    <w:rsid w:val="000B76C0"/>
    <w:rsid w:val="000B7950"/>
    <w:rsid w:val="000B7A50"/>
    <w:rsid w:val="000B7F54"/>
    <w:rsid w:val="000C014A"/>
    <w:rsid w:val="000C0D6B"/>
    <w:rsid w:val="000C143E"/>
    <w:rsid w:val="000C1519"/>
    <w:rsid w:val="000C2911"/>
    <w:rsid w:val="000C296B"/>
    <w:rsid w:val="000C33EE"/>
    <w:rsid w:val="000C3AC6"/>
    <w:rsid w:val="000C3D8E"/>
    <w:rsid w:val="000C43F5"/>
    <w:rsid w:val="000C45F7"/>
    <w:rsid w:val="000C4D2B"/>
    <w:rsid w:val="000C4E3E"/>
    <w:rsid w:val="000C5248"/>
    <w:rsid w:val="000C52A7"/>
    <w:rsid w:val="000C5949"/>
    <w:rsid w:val="000C5E79"/>
    <w:rsid w:val="000C63BA"/>
    <w:rsid w:val="000C787D"/>
    <w:rsid w:val="000D01BC"/>
    <w:rsid w:val="000D01BF"/>
    <w:rsid w:val="000D0757"/>
    <w:rsid w:val="000D0ABC"/>
    <w:rsid w:val="000D0AC7"/>
    <w:rsid w:val="000D0FDA"/>
    <w:rsid w:val="000D1331"/>
    <w:rsid w:val="000D1A6E"/>
    <w:rsid w:val="000D216A"/>
    <w:rsid w:val="000D218D"/>
    <w:rsid w:val="000D21E4"/>
    <w:rsid w:val="000D221D"/>
    <w:rsid w:val="000D2236"/>
    <w:rsid w:val="000D2B62"/>
    <w:rsid w:val="000D2BDC"/>
    <w:rsid w:val="000D2CD2"/>
    <w:rsid w:val="000D320D"/>
    <w:rsid w:val="000D3540"/>
    <w:rsid w:val="000D3E8A"/>
    <w:rsid w:val="000D3FD5"/>
    <w:rsid w:val="000D41B7"/>
    <w:rsid w:val="000D449F"/>
    <w:rsid w:val="000D488C"/>
    <w:rsid w:val="000D49DE"/>
    <w:rsid w:val="000D4D6C"/>
    <w:rsid w:val="000D5011"/>
    <w:rsid w:val="000D51AA"/>
    <w:rsid w:val="000D57EB"/>
    <w:rsid w:val="000D5B58"/>
    <w:rsid w:val="000D5BA9"/>
    <w:rsid w:val="000D5E06"/>
    <w:rsid w:val="000D631C"/>
    <w:rsid w:val="000D6A86"/>
    <w:rsid w:val="000D7609"/>
    <w:rsid w:val="000D775C"/>
    <w:rsid w:val="000D7F7F"/>
    <w:rsid w:val="000E0214"/>
    <w:rsid w:val="000E0269"/>
    <w:rsid w:val="000E03E6"/>
    <w:rsid w:val="000E04BC"/>
    <w:rsid w:val="000E0E86"/>
    <w:rsid w:val="000E110A"/>
    <w:rsid w:val="000E1ABD"/>
    <w:rsid w:val="000E1AE0"/>
    <w:rsid w:val="000E2804"/>
    <w:rsid w:val="000E284D"/>
    <w:rsid w:val="000E2E88"/>
    <w:rsid w:val="000E31B7"/>
    <w:rsid w:val="000E44CD"/>
    <w:rsid w:val="000E4A24"/>
    <w:rsid w:val="000E5192"/>
    <w:rsid w:val="000E6692"/>
    <w:rsid w:val="000E6EE2"/>
    <w:rsid w:val="000E7ABA"/>
    <w:rsid w:val="000E7B55"/>
    <w:rsid w:val="000F0327"/>
    <w:rsid w:val="000F03DB"/>
    <w:rsid w:val="000F06DD"/>
    <w:rsid w:val="000F12FB"/>
    <w:rsid w:val="000F139F"/>
    <w:rsid w:val="000F19F7"/>
    <w:rsid w:val="000F1A71"/>
    <w:rsid w:val="000F1CB0"/>
    <w:rsid w:val="000F1CB1"/>
    <w:rsid w:val="000F2986"/>
    <w:rsid w:val="000F30CA"/>
    <w:rsid w:val="000F325A"/>
    <w:rsid w:val="000F3378"/>
    <w:rsid w:val="000F3A41"/>
    <w:rsid w:val="000F3BB8"/>
    <w:rsid w:val="000F45CA"/>
    <w:rsid w:val="000F494F"/>
    <w:rsid w:val="000F5004"/>
    <w:rsid w:val="000F592A"/>
    <w:rsid w:val="000F5DFE"/>
    <w:rsid w:val="000F611F"/>
    <w:rsid w:val="000F620E"/>
    <w:rsid w:val="000F684C"/>
    <w:rsid w:val="000F6FFA"/>
    <w:rsid w:val="000F7767"/>
    <w:rsid w:val="000F7F55"/>
    <w:rsid w:val="00100008"/>
    <w:rsid w:val="001007B0"/>
    <w:rsid w:val="00100BE7"/>
    <w:rsid w:val="00100FD1"/>
    <w:rsid w:val="00101217"/>
    <w:rsid w:val="00101765"/>
    <w:rsid w:val="0010207E"/>
    <w:rsid w:val="00102355"/>
    <w:rsid w:val="00102B96"/>
    <w:rsid w:val="00102E65"/>
    <w:rsid w:val="0010323C"/>
    <w:rsid w:val="0010387C"/>
    <w:rsid w:val="001038B4"/>
    <w:rsid w:val="001038C8"/>
    <w:rsid w:val="001044A3"/>
    <w:rsid w:val="001048FC"/>
    <w:rsid w:val="001050C8"/>
    <w:rsid w:val="00106277"/>
    <w:rsid w:val="001062F1"/>
    <w:rsid w:val="00106530"/>
    <w:rsid w:val="00106ADF"/>
    <w:rsid w:val="00106B11"/>
    <w:rsid w:val="00106B71"/>
    <w:rsid w:val="00106E4F"/>
    <w:rsid w:val="00107116"/>
    <w:rsid w:val="0011006B"/>
    <w:rsid w:val="0011094C"/>
    <w:rsid w:val="001112FF"/>
    <w:rsid w:val="001113EF"/>
    <w:rsid w:val="00111E1D"/>
    <w:rsid w:val="00111EC9"/>
    <w:rsid w:val="00112918"/>
    <w:rsid w:val="0011318E"/>
    <w:rsid w:val="001135FD"/>
    <w:rsid w:val="0011462C"/>
    <w:rsid w:val="0011549A"/>
    <w:rsid w:val="00115FE1"/>
    <w:rsid w:val="001171BA"/>
    <w:rsid w:val="00117408"/>
    <w:rsid w:val="001174CB"/>
    <w:rsid w:val="00117578"/>
    <w:rsid w:val="0012079B"/>
    <w:rsid w:val="00120974"/>
    <w:rsid w:val="001212B8"/>
    <w:rsid w:val="001214B4"/>
    <w:rsid w:val="00121D4F"/>
    <w:rsid w:val="00121D5A"/>
    <w:rsid w:val="001224AB"/>
    <w:rsid w:val="00122BB6"/>
    <w:rsid w:val="00123652"/>
    <w:rsid w:val="00124034"/>
    <w:rsid w:val="00124042"/>
    <w:rsid w:val="001242C8"/>
    <w:rsid w:val="001245DD"/>
    <w:rsid w:val="00124847"/>
    <w:rsid w:val="00124A87"/>
    <w:rsid w:val="00124B36"/>
    <w:rsid w:val="00124D12"/>
    <w:rsid w:val="00125126"/>
    <w:rsid w:val="001258EA"/>
    <w:rsid w:val="001259CF"/>
    <w:rsid w:val="00125DDC"/>
    <w:rsid w:val="00125DDF"/>
    <w:rsid w:val="00126738"/>
    <w:rsid w:val="0012689C"/>
    <w:rsid w:val="00126E24"/>
    <w:rsid w:val="0012735E"/>
    <w:rsid w:val="00127407"/>
    <w:rsid w:val="001275E0"/>
    <w:rsid w:val="00127A17"/>
    <w:rsid w:val="00127A44"/>
    <w:rsid w:val="00127B41"/>
    <w:rsid w:val="001304F1"/>
    <w:rsid w:val="00130C38"/>
    <w:rsid w:val="00131326"/>
    <w:rsid w:val="001316AD"/>
    <w:rsid w:val="001320D1"/>
    <w:rsid w:val="00132A59"/>
    <w:rsid w:val="00133048"/>
    <w:rsid w:val="00133446"/>
    <w:rsid w:val="001342BA"/>
    <w:rsid w:val="00134596"/>
    <w:rsid w:val="001347B4"/>
    <w:rsid w:val="0013485D"/>
    <w:rsid w:val="001349B9"/>
    <w:rsid w:val="00135181"/>
    <w:rsid w:val="00135291"/>
    <w:rsid w:val="00135977"/>
    <w:rsid w:val="0013603F"/>
    <w:rsid w:val="001365E2"/>
    <w:rsid w:val="001365FC"/>
    <w:rsid w:val="00136DC6"/>
    <w:rsid w:val="00136DED"/>
    <w:rsid w:val="00137E64"/>
    <w:rsid w:val="00137FDC"/>
    <w:rsid w:val="00140CFA"/>
    <w:rsid w:val="00140E05"/>
    <w:rsid w:val="00140F07"/>
    <w:rsid w:val="0014157E"/>
    <w:rsid w:val="0014195C"/>
    <w:rsid w:val="00141A0A"/>
    <w:rsid w:val="00141CAC"/>
    <w:rsid w:val="00141E03"/>
    <w:rsid w:val="00142998"/>
    <w:rsid w:val="00143625"/>
    <w:rsid w:val="001437E5"/>
    <w:rsid w:val="001439D4"/>
    <w:rsid w:val="001442AE"/>
    <w:rsid w:val="00144887"/>
    <w:rsid w:val="00144C4C"/>
    <w:rsid w:val="0014516A"/>
    <w:rsid w:val="00145213"/>
    <w:rsid w:val="001456EC"/>
    <w:rsid w:val="00145BD5"/>
    <w:rsid w:val="001464F1"/>
    <w:rsid w:val="00146C0B"/>
    <w:rsid w:val="0014787B"/>
    <w:rsid w:val="001478E3"/>
    <w:rsid w:val="00150777"/>
    <w:rsid w:val="00151378"/>
    <w:rsid w:val="00151559"/>
    <w:rsid w:val="00151811"/>
    <w:rsid w:val="001519D2"/>
    <w:rsid w:val="001532AC"/>
    <w:rsid w:val="001539BB"/>
    <w:rsid w:val="00153BA8"/>
    <w:rsid w:val="00153CD0"/>
    <w:rsid w:val="00153EF7"/>
    <w:rsid w:val="0015402C"/>
    <w:rsid w:val="001540DD"/>
    <w:rsid w:val="001549CD"/>
    <w:rsid w:val="0015534E"/>
    <w:rsid w:val="00155810"/>
    <w:rsid w:val="00155AFC"/>
    <w:rsid w:val="00155EDF"/>
    <w:rsid w:val="0015650E"/>
    <w:rsid w:val="001568B8"/>
    <w:rsid w:val="00156D68"/>
    <w:rsid w:val="00157959"/>
    <w:rsid w:val="001601B4"/>
    <w:rsid w:val="00160394"/>
    <w:rsid w:val="001604D1"/>
    <w:rsid w:val="001604F4"/>
    <w:rsid w:val="00160913"/>
    <w:rsid w:val="001613F4"/>
    <w:rsid w:val="001615F2"/>
    <w:rsid w:val="00161FB8"/>
    <w:rsid w:val="00162240"/>
    <w:rsid w:val="001629AE"/>
    <w:rsid w:val="00162E94"/>
    <w:rsid w:val="001630B1"/>
    <w:rsid w:val="00163B1E"/>
    <w:rsid w:val="00164413"/>
    <w:rsid w:val="00164555"/>
    <w:rsid w:val="00164D7B"/>
    <w:rsid w:val="0016603B"/>
    <w:rsid w:val="001661D6"/>
    <w:rsid w:val="00166AFE"/>
    <w:rsid w:val="00166E8E"/>
    <w:rsid w:val="00166F52"/>
    <w:rsid w:val="00167B19"/>
    <w:rsid w:val="00167F4B"/>
    <w:rsid w:val="0017011E"/>
    <w:rsid w:val="00170122"/>
    <w:rsid w:val="00171473"/>
    <w:rsid w:val="001716F2"/>
    <w:rsid w:val="00171880"/>
    <w:rsid w:val="00171A12"/>
    <w:rsid w:val="00172661"/>
    <w:rsid w:val="00172D28"/>
    <w:rsid w:val="001733B4"/>
    <w:rsid w:val="00173807"/>
    <w:rsid w:val="001738FA"/>
    <w:rsid w:val="00173D2D"/>
    <w:rsid w:val="00174070"/>
    <w:rsid w:val="001745EB"/>
    <w:rsid w:val="00174FD5"/>
    <w:rsid w:val="00175135"/>
    <w:rsid w:val="001751F4"/>
    <w:rsid w:val="001754CF"/>
    <w:rsid w:val="001754F6"/>
    <w:rsid w:val="001755AC"/>
    <w:rsid w:val="00175688"/>
    <w:rsid w:val="001760B5"/>
    <w:rsid w:val="0017686C"/>
    <w:rsid w:val="00176C5F"/>
    <w:rsid w:val="00176F42"/>
    <w:rsid w:val="00177223"/>
    <w:rsid w:val="0017745B"/>
    <w:rsid w:val="00177EBB"/>
    <w:rsid w:val="0018062D"/>
    <w:rsid w:val="00181048"/>
    <w:rsid w:val="00181C9F"/>
    <w:rsid w:val="00181DD4"/>
    <w:rsid w:val="00182567"/>
    <w:rsid w:val="00182D97"/>
    <w:rsid w:val="001843EF"/>
    <w:rsid w:val="001847DB"/>
    <w:rsid w:val="00185A47"/>
    <w:rsid w:val="00185EDE"/>
    <w:rsid w:val="00186136"/>
    <w:rsid w:val="0018631A"/>
    <w:rsid w:val="001865A7"/>
    <w:rsid w:val="00186758"/>
    <w:rsid w:val="00187007"/>
    <w:rsid w:val="0018704D"/>
    <w:rsid w:val="0018746F"/>
    <w:rsid w:val="0018786D"/>
    <w:rsid w:val="00187E45"/>
    <w:rsid w:val="001904CC"/>
    <w:rsid w:val="00190CFE"/>
    <w:rsid w:val="00190F41"/>
    <w:rsid w:val="001913AB"/>
    <w:rsid w:val="001914A3"/>
    <w:rsid w:val="00191947"/>
    <w:rsid w:val="00192D25"/>
    <w:rsid w:val="00193C6C"/>
    <w:rsid w:val="00193FC2"/>
    <w:rsid w:val="00194523"/>
    <w:rsid w:val="00194ACA"/>
    <w:rsid w:val="0019529B"/>
    <w:rsid w:val="00195D80"/>
    <w:rsid w:val="00195F63"/>
    <w:rsid w:val="0019600B"/>
    <w:rsid w:val="00196171"/>
    <w:rsid w:val="00197049"/>
    <w:rsid w:val="00197865"/>
    <w:rsid w:val="001979C5"/>
    <w:rsid w:val="00197C6A"/>
    <w:rsid w:val="00197F31"/>
    <w:rsid w:val="001A03C7"/>
    <w:rsid w:val="001A03D3"/>
    <w:rsid w:val="001A0493"/>
    <w:rsid w:val="001A0879"/>
    <w:rsid w:val="001A0C26"/>
    <w:rsid w:val="001A1287"/>
    <w:rsid w:val="001A1EC1"/>
    <w:rsid w:val="001A22A7"/>
    <w:rsid w:val="001A24C1"/>
    <w:rsid w:val="001A2937"/>
    <w:rsid w:val="001A31F6"/>
    <w:rsid w:val="001A3D7C"/>
    <w:rsid w:val="001A3D89"/>
    <w:rsid w:val="001A3E7E"/>
    <w:rsid w:val="001A3F45"/>
    <w:rsid w:val="001A47DD"/>
    <w:rsid w:val="001A50DC"/>
    <w:rsid w:val="001A56A6"/>
    <w:rsid w:val="001A5BB2"/>
    <w:rsid w:val="001A5ECD"/>
    <w:rsid w:val="001A647A"/>
    <w:rsid w:val="001A7473"/>
    <w:rsid w:val="001A75D8"/>
    <w:rsid w:val="001B008B"/>
    <w:rsid w:val="001B06AE"/>
    <w:rsid w:val="001B212A"/>
    <w:rsid w:val="001B229B"/>
    <w:rsid w:val="001B24A2"/>
    <w:rsid w:val="001B2966"/>
    <w:rsid w:val="001B2C48"/>
    <w:rsid w:val="001B2E4E"/>
    <w:rsid w:val="001B39DD"/>
    <w:rsid w:val="001B3EED"/>
    <w:rsid w:val="001B4911"/>
    <w:rsid w:val="001B4BA7"/>
    <w:rsid w:val="001B50FF"/>
    <w:rsid w:val="001B5D15"/>
    <w:rsid w:val="001B5E34"/>
    <w:rsid w:val="001B5E3B"/>
    <w:rsid w:val="001B62C6"/>
    <w:rsid w:val="001B62D5"/>
    <w:rsid w:val="001B6504"/>
    <w:rsid w:val="001B66E0"/>
    <w:rsid w:val="001B6C38"/>
    <w:rsid w:val="001B6E58"/>
    <w:rsid w:val="001B75C5"/>
    <w:rsid w:val="001C0036"/>
    <w:rsid w:val="001C021D"/>
    <w:rsid w:val="001C08B6"/>
    <w:rsid w:val="001C0C5D"/>
    <w:rsid w:val="001C1183"/>
    <w:rsid w:val="001C11F1"/>
    <w:rsid w:val="001C131F"/>
    <w:rsid w:val="001C181E"/>
    <w:rsid w:val="001C1BD9"/>
    <w:rsid w:val="001C20C9"/>
    <w:rsid w:val="001C210E"/>
    <w:rsid w:val="001C2557"/>
    <w:rsid w:val="001C3994"/>
    <w:rsid w:val="001C3DD9"/>
    <w:rsid w:val="001C3F35"/>
    <w:rsid w:val="001C4222"/>
    <w:rsid w:val="001C451E"/>
    <w:rsid w:val="001C4E6F"/>
    <w:rsid w:val="001C5118"/>
    <w:rsid w:val="001C559D"/>
    <w:rsid w:val="001C5BE5"/>
    <w:rsid w:val="001C5EE7"/>
    <w:rsid w:val="001C667E"/>
    <w:rsid w:val="001C6F2F"/>
    <w:rsid w:val="001C7270"/>
    <w:rsid w:val="001C79C3"/>
    <w:rsid w:val="001D06B3"/>
    <w:rsid w:val="001D0DD8"/>
    <w:rsid w:val="001D0F1A"/>
    <w:rsid w:val="001D0F2A"/>
    <w:rsid w:val="001D1086"/>
    <w:rsid w:val="001D2237"/>
    <w:rsid w:val="001D238E"/>
    <w:rsid w:val="001D271C"/>
    <w:rsid w:val="001D29A5"/>
    <w:rsid w:val="001D3281"/>
    <w:rsid w:val="001D384D"/>
    <w:rsid w:val="001D38A2"/>
    <w:rsid w:val="001D38FF"/>
    <w:rsid w:val="001D3A93"/>
    <w:rsid w:val="001D3C6E"/>
    <w:rsid w:val="001D43EC"/>
    <w:rsid w:val="001D4BD9"/>
    <w:rsid w:val="001D56BB"/>
    <w:rsid w:val="001D5F5C"/>
    <w:rsid w:val="001D6507"/>
    <w:rsid w:val="001D6D5E"/>
    <w:rsid w:val="001D6DEF"/>
    <w:rsid w:val="001D7092"/>
    <w:rsid w:val="001D7516"/>
    <w:rsid w:val="001D7C63"/>
    <w:rsid w:val="001E018C"/>
    <w:rsid w:val="001E0591"/>
    <w:rsid w:val="001E06A1"/>
    <w:rsid w:val="001E07C4"/>
    <w:rsid w:val="001E0BF2"/>
    <w:rsid w:val="001E0DAB"/>
    <w:rsid w:val="001E14A4"/>
    <w:rsid w:val="001E155D"/>
    <w:rsid w:val="001E17BE"/>
    <w:rsid w:val="001E269B"/>
    <w:rsid w:val="001E2AF4"/>
    <w:rsid w:val="001E2C54"/>
    <w:rsid w:val="001E37A0"/>
    <w:rsid w:val="001E38DE"/>
    <w:rsid w:val="001E3C47"/>
    <w:rsid w:val="001E3E40"/>
    <w:rsid w:val="001E4842"/>
    <w:rsid w:val="001E4889"/>
    <w:rsid w:val="001E4BD3"/>
    <w:rsid w:val="001E5B6B"/>
    <w:rsid w:val="001E5E09"/>
    <w:rsid w:val="001E5E33"/>
    <w:rsid w:val="001E60C1"/>
    <w:rsid w:val="001E6676"/>
    <w:rsid w:val="001E6B3C"/>
    <w:rsid w:val="001F08FF"/>
    <w:rsid w:val="001F0BC5"/>
    <w:rsid w:val="001F10FA"/>
    <w:rsid w:val="001F1917"/>
    <w:rsid w:val="001F265F"/>
    <w:rsid w:val="001F279B"/>
    <w:rsid w:val="001F2951"/>
    <w:rsid w:val="001F2BE7"/>
    <w:rsid w:val="001F2FFE"/>
    <w:rsid w:val="001F31FB"/>
    <w:rsid w:val="001F34D3"/>
    <w:rsid w:val="001F3722"/>
    <w:rsid w:val="001F3779"/>
    <w:rsid w:val="001F37C3"/>
    <w:rsid w:val="001F388D"/>
    <w:rsid w:val="001F3BBB"/>
    <w:rsid w:val="001F3DF4"/>
    <w:rsid w:val="001F481B"/>
    <w:rsid w:val="001F481F"/>
    <w:rsid w:val="001F4CA4"/>
    <w:rsid w:val="001F531C"/>
    <w:rsid w:val="001F53F7"/>
    <w:rsid w:val="001F55BD"/>
    <w:rsid w:val="001F66C0"/>
    <w:rsid w:val="001F684F"/>
    <w:rsid w:val="001F705B"/>
    <w:rsid w:val="001F729E"/>
    <w:rsid w:val="001F75F4"/>
    <w:rsid w:val="001F781B"/>
    <w:rsid w:val="001F7951"/>
    <w:rsid w:val="00200C2B"/>
    <w:rsid w:val="00201451"/>
    <w:rsid w:val="00201662"/>
    <w:rsid w:val="00201676"/>
    <w:rsid w:val="002016AD"/>
    <w:rsid w:val="00202B6B"/>
    <w:rsid w:val="00203193"/>
    <w:rsid w:val="00204B0F"/>
    <w:rsid w:val="00204B3B"/>
    <w:rsid w:val="00205163"/>
    <w:rsid w:val="00205200"/>
    <w:rsid w:val="0020555B"/>
    <w:rsid w:val="00205926"/>
    <w:rsid w:val="00205F9C"/>
    <w:rsid w:val="0020657B"/>
    <w:rsid w:val="002068EA"/>
    <w:rsid w:val="00206977"/>
    <w:rsid w:val="00206B14"/>
    <w:rsid w:val="00206C08"/>
    <w:rsid w:val="00206DF8"/>
    <w:rsid w:val="0020725F"/>
    <w:rsid w:val="00207296"/>
    <w:rsid w:val="0021002B"/>
    <w:rsid w:val="002100DD"/>
    <w:rsid w:val="00210364"/>
    <w:rsid w:val="00210615"/>
    <w:rsid w:val="00210A79"/>
    <w:rsid w:val="00211373"/>
    <w:rsid w:val="00211477"/>
    <w:rsid w:val="00211839"/>
    <w:rsid w:val="00213886"/>
    <w:rsid w:val="0021401F"/>
    <w:rsid w:val="0021405F"/>
    <w:rsid w:val="0021531D"/>
    <w:rsid w:val="00215821"/>
    <w:rsid w:val="00216102"/>
    <w:rsid w:val="0021621E"/>
    <w:rsid w:val="00216427"/>
    <w:rsid w:val="0021659E"/>
    <w:rsid w:val="00216CAA"/>
    <w:rsid w:val="00216D08"/>
    <w:rsid w:val="00216F47"/>
    <w:rsid w:val="0021729A"/>
    <w:rsid w:val="00217E0B"/>
    <w:rsid w:val="00220510"/>
    <w:rsid w:val="00220C4E"/>
    <w:rsid w:val="0022123D"/>
    <w:rsid w:val="00222635"/>
    <w:rsid w:val="00222B8C"/>
    <w:rsid w:val="00223196"/>
    <w:rsid w:val="002233B8"/>
    <w:rsid w:val="00223620"/>
    <w:rsid w:val="0022366D"/>
    <w:rsid w:val="00223682"/>
    <w:rsid w:val="002236E3"/>
    <w:rsid w:val="00223E8B"/>
    <w:rsid w:val="00223F89"/>
    <w:rsid w:val="002243AE"/>
    <w:rsid w:val="00224979"/>
    <w:rsid w:val="00224B03"/>
    <w:rsid w:val="002260A1"/>
    <w:rsid w:val="002263AD"/>
    <w:rsid w:val="002265CB"/>
    <w:rsid w:val="00227080"/>
    <w:rsid w:val="00227463"/>
    <w:rsid w:val="0023046D"/>
    <w:rsid w:val="0023072B"/>
    <w:rsid w:val="002307A0"/>
    <w:rsid w:val="002307E3"/>
    <w:rsid w:val="00230EAE"/>
    <w:rsid w:val="00231064"/>
    <w:rsid w:val="0023191C"/>
    <w:rsid w:val="00232421"/>
    <w:rsid w:val="00232577"/>
    <w:rsid w:val="00232E5C"/>
    <w:rsid w:val="002331A3"/>
    <w:rsid w:val="00233260"/>
    <w:rsid w:val="002336DB"/>
    <w:rsid w:val="002339D4"/>
    <w:rsid w:val="002340DD"/>
    <w:rsid w:val="002342C5"/>
    <w:rsid w:val="00234A79"/>
    <w:rsid w:val="00234BB6"/>
    <w:rsid w:val="002354F9"/>
    <w:rsid w:val="002357C9"/>
    <w:rsid w:val="00235F96"/>
    <w:rsid w:val="00236583"/>
    <w:rsid w:val="00236B0B"/>
    <w:rsid w:val="00237570"/>
    <w:rsid w:val="00237858"/>
    <w:rsid w:val="00237AFE"/>
    <w:rsid w:val="002400D4"/>
    <w:rsid w:val="002407D1"/>
    <w:rsid w:val="00240CD6"/>
    <w:rsid w:val="002410D5"/>
    <w:rsid w:val="00241447"/>
    <w:rsid w:val="00241B41"/>
    <w:rsid w:val="00242AD4"/>
    <w:rsid w:val="00242AF7"/>
    <w:rsid w:val="00242E18"/>
    <w:rsid w:val="0024367C"/>
    <w:rsid w:val="00243A26"/>
    <w:rsid w:val="00243FBE"/>
    <w:rsid w:val="002442C6"/>
    <w:rsid w:val="00244C9C"/>
    <w:rsid w:val="0024554B"/>
    <w:rsid w:val="002463F3"/>
    <w:rsid w:val="0024654F"/>
    <w:rsid w:val="002465B0"/>
    <w:rsid w:val="0024697D"/>
    <w:rsid w:val="00247086"/>
    <w:rsid w:val="00247E4D"/>
    <w:rsid w:val="00250C71"/>
    <w:rsid w:val="002511DD"/>
    <w:rsid w:val="0025197F"/>
    <w:rsid w:val="00251F84"/>
    <w:rsid w:val="00252278"/>
    <w:rsid w:val="0025282E"/>
    <w:rsid w:val="00253503"/>
    <w:rsid w:val="002539B6"/>
    <w:rsid w:val="00253A4C"/>
    <w:rsid w:val="00253F84"/>
    <w:rsid w:val="00254097"/>
    <w:rsid w:val="002542B1"/>
    <w:rsid w:val="00255673"/>
    <w:rsid w:val="00255D24"/>
    <w:rsid w:val="0025628A"/>
    <w:rsid w:val="00256B42"/>
    <w:rsid w:val="002571DE"/>
    <w:rsid w:val="002572CA"/>
    <w:rsid w:val="00257543"/>
    <w:rsid w:val="00257634"/>
    <w:rsid w:val="00257B6B"/>
    <w:rsid w:val="00257BAA"/>
    <w:rsid w:val="002609C2"/>
    <w:rsid w:val="00261154"/>
    <w:rsid w:val="00261BEC"/>
    <w:rsid w:val="00261C26"/>
    <w:rsid w:val="0026277F"/>
    <w:rsid w:val="00262F8E"/>
    <w:rsid w:val="0026379A"/>
    <w:rsid w:val="00263B14"/>
    <w:rsid w:val="0026471C"/>
    <w:rsid w:val="002649C8"/>
    <w:rsid w:val="002654AE"/>
    <w:rsid w:val="002654BB"/>
    <w:rsid w:val="00266277"/>
    <w:rsid w:val="00266487"/>
    <w:rsid w:val="0026690B"/>
    <w:rsid w:val="00266A50"/>
    <w:rsid w:val="00266B39"/>
    <w:rsid w:val="00266C27"/>
    <w:rsid w:val="00266D92"/>
    <w:rsid w:val="00266F58"/>
    <w:rsid w:val="00267494"/>
    <w:rsid w:val="0026755B"/>
    <w:rsid w:val="00267840"/>
    <w:rsid w:val="00267BDD"/>
    <w:rsid w:val="00267F72"/>
    <w:rsid w:val="00270096"/>
    <w:rsid w:val="00270115"/>
    <w:rsid w:val="00270945"/>
    <w:rsid w:val="00270D54"/>
    <w:rsid w:val="00270E07"/>
    <w:rsid w:val="00271833"/>
    <w:rsid w:val="00271A3A"/>
    <w:rsid w:val="00271E94"/>
    <w:rsid w:val="00272161"/>
    <w:rsid w:val="002723BB"/>
    <w:rsid w:val="00272A09"/>
    <w:rsid w:val="00272D3F"/>
    <w:rsid w:val="00272DEF"/>
    <w:rsid w:val="00272DF1"/>
    <w:rsid w:val="0027354F"/>
    <w:rsid w:val="002739FF"/>
    <w:rsid w:val="00274684"/>
    <w:rsid w:val="002746FE"/>
    <w:rsid w:val="002750A1"/>
    <w:rsid w:val="00275750"/>
    <w:rsid w:val="002765CD"/>
    <w:rsid w:val="00276DD8"/>
    <w:rsid w:val="002773A7"/>
    <w:rsid w:val="002777C2"/>
    <w:rsid w:val="0028053D"/>
    <w:rsid w:val="00280668"/>
    <w:rsid w:val="00281002"/>
    <w:rsid w:val="002817E2"/>
    <w:rsid w:val="002821E9"/>
    <w:rsid w:val="00282B6C"/>
    <w:rsid w:val="002832B1"/>
    <w:rsid w:val="00283F86"/>
    <w:rsid w:val="00284143"/>
    <w:rsid w:val="00284650"/>
    <w:rsid w:val="00284F51"/>
    <w:rsid w:val="0028505F"/>
    <w:rsid w:val="00285554"/>
    <w:rsid w:val="00285C1F"/>
    <w:rsid w:val="00285D57"/>
    <w:rsid w:val="0028659E"/>
    <w:rsid w:val="002866B0"/>
    <w:rsid w:val="00286CE8"/>
    <w:rsid w:val="00286D47"/>
    <w:rsid w:val="00287203"/>
    <w:rsid w:val="002873A7"/>
    <w:rsid w:val="002875D8"/>
    <w:rsid w:val="00287C6E"/>
    <w:rsid w:val="00287DFD"/>
    <w:rsid w:val="00287F7F"/>
    <w:rsid w:val="002903E3"/>
    <w:rsid w:val="00290D15"/>
    <w:rsid w:val="00290D48"/>
    <w:rsid w:val="0029124D"/>
    <w:rsid w:val="00291656"/>
    <w:rsid w:val="00291CB0"/>
    <w:rsid w:val="00292039"/>
    <w:rsid w:val="002929C7"/>
    <w:rsid w:val="00293897"/>
    <w:rsid w:val="0029401B"/>
    <w:rsid w:val="0029480A"/>
    <w:rsid w:val="00294A15"/>
    <w:rsid w:val="00294BF4"/>
    <w:rsid w:val="00294C1B"/>
    <w:rsid w:val="00295839"/>
    <w:rsid w:val="00296172"/>
    <w:rsid w:val="0029618C"/>
    <w:rsid w:val="002961AE"/>
    <w:rsid w:val="00296571"/>
    <w:rsid w:val="00296EBB"/>
    <w:rsid w:val="002974A8"/>
    <w:rsid w:val="002A012F"/>
    <w:rsid w:val="002A0820"/>
    <w:rsid w:val="002A160B"/>
    <w:rsid w:val="002A17FC"/>
    <w:rsid w:val="002A200B"/>
    <w:rsid w:val="002A21C8"/>
    <w:rsid w:val="002A222C"/>
    <w:rsid w:val="002A2309"/>
    <w:rsid w:val="002A25E7"/>
    <w:rsid w:val="002A27FF"/>
    <w:rsid w:val="002A2919"/>
    <w:rsid w:val="002A36CE"/>
    <w:rsid w:val="002A456D"/>
    <w:rsid w:val="002A5F46"/>
    <w:rsid w:val="002A61A3"/>
    <w:rsid w:val="002A675C"/>
    <w:rsid w:val="002A6FB4"/>
    <w:rsid w:val="002A7066"/>
    <w:rsid w:val="002A7247"/>
    <w:rsid w:val="002A7C09"/>
    <w:rsid w:val="002A7FAB"/>
    <w:rsid w:val="002B0678"/>
    <w:rsid w:val="002B07C8"/>
    <w:rsid w:val="002B0CD4"/>
    <w:rsid w:val="002B0D12"/>
    <w:rsid w:val="002B11C2"/>
    <w:rsid w:val="002B1233"/>
    <w:rsid w:val="002B1C6F"/>
    <w:rsid w:val="002B22C1"/>
    <w:rsid w:val="002B2433"/>
    <w:rsid w:val="002B25E7"/>
    <w:rsid w:val="002B2968"/>
    <w:rsid w:val="002B327E"/>
    <w:rsid w:val="002B3C97"/>
    <w:rsid w:val="002B4410"/>
    <w:rsid w:val="002B4EBF"/>
    <w:rsid w:val="002B5A5E"/>
    <w:rsid w:val="002B5F66"/>
    <w:rsid w:val="002B61E0"/>
    <w:rsid w:val="002B638F"/>
    <w:rsid w:val="002B6ADA"/>
    <w:rsid w:val="002B772D"/>
    <w:rsid w:val="002B7785"/>
    <w:rsid w:val="002B7ACF"/>
    <w:rsid w:val="002C0B25"/>
    <w:rsid w:val="002C127B"/>
    <w:rsid w:val="002C195E"/>
    <w:rsid w:val="002C1A3C"/>
    <w:rsid w:val="002C2365"/>
    <w:rsid w:val="002C250B"/>
    <w:rsid w:val="002C2773"/>
    <w:rsid w:val="002C33B7"/>
    <w:rsid w:val="002C3551"/>
    <w:rsid w:val="002C3691"/>
    <w:rsid w:val="002C3CFD"/>
    <w:rsid w:val="002C4BAE"/>
    <w:rsid w:val="002C5C47"/>
    <w:rsid w:val="002C62D8"/>
    <w:rsid w:val="002C6459"/>
    <w:rsid w:val="002C65A2"/>
    <w:rsid w:val="002C6A8A"/>
    <w:rsid w:val="002C6BB6"/>
    <w:rsid w:val="002C74D3"/>
    <w:rsid w:val="002C7AC4"/>
    <w:rsid w:val="002D0079"/>
    <w:rsid w:val="002D0100"/>
    <w:rsid w:val="002D0642"/>
    <w:rsid w:val="002D0B4F"/>
    <w:rsid w:val="002D0C1B"/>
    <w:rsid w:val="002D11F7"/>
    <w:rsid w:val="002D1396"/>
    <w:rsid w:val="002D288A"/>
    <w:rsid w:val="002D28D7"/>
    <w:rsid w:val="002D2E06"/>
    <w:rsid w:val="002D372C"/>
    <w:rsid w:val="002D397C"/>
    <w:rsid w:val="002D3CD8"/>
    <w:rsid w:val="002D3E50"/>
    <w:rsid w:val="002D3F4A"/>
    <w:rsid w:val="002D494F"/>
    <w:rsid w:val="002D4B20"/>
    <w:rsid w:val="002D5589"/>
    <w:rsid w:val="002D574A"/>
    <w:rsid w:val="002D6313"/>
    <w:rsid w:val="002D6AB6"/>
    <w:rsid w:val="002D7132"/>
    <w:rsid w:val="002D758A"/>
    <w:rsid w:val="002D7B52"/>
    <w:rsid w:val="002D7EC5"/>
    <w:rsid w:val="002E0238"/>
    <w:rsid w:val="002E046D"/>
    <w:rsid w:val="002E0A7A"/>
    <w:rsid w:val="002E1314"/>
    <w:rsid w:val="002E1BC8"/>
    <w:rsid w:val="002E1C1A"/>
    <w:rsid w:val="002E29AC"/>
    <w:rsid w:val="002E31AD"/>
    <w:rsid w:val="002E324B"/>
    <w:rsid w:val="002E339D"/>
    <w:rsid w:val="002E39BB"/>
    <w:rsid w:val="002E3DDA"/>
    <w:rsid w:val="002E4561"/>
    <w:rsid w:val="002E4CE3"/>
    <w:rsid w:val="002E4E55"/>
    <w:rsid w:val="002E5607"/>
    <w:rsid w:val="002E57C7"/>
    <w:rsid w:val="002E599D"/>
    <w:rsid w:val="002E5BA0"/>
    <w:rsid w:val="002E5E2A"/>
    <w:rsid w:val="002E677D"/>
    <w:rsid w:val="002E67AD"/>
    <w:rsid w:val="002E6981"/>
    <w:rsid w:val="002E6E57"/>
    <w:rsid w:val="002E74E2"/>
    <w:rsid w:val="002E7ADB"/>
    <w:rsid w:val="002F05ED"/>
    <w:rsid w:val="002F0A00"/>
    <w:rsid w:val="002F19F8"/>
    <w:rsid w:val="002F1A90"/>
    <w:rsid w:val="002F1D2C"/>
    <w:rsid w:val="002F28EC"/>
    <w:rsid w:val="002F3307"/>
    <w:rsid w:val="002F369C"/>
    <w:rsid w:val="002F4401"/>
    <w:rsid w:val="002F5218"/>
    <w:rsid w:val="002F5F31"/>
    <w:rsid w:val="002F6033"/>
    <w:rsid w:val="002F74F6"/>
    <w:rsid w:val="002F7DE5"/>
    <w:rsid w:val="002F7EED"/>
    <w:rsid w:val="002F7FCF"/>
    <w:rsid w:val="002F7FDA"/>
    <w:rsid w:val="003000BA"/>
    <w:rsid w:val="00301327"/>
    <w:rsid w:val="00301BD9"/>
    <w:rsid w:val="0030219C"/>
    <w:rsid w:val="003030EB"/>
    <w:rsid w:val="00303116"/>
    <w:rsid w:val="00303E9D"/>
    <w:rsid w:val="003040AA"/>
    <w:rsid w:val="003042E8"/>
    <w:rsid w:val="00304F3E"/>
    <w:rsid w:val="003050DE"/>
    <w:rsid w:val="00305406"/>
    <w:rsid w:val="003061DA"/>
    <w:rsid w:val="0030665B"/>
    <w:rsid w:val="00306794"/>
    <w:rsid w:val="003067B5"/>
    <w:rsid w:val="00306F6F"/>
    <w:rsid w:val="00307846"/>
    <w:rsid w:val="00307C7E"/>
    <w:rsid w:val="00310394"/>
    <w:rsid w:val="00311297"/>
    <w:rsid w:val="00311643"/>
    <w:rsid w:val="003116D7"/>
    <w:rsid w:val="003122D0"/>
    <w:rsid w:val="00312617"/>
    <w:rsid w:val="0031271B"/>
    <w:rsid w:val="00312BC4"/>
    <w:rsid w:val="00313127"/>
    <w:rsid w:val="00313BED"/>
    <w:rsid w:val="00314C31"/>
    <w:rsid w:val="003150ED"/>
    <w:rsid w:val="003156E6"/>
    <w:rsid w:val="00315856"/>
    <w:rsid w:val="00315D67"/>
    <w:rsid w:val="00317147"/>
    <w:rsid w:val="00317BDE"/>
    <w:rsid w:val="00317C62"/>
    <w:rsid w:val="00317E08"/>
    <w:rsid w:val="0032031C"/>
    <w:rsid w:val="00321083"/>
    <w:rsid w:val="00321714"/>
    <w:rsid w:val="0032205B"/>
    <w:rsid w:val="0032242E"/>
    <w:rsid w:val="003224C2"/>
    <w:rsid w:val="00323301"/>
    <w:rsid w:val="00323AB6"/>
    <w:rsid w:val="00324F9D"/>
    <w:rsid w:val="00324FDE"/>
    <w:rsid w:val="003256B3"/>
    <w:rsid w:val="00326688"/>
    <w:rsid w:val="00326D9A"/>
    <w:rsid w:val="00326FE0"/>
    <w:rsid w:val="003274D7"/>
    <w:rsid w:val="00330105"/>
    <w:rsid w:val="003309C0"/>
    <w:rsid w:val="0033142C"/>
    <w:rsid w:val="00331763"/>
    <w:rsid w:val="00331D94"/>
    <w:rsid w:val="0033355E"/>
    <w:rsid w:val="00333D91"/>
    <w:rsid w:val="00333F85"/>
    <w:rsid w:val="00334923"/>
    <w:rsid w:val="00334B2B"/>
    <w:rsid w:val="00335356"/>
    <w:rsid w:val="003356F5"/>
    <w:rsid w:val="003358F1"/>
    <w:rsid w:val="00335E44"/>
    <w:rsid w:val="00336724"/>
    <w:rsid w:val="00336FCB"/>
    <w:rsid w:val="003370F1"/>
    <w:rsid w:val="0033763D"/>
    <w:rsid w:val="00337BC9"/>
    <w:rsid w:val="00337FFD"/>
    <w:rsid w:val="00340278"/>
    <w:rsid w:val="00340749"/>
    <w:rsid w:val="00341570"/>
    <w:rsid w:val="003417AB"/>
    <w:rsid w:val="00342441"/>
    <w:rsid w:val="00342641"/>
    <w:rsid w:val="003427FC"/>
    <w:rsid w:val="00343D29"/>
    <w:rsid w:val="00343FBE"/>
    <w:rsid w:val="00344417"/>
    <w:rsid w:val="003459AF"/>
    <w:rsid w:val="00345A0C"/>
    <w:rsid w:val="00346434"/>
    <w:rsid w:val="00346BD3"/>
    <w:rsid w:val="00346C83"/>
    <w:rsid w:val="003472AE"/>
    <w:rsid w:val="00347519"/>
    <w:rsid w:val="003475B0"/>
    <w:rsid w:val="003478C2"/>
    <w:rsid w:val="00347C5E"/>
    <w:rsid w:val="003506F8"/>
    <w:rsid w:val="00350706"/>
    <w:rsid w:val="00350880"/>
    <w:rsid w:val="003516BB"/>
    <w:rsid w:val="0035180E"/>
    <w:rsid w:val="00351BA5"/>
    <w:rsid w:val="00351EA2"/>
    <w:rsid w:val="0035253E"/>
    <w:rsid w:val="00352EB5"/>
    <w:rsid w:val="003536CA"/>
    <w:rsid w:val="00353DB3"/>
    <w:rsid w:val="00353EC6"/>
    <w:rsid w:val="00353ED8"/>
    <w:rsid w:val="00354208"/>
    <w:rsid w:val="00354918"/>
    <w:rsid w:val="00354C4C"/>
    <w:rsid w:val="003552EA"/>
    <w:rsid w:val="00355695"/>
    <w:rsid w:val="003559F5"/>
    <w:rsid w:val="00356718"/>
    <w:rsid w:val="00356E7C"/>
    <w:rsid w:val="003573C9"/>
    <w:rsid w:val="003577CF"/>
    <w:rsid w:val="00357A4B"/>
    <w:rsid w:val="0036099C"/>
    <w:rsid w:val="00361FE6"/>
    <w:rsid w:val="003624F3"/>
    <w:rsid w:val="00362643"/>
    <w:rsid w:val="00362EF1"/>
    <w:rsid w:val="003635CE"/>
    <w:rsid w:val="00363F25"/>
    <w:rsid w:val="003641E8"/>
    <w:rsid w:val="003643E3"/>
    <w:rsid w:val="0036464B"/>
    <w:rsid w:val="003647E4"/>
    <w:rsid w:val="00365291"/>
    <w:rsid w:val="003655AF"/>
    <w:rsid w:val="0036571F"/>
    <w:rsid w:val="00365A0B"/>
    <w:rsid w:val="00365AD4"/>
    <w:rsid w:val="00365E75"/>
    <w:rsid w:val="0036634A"/>
    <w:rsid w:val="0036658A"/>
    <w:rsid w:val="003669A8"/>
    <w:rsid w:val="00366E46"/>
    <w:rsid w:val="00366F4B"/>
    <w:rsid w:val="0036705A"/>
    <w:rsid w:val="00367657"/>
    <w:rsid w:val="003700DA"/>
    <w:rsid w:val="0037048E"/>
    <w:rsid w:val="003708FF"/>
    <w:rsid w:val="00370D3D"/>
    <w:rsid w:val="003718DD"/>
    <w:rsid w:val="003718F5"/>
    <w:rsid w:val="00371EF9"/>
    <w:rsid w:val="003723AA"/>
    <w:rsid w:val="00372B24"/>
    <w:rsid w:val="003739A0"/>
    <w:rsid w:val="00374D40"/>
    <w:rsid w:val="00375007"/>
    <w:rsid w:val="0037557F"/>
    <w:rsid w:val="00376698"/>
    <w:rsid w:val="00376B8C"/>
    <w:rsid w:val="00377565"/>
    <w:rsid w:val="003801B7"/>
    <w:rsid w:val="0038069D"/>
    <w:rsid w:val="00380ACD"/>
    <w:rsid w:val="003814BF"/>
    <w:rsid w:val="00381938"/>
    <w:rsid w:val="00381C1B"/>
    <w:rsid w:val="00381CC8"/>
    <w:rsid w:val="00381EDF"/>
    <w:rsid w:val="00382A9D"/>
    <w:rsid w:val="00382EA4"/>
    <w:rsid w:val="00383267"/>
    <w:rsid w:val="0038328C"/>
    <w:rsid w:val="0038331C"/>
    <w:rsid w:val="003834F8"/>
    <w:rsid w:val="00383DB0"/>
    <w:rsid w:val="003843DE"/>
    <w:rsid w:val="003844F3"/>
    <w:rsid w:val="003848A5"/>
    <w:rsid w:val="0038594E"/>
    <w:rsid w:val="00385DA8"/>
    <w:rsid w:val="00386311"/>
    <w:rsid w:val="003864DB"/>
    <w:rsid w:val="00386839"/>
    <w:rsid w:val="0038698F"/>
    <w:rsid w:val="00386AE9"/>
    <w:rsid w:val="00386DA5"/>
    <w:rsid w:val="003870AE"/>
    <w:rsid w:val="00387518"/>
    <w:rsid w:val="003876C0"/>
    <w:rsid w:val="00387CAC"/>
    <w:rsid w:val="00387FB3"/>
    <w:rsid w:val="003901E3"/>
    <w:rsid w:val="003904FC"/>
    <w:rsid w:val="0039055D"/>
    <w:rsid w:val="0039081D"/>
    <w:rsid w:val="003909E6"/>
    <w:rsid w:val="00391A53"/>
    <w:rsid w:val="003922E7"/>
    <w:rsid w:val="003923F2"/>
    <w:rsid w:val="00392452"/>
    <w:rsid w:val="003925B8"/>
    <w:rsid w:val="00392C63"/>
    <w:rsid w:val="00392E4A"/>
    <w:rsid w:val="00393A1E"/>
    <w:rsid w:val="00393E26"/>
    <w:rsid w:val="00393FC6"/>
    <w:rsid w:val="00393FD5"/>
    <w:rsid w:val="00394FB9"/>
    <w:rsid w:val="00395945"/>
    <w:rsid w:val="003964B2"/>
    <w:rsid w:val="003966E9"/>
    <w:rsid w:val="003977FF"/>
    <w:rsid w:val="00397AD4"/>
    <w:rsid w:val="00397C83"/>
    <w:rsid w:val="00397F44"/>
    <w:rsid w:val="003A0BDA"/>
    <w:rsid w:val="003A11EA"/>
    <w:rsid w:val="003A120D"/>
    <w:rsid w:val="003A1673"/>
    <w:rsid w:val="003A217C"/>
    <w:rsid w:val="003A24BC"/>
    <w:rsid w:val="003A26A1"/>
    <w:rsid w:val="003A2C00"/>
    <w:rsid w:val="003A3060"/>
    <w:rsid w:val="003A312E"/>
    <w:rsid w:val="003A3479"/>
    <w:rsid w:val="003A3D97"/>
    <w:rsid w:val="003A4532"/>
    <w:rsid w:val="003A46FB"/>
    <w:rsid w:val="003A4DFE"/>
    <w:rsid w:val="003A527B"/>
    <w:rsid w:val="003A60AE"/>
    <w:rsid w:val="003A6B4C"/>
    <w:rsid w:val="003A7AD9"/>
    <w:rsid w:val="003A7B01"/>
    <w:rsid w:val="003B08B3"/>
    <w:rsid w:val="003B0973"/>
    <w:rsid w:val="003B0D57"/>
    <w:rsid w:val="003B1984"/>
    <w:rsid w:val="003B1B2D"/>
    <w:rsid w:val="003B1D19"/>
    <w:rsid w:val="003B1DA7"/>
    <w:rsid w:val="003B213D"/>
    <w:rsid w:val="003B257B"/>
    <w:rsid w:val="003B26FA"/>
    <w:rsid w:val="003B2A82"/>
    <w:rsid w:val="003B2B3C"/>
    <w:rsid w:val="003B31E0"/>
    <w:rsid w:val="003B376C"/>
    <w:rsid w:val="003B3E7C"/>
    <w:rsid w:val="003B4755"/>
    <w:rsid w:val="003B487C"/>
    <w:rsid w:val="003B4942"/>
    <w:rsid w:val="003B4A7C"/>
    <w:rsid w:val="003B4B88"/>
    <w:rsid w:val="003B4DF2"/>
    <w:rsid w:val="003B527D"/>
    <w:rsid w:val="003B5A10"/>
    <w:rsid w:val="003B5DC1"/>
    <w:rsid w:val="003B5F1F"/>
    <w:rsid w:val="003B7617"/>
    <w:rsid w:val="003B772F"/>
    <w:rsid w:val="003B77F7"/>
    <w:rsid w:val="003B7846"/>
    <w:rsid w:val="003B788A"/>
    <w:rsid w:val="003B7A14"/>
    <w:rsid w:val="003B7C52"/>
    <w:rsid w:val="003B7CA1"/>
    <w:rsid w:val="003C05FE"/>
    <w:rsid w:val="003C0624"/>
    <w:rsid w:val="003C0892"/>
    <w:rsid w:val="003C0C6A"/>
    <w:rsid w:val="003C0CA8"/>
    <w:rsid w:val="003C1C8D"/>
    <w:rsid w:val="003C2A65"/>
    <w:rsid w:val="003C31B4"/>
    <w:rsid w:val="003C3C8B"/>
    <w:rsid w:val="003C3F1C"/>
    <w:rsid w:val="003C4B19"/>
    <w:rsid w:val="003C4FD0"/>
    <w:rsid w:val="003C5806"/>
    <w:rsid w:val="003C5BC4"/>
    <w:rsid w:val="003C5FA4"/>
    <w:rsid w:val="003C64EA"/>
    <w:rsid w:val="003C6E8C"/>
    <w:rsid w:val="003C6EA5"/>
    <w:rsid w:val="003C72A0"/>
    <w:rsid w:val="003D0197"/>
    <w:rsid w:val="003D0278"/>
    <w:rsid w:val="003D1459"/>
    <w:rsid w:val="003D17AE"/>
    <w:rsid w:val="003D17F6"/>
    <w:rsid w:val="003D2567"/>
    <w:rsid w:val="003D2577"/>
    <w:rsid w:val="003D2E1A"/>
    <w:rsid w:val="003D37FD"/>
    <w:rsid w:val="003D4163"/>
    <w:rsid w:val="003D44A9"/>
    <w:rsid w:val="003D4F97"/>
    <w:rsid w:val="003D5983"/>
    <w:rsid w:val="003D5D5F"/>
    <w:rsid w:val="003D62C8"/>
    <w:rsid w:val="003D6A61"/>
    <w:rsid w:val="003D6B58"/>
    <w:rsid w:val="003D6B5F"/>
    <w:rsid w:val="003D74CA"/>
    <w:rsid w:val="003D7F28"/>
    <w:rsid w:val="003E0522"/>
    <w:rsid w:val="003E0634"/>
    <w:rsid w:val="003E07ED"/>
    <w:rsid w:val="003E0D1B"/>
    <w:rsid w:val="003E1E8F"/>
    <w:rsid w:val="003E2118"/>
    <w:rsid w:val="003E28AB"/>
    <w:rsid w:val="003E2E80"/>
    <w:rsid w:val="003E4C06"/>
    <w:rsid w:val="003E5934"/>
    <w:rsid w:val="003E5A11"/>
    <w:rsid w:val="003E5AB2"/>
    <w:rsid w:val="003E611D"/>
    <w:rsid w:val="003E62DD"/>
    <w:rsid w:val="003E686E"/>
    <w:rsid w:val="003E727B"/>
    <w:rsid w:val="003E7A73"/>
    <w:rsid w:val="003E7E8F"/>
    <w:rsid w:val="003E7EAD"/>
    <w:rsid w:val="003F03C1"/>
    <w:rsid w:val="003F0598"/>
    <w:rsid w:val="003F13FD"/>
    <w:rsid w:val="003F142C"/>
    <w:rsid w:val="003F20E8"/>
    <w:rsid w:val="003F2135"/>
    <w:rsid w:val="003F238B"/>
    <w:rsid w:val="003F2841"/>
    <w:rsid w:val="003F2F7D"/>
    <w:rsid w:val="003F30CB"/>
    <w:rsid w:val="003F31CD"/>
    <w:rsid w:val="003F3810"/>
    <w:rsid w:val="003F3F15"/>
    <w:rsid w:val="003F3F7A"/>
    <w:rsid w:val="003F4FC4"/>
    <w:rsid w:val="003F5721"/>
    <w:rsid w:val="003F574C"/>
    <w:rsid w:val="003F5F77"/>
    <w:rsid w:val="003F6E3D"/>
    <w:rsid w:val="003F723C"/>
    <w:rsid w:val="003F7E57"/>
    <w:rsid w:val="004001AA"/>
    <w:rsid w:val="004009C5"/>
    <w:rsid w:val="00400C35"/>
    <w:rsid w:val="00400F15"/>
    <w:rsid w:val="00400F36"/>
    <w:rsid w:val="0040124F"/>
    <w:rsid w:val="004012B9"/>
    <w:rsid w:val="00401C69"/>
    <w:rsid w:val="00403363"/>
    <w:rsid w:val="00403730"/>
    <w:rsid w:val="0040381B"/>
    <w:rsid w:val="004038C1"/>
    <w:rsid w:val="00403E93"/>
    <w:rsid w:val="00404C3D"/>
    <w:rsid w:val="00404CDF"/>
    <w:rsid w:val="00404CEB"/>
    <w:rsid w:val="004055C7"/>
    <w:rsid w:val="004055D4"/>
    <w:rsid w:val="0040672E"/>
    <w:rsid w:val="004067C4"/>
    <w:rsid w:val="00406B11"/>
    <w:rsid w:val="00406FDA"/>
    <w:rsid w:val="00407091"/>
    <w:rsid w:val="00407E02"/>
    <w:rsid w:val="0041024F"/>
    <w:rsid w:val="0041138D"/>
    <w:rsid w:val="004119E6"/>
    <w:rsid w:val="00411C65"/>
    <w:rsid w:val="00411C83"/>
    <w:rsid w:val="00412983"/>
    <w:rsid w:val="00412FEC"/>
    <w:rsid w:val="00413364"/>
    <w:rsid w:val="004137CF"/>
    <w:rsid w:val="00413C07"/>
    <w:rsid w:val="00413C7A"/>
    <w:rsid w:val="00413E1F"/>
    <w:rsid w:val="00413F95"/>
    <w:rsid w:val="00414A97"/>
    <w:rsid w:val="00414C2B"/>
    <w:rsid w:val="00414D94"/>
    <w:rsid w:val="00415861"/>
    <w:rsid w:val="00415BF6"/>
    <w:rsid w:val="00420416"/>
    <w:rsid w:val="004206D1"/>
    <w:rsid w:val="0042119A"/>
    <w:rsid w:val="004212AA"/>
    <w:rsid w:val="0042133C"/>
    <w:rsid w:val="00421B97"/>
    <w:rsid w:val="00421F7C"/>
    <w:rsid w:val="00422E16"/>
    <w:rsid w:val="00424270"/>
    <w:rsid w:val="00424874"/>
    <w:rsid w:val="00424D91"/>
    <w:rsid w:val="004251AD"/>
    <w:rsid w:val="0042536A"/>
    <w:rsid w:val="0042540B"/>
    <w:rsid w:val="004257C0"/>
    <w:rsid w:val="00425C94"/>
    <w:rsid w:val="0042608E"/>
    <w:rsid w:val="004265A2"/>
    <w:rsid w:val="00426AAF"/>
    <w:rsid w:val="00427400"/>
    <w:rsid w:val="00427A5F"/>
    <w:rsid w:val="0043043B"/>
    <w:rsid w:val="0043046C"/>
    <w:rsid w:val="00431051"/>
    <w:rsid w:val="0043110A"/>
    <w:rsid w:val="00431587"/>
    <w:rsid w:val="004317B1"/>
    <w:rsid w:val="004317C3"/>
    <w:rsid w:val="00431DBB"/>
    <w:rsid w:val="00431F2B"/>
    <w:rsid w:val="00431F9B"/>
    <w:rsid w:val="00432632"/>
    <w:rsid w:val="00433090"/>
    <w:rsid w:val="00433B48"/>
    <w:rsid w:val="00434671"/>
    <w:rsid w:val="00434DE6"/>
    <w:rsid w:val="00434EFE"/>
    <w:rsid w:val="004352F0"/>
    <w:rsid w:val="00435701"/>
    <w:rsid w:val="00436212"/>
    <w:rsid w:val="004370B5"/>
    <w:rsid w:val="00437251"/>
    <w:rsid w:val="00440551"/>
    <w:rsid w:val="004405B0"/>
    <w:rsid w:val="00440A9E"/>
    <w:rsid w:val="00440DED"/>
    <w:rsid w:val="00442820"/>
    <w:rsid w:val="00442861"/>
    <w:rsid w:val="004428AF"/>
    <w:rsid w:val="004428D1"/>
    <w:rsid w:val="004430CD"/>
    <w:rsid w:val="00443BB4"/>
    <w:rsid w:val="00443F91"/>
    <w:rsid w:val="004441ED"/>
    <w:rsid w:val="004442CA"/>
    <w:rsid w:val="0044478D"/>
    <w:rsid w:val="004449D8"/>
    <w:rsid w:val="00444BB2"/>
    <w:rsid w:val="0044591B"/>
    <w:rsid w:val="00445E69"/>
    <w:rsid w:val="00445EBC"/>
    <w:rsid w:val="00446B11"/>
    <w:rsid w:val="00446F93"/>
    <w:rsid w:val="004470B6"/>
    <w:rsid w:val="0044740E"/>
    <w:rsid w:val="0044762E"/>
    <w:rsid w:val="004479F4"/>
    <w:rsid w:val="00450769"/>
    <w:rsid w:val="00450F17"/>
    <w:rsid w:val="00451206"/>
    <w:rsid w:val="00451218"/>
    <w:rsid w:val="004514C3"/>
    <w:rsid w:val="00451F4B"/>
    <w:rsid w:val="004522DD"/>
    <w:rsid w:val="004528F3"/>
    <w:rsid w:val="00452FA1"/>
    <w:rsid w:val="0045312E"/>
    <w:rsid w:val="004539FB"/>
    <w:rsid w:val="004540CD"/>
    <w:rsid w:val="00455204"/>
    <w:rsid w:val="004559E2"/>
    <w:rsid w:val="00455D97"/>
    <w:rsid w:val="00455E9C"/>
    <w:rsid w:val="00456026"/>
    <w:rsid w:val="004560D3"/>
    <w:rsid w:val="004575B1"/>
    <w:rsid w:val="0046011B"/>
    <w:rsid w:val="00460340"/>
    <w:rsid w:val="00460372"/>
    <w:rsid w:val="00460677"/>
    <w:rsid w:val="00460ADC"/>
    <w:rsid w:val="00461061"/>
    <w:rsid w:val="004612FA"/>
    <w:rsid w:val="004621C9"/>
    <w:rsid w:val="00462507"/>
    <w:rsid w:val="00463501"/>
    <w:rsid w:val="00463556"/>
    <w:rsid w:val="00463B25"/>
    <w:rsid w:val="00463B53"/>
    <w:rsid w:val="00463CA3"/>
    <w:rsid w:val="00464597"/>
    <w:rsid w:val="004649F4"/>
    <w:rsid w:val="00464CC3"/>
    <w:rsid w:val="004659FF"/>
    <w:rsid w:val="00465E79"/>
    <w:rsid w:val="00466978"/>
    <w:rsid w:val="00467430"/>
    <w:rsid w:val="0046771B"/>
    <w:rsid w:val="00467C9A"/>
    <w:rsid w:val="004706CA"/>
    <w:rsid w:val="004706FB"/>
    <w:rsid w:val="00470887"/>
    <w:rsid w:val="00470A9F"/>
    <w:rsid w:val="00470C17"/>
    <w:rsid w:val="00470E91"/>
    <w:rsid w:val="004712E2"/>
    <w:rsid w:val="0047192A"/>
    <w:rsid w:val="00471997"/>
    <w:rsid w:val="00471AAD"/>
    <w:rsid w:val="00471CB1"/>
    <w:rsid w:val="004724A8"/>
    <w:rsid w:val="00472EAD"/>
    <w:rsid w:val="0047305F"/>
    <w:rsid w:val="00473CB7"/>
    <w:rsid w:val="00473EE5"/>
    <w:rsid w:val="00474113"/>
    <w:rsid w:val="0047419C"/>
    <w:rsid w:val="00474D29"/>
    <w:rsid w:val="00474F72"/>
    <w:rsid w:val="0047502C"/>
    <w:rsid w:val="004751EF"/>
    <w:rsid w:val="004753F1"/>
    <w:rsid w:val="00476070"/>
    <w:rsid w:val="00476497"/>
    <w:rsid w:val="00476FE5"/>
    <w:rsid w:val="00477123"/>
    <w:rsid w:val="0047719B"/>
    <w:rsid w:val="004776F3"/>
    <w:rsid w:val="0047795A"/>
    <w:rsid w:val="00480758"/>
    <w:rsid w:val="00481455"/>
    <w:rsid w:val="00481A93"/>
    <w:rsid w:val="0048232C"/>
    <w:rsid w:val="00482AFC"/>
    <w:rsid w:val="00482B46"/>
    <w:rsid w:val="00482ED7"/>
    <w:rsid w:val="00483944"/>
    <w:rsid w:val="00483A3D"/>
    <w:rsid w:val="00483B24"/>
    <w:rsid w:val="0048426C"/>
    <w:rsid w:val="00484F42"/>
    <w:rsid w:val="0048599D"/>
    <w:rsid w:val="00485A73"/>
    <w:rsid w:val="0048639C"/>
    <w:rsid w:val="00486ABC"/>
    <w:rsid w:val="0048729E"/>
    <w:rsid w:val="004872FD"/>
    <w:rsid w:val="00487F84"/>
    <w:rsid w:val="0049020A"/>
    <w:rsid w:val="00490BCD"/>
    <w:rsid w:val="00490D02"/>
    <w:rsid w:val="00491304"/>
    <w:rsid w:val="00491BBB"/>
    <w:rsid w:val="00491E4A"/>
    <w:rsid w:val="00491E74"/>
    <w:rsid w:val="0049207C"/>
    <w:rsid w:val="0049219F"/>
    <w:rsid w:val="00492456"/>
    <w:rsid w:val="0049289C"/>
    <w:rsid w:val="0049397D"/>
    <w:rsid w:val="004939C8"/>
    <w:rsid w:val="00493AB6"/>
    <w:rsid w:val="004940B3"/>
    <w:rsid w:val="004952AC"/>
    <w:rsid w:val="00495560"/>
    <w:rsid w:val="0049576E"/>
    <w:rsid w:val="00495FDD"/>
    <w:rsid w:val="004961FF"/>
    <w:rsid w:val="004965EC"/>
    <w:rsid w:val="00496AC6"/>
    <w:rsid w:val="00496DA4"/>
    <w:rsid w:val="004A01FF"/>
    <w:rsid w:val="004A06A4"/>
    <w:rsid w:val="004A0AEF"/>
    <w:rsid w:val="004A0ED1"/>
    <w:rsid w:val="004A2309"/>
    <w:rsid w:val="004A2643"/>
    <w:rsid w:val="004A2AF6"/>
    <w:rsid w:val="004A2F26"/>
    <w:rsid w:val="004A319B"/>
    <w:rsid w:val="004A338D"/>
    <w:rsid w:val="004A3650"/>
    <w:rsid w:val="004A3890"/>
    <w:rsid w:val="004A3D11"/>
    <w:rsid w:val="004A423C"/>
    <w:rsid w:val="004A4258"/>
    <w:rsid w:val="004A453E"/>
    <w:rsid w:val="004A54EE"/>
    <w:rsid w:val="004A5F52"/>
    <w:rsid w:val="004A634D"/>
    <w:rsid w:val="004A63CF"/>
    <w:rsid w:val="004A6636"/>
    <w:rsid w:val="004A71AB"/>
    <w:rsid w:val="004A763E"/>
    <w:rsid w:val="004A775E"/>
    <w:rsid w:val="004A77DC"/>
    <w:rsid w:val="004B0062"/>
    <w:rsid w:val="004B035A"/>
    <w:rsid w:val="004B0776"/>
    <w:rsid w:val="004B1439"/>
    <w:rsid w:val="004B1BA6"/>
    <w:rsid w:val="004B1F41"/>
    <w:rsid w:val="004B21E6"/>
    <w:rsid w:val="004B27F2"/>
    <w:rsid w:val="004B3ADB"/>
    <w:rsid w:val="004B3DDA"/>
    <w:rsid w:val="004B47A2"/>
    <w:rsid w:val="004B4CF8"/>
    <w:rsid w:val="004B4D94"/>
    <w:rsid w:val="004B4E37"/>
    <w:rsid w:val="004B68D3"/>
    <w:rsid w:val="004B7F74"/>
    <w:rsid w:val="004C10FA"/>
    <w:rsid w:val="004C133A"/>
    <w:rsid w:val="004C1703"/>
    <w:rsid w:val="004C1A5F"/>
    <w:rsid w:val="004C1B2D"/>
    <w:rsid w:val="004C228F"/>
    <w:rsid w:val="004C2D9B"/>
    <w:rsid w:val="004C2E49"/>
    <w:rsid w:val="004C33F2"/>
    <w:rsid w:val="004C341D"/>
    <w:rsid w:val="004C4338"/>
    <w:rsid w:val="004C46F8"/>
    <w:rsid w:val="004C48CB"/>
    <w:rsid w:val="004C49F4"/>
    <w:rsid w:val="004C4C09"/>
    <w:rsid w:val="004C4E81"/>
    <w:rsid w:val="004C4F97"/>
    <w:rsid w:val="004C50D3"/>
    <w:rsid w:val="004C50F1"/>
    <w:rsid w:val="004C58A2"/>
    <w:rsid w:val="004C603D"/>
    <w:rsid w:val="004C679D"/>
    <w:rsid w:val="004C75EF"/>
    <w:rsid w:val="004C7D00"/>
    <w:rsid w:val="004C7DE6"/>
    <w:rsid w:val="004D0713"/>
    <w:rsid w:val="004D08EC"/>
    <w:rsid w:val="004D1AB4"/>
    <w:rsid w:val="004D1B2D"/>
    <w:rsid w:val="004D2D86"/>
    <w:rsid w:val="004D2FE4"/>
    <w:rsid w:val="004D358C"/>
    <w:rsid w:val="004D37C4"/>
    <w:rsid w:val="004D3E82"/>
    <w:rsid w:val="004D46A6"/>
    <w:rsid w:val="004D4836"/>
    <w:rsid w:val="004D4CA1"/>
    <w:rsid w:val="004D5995"/>
    <w:rsid w:val="004D5A56"/>
    <w:rsid w:val="004D5D6B"/>
    <w:rsid w:val="004D63EC"/>
    <w:rsid w:val="004D64DF"/>
    <w:rsid w:val="004D6856"/>
    <w:rsid w:val="004D6B93"/>
    <w:rsid w:val="004D70F5"/>
    <w:rsid w:val="004D7456"/>
    <w:rsid w:val="004D782A"/>
    <w:rsid w:val="004D797E"/>
    <w:rsid w:val="004D7FA9"/>
    <w:rsid w:val="004E0916"/>
    <w:rsid w:val="004E10EA"/>
    <w:rsid w:val="004E17B0"/>
    <w:rsid w:val="004E19D7"/>
    <w:rsid w:val="004E227C"/>
    <w:rsid w:val="004E2432"/>
    <w:rsid w:val="004E2583"/>
    <w:rsid w:val="004E28BE"/>
    <w:rsid w:val="004E2D23"/>
    <w:rsid w:val="004E387E"/>
    <w:rsid w:val="004E3E92"/>
    <w:rsid w:val="004E42ED"/>
    <w:rsid w:val="004E432F"/>
    <w:rsid w:val="004E60E7"/>
    <w:rsid w:val="004E6588"/>
    <w:rsid w:val="004E68DE"/>
    <w:rsid w:val="004E6CC2"/>
    <w:rsid w:val="004E7330"/>
    <w:rsid w:val="004E7AD0"/>
    <w:rsid w:val="004E7D8A"/>
    <w:rsid w:val="004F0D6D"/>
    <w:rsid w:val="004F1456"/>
    <w:rsid w:val="004F148B"/>
    <w:rsid w:val="004F2111"/>
    <w:rsid w:val="004F30F7"/>
    <w:rsid w:val="004F4863"/>
    <w:rsid w:val="004F49DE"/>
    <w:rsid w:val="004F4A14"/>
    <w:rsid w:val="004F52CC"/>
    <w:rsid w:val="004F5595"/>
    <w:rsid w:val="004F56D8"/>
    <w:rsid w:val="004F5763"/>
    <w:rsid w:val="004F5B8E"/>
    <w:rsid w:val="004F6765"/>
    <w:rsid w:val="004F6C3A"/>
    <w:rsid w:val="004F6FA0"/>
    <w:rsid w:val="004F70CD"/>
    <w:rsid w:val="004F71CE"/>
    <w:rsid w:val="004F7402"/>
    <w:rsid w:val="004F7FAD"/>
    <w:rsid w:val="004F7FE3"/>
    <w:rsid w:val="00500012"/>
    <w:rsid w:val="005009B8"/>
    <w:rsid w:val="00500A34"/>
    <w:rsid w:val="00500A85"/>
    <w:rsid w:val="00500FEC"/>
    <w:rsid w:val="005015B4"/>
    <w:rsid w:val="00501956"/>
    <w:rsid w:val="00501BF6"/>
    <w:rsid w:val="00502E68"/>
    <w:rsid w:val="00503015"/>
    <w:rsid w:val="00503ECA"/>
    <w:rsid w:val="005044F9"/>
    <w:rsid w:val="0050580C"/>
    <w:rsid w:val="00505918"/>
    <w:rsid w:val="00505DFF"/>
    <w:rsid w:val="005064CD"/>
    <w:rsid w:val="0050730C"/>
    <w:rsid w:val="00507C87"/>
    <w:rsid w:val="005101BC"/>
    <w:rsid w:val="005102FB"/>
    <w:rsid w:val="005108A1"/>
    <w:rsid w:val="00510D18"/>
    <w:rsid w:val="00511386"/>
    <w:rsid w:val="005113DF"/>
    <w:rsid w:val="00511643"/>
    <w:rsid w:val="0051189A"/>
    <w:rsid w:val="00511E5E"/>
    <w:rsid w:val="00511EB7"/>
    <w:rsid w:val="0051216F"/>
    <w:rsid w:val="00512890"/>
    <w:rsid w:val="00512B7C"/>
    <w:rsid w:val="00512BD4"/>
    <w:rsid w:val="005135B2"/>
    <w:rsid w:val="0051362E"/>
    <w:rsid w:val="00513BEF"/>
    <w:rsid w:val="00514106"/>
    <w:rsid w:val="00514776"/>
    <w:rsid w:val="00514ABA"/>
    <w:rsid w:val="0051585B"/>
    <w:rsid w:val="00516B31"/>
    <w:rsid w:val="00516D6A"/>
    <w:rsid w:val="005172E5"/>
    <w:rsid w:val="0051797B"/>
    <w:rsid w:val="00517B48"/>
    <w:rsid w:val="005205B6"/>
    <w:rsid w:val="0052060C"/>
    <w:rsid w:val="005212C0"/>
    <w:rsid w:val="00521D8D"/>
    <w:rsid w:val="0052222B"/>
    <w:rsid w:val="00522FD2"/>
    <w:rsid w:val="00523638"/>
    <w:rsid w:val="00524192"/>
    <w:rsid w:val="0052463F"/>
    <w:rsid w:val="00524CF3"/>
    <w:rsid w:val="00524D25"/>
    <w:rsid w:val="00524F19"/>
    <w:rsid w:val="00526459"/>
    <w:rsid w:val="00526515"/>
    <w:rsid w:val="005265C6"/>
    <w:rsid w:val="00526704"/>
    <w:rsid w:val="00526D3B"/>
    <w:rsid w:val="005272F7"/>
    <w:rsid w:val="005275A2"/>
    <w:rsid w:val="0052760F"/>
    <w:rsid w:val="005300F1"/>
    <w:rsid w:val="0053154D"/>
    <w:rsid w:val="005316CF"/>
    <w:rsid w:val="005318F4"/>
    <w:rsid w:val="005319BD"/>
    <w:rsid w:val="00531B5E"/>
    <w:rsid w:val="00532EEC"/>
    <w:rsid w:val="00533B65"/>
    <w:rsid w:val="00534206"/>
    <w:rsid w:val="0053436B"/>
    <w:rsid w:val="005356EA"/>
    <w:rsid w:val="0053611E"/>
    <w:rsid w:val="00536B05"/>
    <w:rsid w:val="00537506"/>
    <w:rsid w:val="00537CF0"/>
    <w:rsid w:val="00540A6E"/>
    <w:rsid w:val="00540E5E"/>
    <w:rsid w:val="005410EE"/>
    <w:rsid w:val="005419E4"/>
    <w:rsid w:val="00541EF2"/>
    <w:rsid w:val="00541F35"/>
    <w:rsid w:val="00542184"/>
    <w:rsid w:val="0054286D"/>
    <w:rsid w:val="00542A22"/>
    <w:rsid w:val="00543241"/>
    <w:rsid w:val="00543401"/>
    <w:rsid w:val="00543A15"/>
    <w:rsid w:val="00544836"/>
    <w:rsid w:val="00544860"/>
    <w:rsid w:val="00544B41"/>
    <w:rsid w:val="00544D2C"/>
    <w:rsid w:val="00544E2E"/>
    <w:rsid w:val="00545264"/>
    <w:rsid w:val="00545DA2"/>
    <w:rsid w:val="00545E02"/>
    <w:rsid w:val="00545E34"/>
    <w:rsid w:val="005463AB"/>
    <w:rsid w:val="0054640F"/>
    <w:rsid w:val="00546D49"/>
    <w:rsid w:val="00547170"/>
    <w:rsid w:val="00547598"/>
    <w:rsid w:val="00547C51"/>
    <w:rsid w:val="00547C86"/>
    <w:rsid w:val="00550050"/>
    <w:rsid w:val="005506EF"/>
    <w:rsid w:val="00550BFE"/>
    <w:rsid w:val="00550FB3"/>
    <w:rsid w:val="0055117E"/>
    <w:rsid w:val="005511CC"/>
    <w:rsid w:val="0055180A"/>
    <w:rsid w:val="00551B8E"/>
    <w:rsid w:val="005523B2"/>
    <w:rsid w:val="00552E44"/>
    <w:rsid w:val="00552EF7"/>
    <w:rsid w:val="005536B2"/>
    <w:rsid w:val="00553F3F"/>
    <w:rsid w:val="0055406B"/>
    <w:rsid w:val="00554254"/>
    <w:rsid w:val="00554CE8"/>
    <w:rsid w:val="00554FE1"/>
    <w:rsid w:val="00556B3A"/>
    <w:rsid w:val="00556BAF"/>
    <w:rsid w:val="005570DA"/>
    <w:rsid w:val="00557317"/>
    <w:rsid w:val="00557B59"/>
    <w:rsid w:val="00557BCA"/>
    <w:rsid w:val="00557C4F"/>
    <w:rsid w:val="00560018"/>
    <w:rsid w:val="005604BB"/>
    <w:rsid w:val="0056201E"/>
    <w:rsid w:val="005634D6"/>
    <w:rsid w:val="0056398B"/>
    <w:rsid w:val="0056467A"/>
    <w:rsid w:val="00564C20"/>
    <w:rsid w:val="00564DE7"/>
    <w:rsid w:val="00564E21"/>
    <w:rsid w:val="005652F4"/>
    <w:rsid w:val="00565699"/>
    <w:rsid w:val="00565FCE"/>
    <w:rsid w:val="0056641D"/>
    <w:rsid w:val="005664CB"/>
    <w:rsid w:val="00566C04"/>
    <w:rsid w:val="0056728F"/>
    <w:rsid w:val="00567938"/>
    <w:rsid w:val="0056795F"/>
    <w:rsid w:val="00567BB0"/>
    <w:rsid w:val="00567E6E"/>
    <w:rsid w:val="00570FD5"/>
    <w:rsid w:val="00570FF4"/>
    <w:rsid w:val="00571770"/>
    <w:rsid w:val="00571979"/>
    <w:rsid w:val="005735DF"/>
    <w:rsid w:val="00573912"/>
    <w:rsid w:val="00573AD3"/>
    <w:rsid w:val="00573BCB"/>
    <w:rsid w:val="00573C50"/>
    <w:rsid w:val="00574372"/>
    <w:rsid w:val="00574658"/>
    <w:rsid w:val="00574798"/>
    <w:rsid w:val="005748C4"/>
    <w:rsid w:val="005751AA"/>
    <w:rsid w:val="0057578A"/>
    <w:rsid w:val="0057657A"/>
    <w:rsid w:val="005800EE"/>
    <w:rsid w:val="00580362"/>
    <w:rsid w:val="00580B6B"/>
    <w:rsid w:val="00580B75"/>
    <w:rsid w:val="00580CEF"/>
    <w:rsid w:val="0058185B"/>
    <w:rsid w:val="00581B4F"/>
    <w:rsid w:val="00581EA6"/>
    <w:rsid w:val="0058214D"/>
    <w:rsid w:val="0058299F"/>
    <w:rsid w:val="00582B38"/>
    <w:rsid w:val="00583DA7"/>
    <w:rsid w:val="0058413E"/>
    <w:rsid w:val="00584659"/>
    <w:rsid w:val="00584F45"/>
    <w:rsid w:val="00585FA9"/>
    <w:rsid w:val="00586A41"/>
    <w:rsid w:val="00587B72"/>
    <w:rsid w:val="00587E93"/>
    <w:rsid w:val="00590391"/>
    <w:rsid w:val="005905D4"/>
    <w:rsid w:val="00590696"/>
    <w:rsid w:val="005909DD"/>
    <w:rsid w:val="00590B71"/>
    <w:rsid w:val="00590D14"/>
    <w:rsid w:val="00591892"/>
    <w:rsid w:val="00591C1C"/>
    <w:rsid w:val="005923E1"/>
    <w:rsid w:val="00592A06"/>
    <w:rsid w:val="00592B74"/>
    <w:rsid w:val="00592D35"/>
    <w:rsid w:val="00593107"/>
    <w:rsid w:val="005933C7"/>
    <w:rsid w:val="00593A6B"/>
    <w:rsid w:val="0059464D"/>
    <w:rsid w:val="005951DA"/>
    <w:rsid w:val="005957B9"/>
    <w:rsid w:val="005958BB"/>
    <w:rsid w:val="00595E62"/>
    <w:rsid w:val="005963DF"/>
    <w:rsid w:val="005964E1"/>
    <w:rsid w:val="00596913"/>
    <w:rsid w:val="00597C73"/>
    <w:rsid w:val="005A0244"/>
    <w:rsid w:val="005A1506"/>
    <w:rsid w:val="005A16E9"/>
    <w:rsid w:val="005A1BE0"/>
    <w:rsid w:val="005A3082"/>
    <w:rsid w:val="005A3192"/>
    <w:rsid w:val="005A38EF"/>
    <w:rsid w:val="005A3A5A"/>
    <w:rsid w:val="005A3A7D"/>
    <w:rsid w:val="005A4425"/>
    <w:rsid w:val="005A49AD"/>
    <w:rsid w:val="005A5963"/>
    <w:rsid w:val="005A5D54"/>
    <w:rsid w:val="005A5D94"/>
    <w:rsid w:val="005A66B8"/>
    <w:rsid w:val="005A680C"/>
    <w:rsid w:val="005A7150"/>
    <w:rsid w:val="005A7C37"/>
    <w:rsid w:val="005B00B1"/>
    <w:rsid w:val="005B0457"/>
    <w:rsid w:val="005B0A98"/>
    <w:rsid w:val="005B0E22"/>
    <w:rsid w:val="005B10F3"/>
    <w:rsid w:val="005B148A"/>
    <w:rsid w:val="005B15E3"/>
    <w:rsid w:val="005B1883"/>
    <w:rsid w:val="005B2131"/>
    <w:rsid w:val="005B2691"/>
    <w:rsid w:val="005B3553"/>
    <w:rsid w:val="005B3937"/>
    <w:rsid w:val="005B3A8A"/>
    <w:rsid w:val="005B4CBC"/>
    <w:rsid w:val="005B5010"/>
    <w:rsid w:val="005B5207"/>
    <w:rsid w:val="005B550B"/>
    <w:rsid w:val="005B5C55"/>
    <w:rsid w:val="005B5DDC"/>
    <w:rsid w:val="005B633B"/>
    <w:rsid w:val="005B65E7"/>
    <w:rsid w:val="005B6D96"/>
    <w:rsid w:val="005B6E3B"/>
    <w:rsid w:val="005B7EB6"/>
    <w:rsid w:val="005C0E9B"/>
    <w:rsid w:val="005C16E9"/>
    <w:rsid w:val="005C1AD4"/>
    <w:rsid w:val="005C1D55"/>
    <w:rsid w:val="005C2056"/>
    <w:rsid w:val="005C3999"/>
    <w:rsid w:val="005C3ACB"/>
    <w:rsid w:val="005C4B32"/>
    <w:rsid w:val="005C4B9B"/>
    <w:rsid w:val="005C4BC4"/>
    <w:rsid w:val="005C4BD5"/>
    <w:rsid w:val="005C5042"/>
    <w:rsid w:val="005C50AC"/>
    <w:rsid w:val="005C5A4C"/>
    <w:rsid w:val="005C6078"/>
    <w:rsid w:val="005C6268"/>
    <w:rsid w:val="005C6748"/>
    <w:rsid w:val="005C69BA"/>
    <w:rsid w:val="005C6C5B"/>
    <w:rsid w:val="005C7C83"/>
    <w:rsid w:val="005D0BBF"/>
    <w:rsid w:val="005D0FDF"/>
    <w:rsid w:val="005D141B"/>
    <w:rsid w:val="005D1684"/>
    <w:rsid w:val="005D185C"/>
    <w:rsid w:val="005D1A0B"/>
    <w:rsid w:val="005D2A7C"/>
    <w:rsid w:val="005D3416"/>
    <w:rsid w:val="005D381C"/>
    <w:rsid w:val="005D5E26"/>
    <w:rsid w:val="005D6BBF"/>
    <w:rsid w:val="005D73F4"/>
    <w:rsid w:val="005D7445"/>
    <w:rsid w:val="005D7791"/>
    <w:rsid w:val="005D7841"/>
    <w:rsid w:val="005D7B00"/>
    <w:rsid w:val="005E06DF"/>
    <w:rsid w:val="005E1351"/>
    <w:rsid w:val="005E190C"/>
    <w:rsid w:val="005E229A"/>
    <w:rsid w:val="005E259A"/>
    <w:rsid w:val="005E286C"/>
    <w:rsid w:val="005E29E3"/>
    <w:rsid w:val="005E34D0"/>
    <w:rsid w:val="005E3F5C"/>
    <w:rsid w:val="005E41E7"/>
    <w:rsid w:val="005E4629"/>
    <w:rsid w:val="005E47B1"/>
    <w:rsid w:val="005E48D2"/>
    <w:rsid w:val="005E4B9E"/>
    <w:rsid w:val="005E504D"/>
    <w:rsid w:val="005E5467"/>
    <w:rsid w:val="005E66A7"/>
    <w:rsid w:val="005E68A1"/>
    <w:rsid w:val="005E6D17"/>
    <w:rsid w:val="005E72E0"/>
    <w:rsid w:val="005E7529"/>
    <w:rsid w:val="005E7FC3"/>
    <w:rsid w:val="005F0185"/>
    <w:rsid w:val="005F059C"/>
    <w:rsid w:val="005F0B10"/>
    <w:rsid w:val="005F0D58"/>
    <w:rsid w:val="005F14D3"/>
    <w:rsid w:val="005F1AA2"/>
    <w:rsid w:val="005F1F65"/>
    <w:rsid w:val="005F237B"/>
    <w:rsid w:val="005F2F2F"/>
    <w:rsid w:val="005F32C2"/>
    <w:rsid w:val="005F355A"/>
    <w:rsid w:val="005F401B"/>
    <w:rsid w:val="005F4372"/>
    <w:rsid w:val="005F4619"/>
    <w:rsid w:val="005F4648"/>
    <w:rsid w:val="005F4848"/>
    <w:rsid w:val="005F49D5"/>
    <w:rsid w:val="005F4A8A"/>
    <w:rsid w:val="005F575D"/>
    <w:rsid w:val="005F57C2"/>
    <w:rsid w:val="005F64F5"/>
    <w:rsid w:val="005F65C1"/>
    <w:rsid w:val="005F6741"/>
    <w:rsid w:val="005F6C54"/>
    <w:rsid w:val="005F6C58"/>
    <w:rsid w:val="005F740D"/>
    <w:rsid w:val="006001AD"/>
    <w:rsid w:val="006002D6"/>
    <w:rsid w:val="00601B19"/>
    <w:rsid w:val="00602410"/>
    <w:rsid w:val="00602425"/>
    <w:rsid w:val="00602EEE"/>
    <w:rsid w:val="006031BE"/>
    <w:rsid w:val="006034EC"/>
    <w:rsid w:val="00603977"/>
    <w:rsid w:val="00603D13"/>
    <w:rsid w:val="00604423"/>
    <w:rsid w:val="006050E2"/>
    <w:rsid w:val="00605D1D"/>
    <w:rsid w:val="00605E1C"/>
    <w:rsid w:val="00606058"/>
    <w:rsid w:val="006068A4"/>
    <w:rsid w:val="00610509"/>
    <w:rsid w:val="0061067F"/>
    <w:rsid w:val="00610A0A"/>
    <w:rsid w:val="006112E0"/>
    <w:rsid w:val="0061166D"/>
    <w:rsid w:val="00611801"/>
    <w:rsid w:val="00612525"/>
    <w:rsid w:val="0061307C"/>
    <w:rsid w:val="0061364E"/>
    <w:rsid w:val="0061399D"/>
    <w:rsid w:val="00614A0D"/>
    <w:rsid w:val="00614D6C"/>
    <w:rsid w:val="00614D8D"/>
    <w:rsid w:val="00615181"/>
    <w:rsid w:val="00615B31"/>
    <w:rsid w:val="0061616B"/>
    <w:rsid w:val="00620261"/>
    <w:rsid w:val="006204F7"/>
    <w:rsid w:val="00621D98"/>
    <w:rsid w:val="006220F9"/>
    <w:rsid w:val="00622488"/>
    <w:rsid w:val="00622E1A"/>
    <w:rsid w:val="00622F66"/>
    <w:rsid w:val="0062300A"/>
    <w:rsid w:val="0062308E"/>
    <w:rsid w:val="00623760"/>
    <w:rsid w:val="006245E8"/>
    <w:rsid w:val="00624AC3"/>
    <w:rsid w:val="00625200"/>
    <w:rsid w:val="00625CA9"/>
    <w:rsid w:val="0062606D"/>
    <w:rsid w:val="00626244"/>
    <w:rsid w:val="006262B0"/>
    <w:rsid w:val="0062651C"/>
    <w:rsid w:val="0062658E"/>
    <w:rsid w:val="00630378"/>
    <w:rsid w:val="006307CC"/>
    <w:rsid w:val="00630994"/>
    <w:rsid w:val="00630EE0"/>
    <w:rsid w:val="0063104F"/>
    <w:rsid w:val="00633901"/>
    <w:rsid w:val="00633C2F"/>
    <w:rsid w:val="00633C46"/>
    <w:rsid w:val="00634295"/>
    <w:rsid w:val="00634B95"/>
    <w:rsid w:val="00635608"/>
    <w:rsid w:val="00635FC0"/>
    <w:rsid w:val="00636195"/>
    <w:rsid w:val="00636D60"/>
    <w:rsid w:val="00636DE7"/>
    <w:rsid w:val="00636F8E"/>
    <w:rsid w:val="006375F3"/>
    <w:rsid w:val="00640020"/>
    <w:rsid w:val="00640243"/>
    <w:rsid w:val="006403E7"/>
    <w:rsid w:val="0064066D"/>
    <w:rsid w:val="00641030"/>
    <w:rsid w:val="00641999"/>
    <w:rsid w:val="00641A4D"/>
    <w:rsid w:val="00641D88"/>
    <w:rsid w:val="00641EBA"/>
    <w:rsid w:val="00642042"/>
    <w:rsid w:val="00642239"/>
    <w:rsid w:val="006422B5"/>
    <w:rsid w:val="0064278E"/>
    <w:rsid w:val="00642B9C"/>
    <w:rsid w:val="006433F8"/>
    <w:rsid w:val="006438EA"/>
    <w:rsid w:val="00644437"/>
    <w:rsid w:val="00644443"/>
    <w:rsid w:val="0064484E"/>
    <w:rsid w:val="00644D8C"/>
    <w:rsid w:val="0064514E"/>
    <w:rsid w:val="00646634"/>
    <w:rsid w:val="00646A0A"/>
    <w:rsid w:val="00646BFD"/>
    <w:rsid w:val="006477A0"/>
    <w:rsid w:val="006478B0"/>
    <w:rsid w:val="00647CF7"/>
    <w:rsid w:val="00650E40"/>
    <w:rsid w:val="00650F47"/>
    <w:rsid w:val="0065104F"/>
    <w:rsid w:val="0065112C"/>
    <w:rsid w:val="006513E5"/>
    <w:rsid w:val="00651452"/>
    <w:rsid w:val="00651516"/>
    <w:rsid w:val="0065185D"/>
    <w:rsid w:val="00651BF9"/>
    <w:rsid w:val="00651D97"/>
    <w:rsid w:val="00651FB5"/>
    <w:rsid w:val="0065204C"/>
    <w:rsid w:val="006520AF"/>
    <w:rsid w:val="00652FF0"/>
    <w:rsid w:val="00653170"/>
    <w:rsid w:val="00653A0F"/>
    <w:rsid w:val="00653E83"/>
    <w:rsid w:val="00653EF2"/>
    <w:rsid w:val="00654266"/>
    <w:rsid w:val="006546DD"/>
    <w:rsid w:val="00654B9A"/>
    <w:rsid w:val="00654E94"/>
    <w:rsid w:val="006550AC"/>
    <w:rsid w:val="0065518D"/>
    <w:rsid w:val="0065551E"/>
    <w:rsid w:val="006556B2"/>
    <w:rsid w:val="006558F9"/>
    <w:rsid w:val="00655993"/>
    <w:rsid w:val="00656B96"/>
    <w:rsid w:val="006570A7"/>
    <w:rsid w:val="006572A5"/>
    <w:rsid w:val="006578EA"/>
    <w:rsid w:val="006579C6"/>
    <w:rsid w:val="00657A6F"/>
    <w:rsid w:val="00657B43"/>
    <w:rsid w:val="00657FA5"/>
    <w:rsid w:val="006601EA"/>
    <w:rsid w:val="0066071C"/>
    <w:rsid w:val="0066176A"/>
    <w:rsid w:val="00661836"/>
    <w:rsid w:val="00661CE7"/>
    <w:rsid w:val="00662FEC"/>
    <w:rsid w:val="006639C6"/>
    <w:rsid w:val="00663BC3"/>
    <w:rsid w:val="00664C3B"/>
    <w:rsid w:val="00664DB5"/>
    <w:rsid w:val="00665AFD"/>
    <w:rsid w:val="00665B4A"/>
    <w:rsid w:val="00667D14"/>
    <w:rsid w:val="00670565"/>
    <w:rsid w:val="00670C53"/>
    <w:rsid w:val="0067143E"/>
    <w:rsid w:val="0067166F"/>
    <w:rsid w:val="006717A4"/>
    <w:rsid w:val="00671A22"/>
    <w:rsid w:val="00672528"/>
    <w:rsid w:val="00672BB0"/>
    <w:rsid w:val="00673322"/>
    <w:rsid w:val="00673BE1"/>
    <w:rsid w:val="006740C3"/>
    <w:rsid w:val="006740C7"/>
    <w:rsid w:val="006746F2"/>
    <w:rsid w:val="00674885"/>
    <w:rsid w:val="00674E0E"/>
    <w:rsid w:val="00676700"/>
    <w:rsid w:val="0067670E"/>
    <w:rsid w:val="006767BA"/>
    <w:rsid w:val="00676AEC"/>
    <w:rsid w:val="00676B1A"/>
    <w:rsid w:val="00676E9A"/>
    <w:rsid w:val="006773A8"/>
    <w:rsid w:val="00677929"/>
    <w:rsid w:val="00677E37"/>
    <w:rsid w:val="00677FC9"/>
    <w:rsid w:val="00680B7C"/>
    <w:rsid w:val="00680EF1"/>
    <w:rsid w:val="00680F4F"/>
    <w:rsid w:val="006816F3"/>
    <w:rsid w:val="00681A62"/>
    <w:rsid w:val="006822F0"/>
    <w:rsid w:val="00682634"/>
    <w:rsid w:val="0068331B"/>
    <w:rsid w:val="00684183"/>
    <w:rsid w:val="00684843"/>
    <w:rsid w:val="00684850"/>
    <w:rsid w:val="00684A22"/>
    <w:rsid w:val="00684A9D"/>
    <w:rsid w:val="0068502F"/>
    <w:rsid w:val="00685307"/>
    <w:rsid w:val="00685580"/>
    <w:rsid w:val="00686C14"/>
    <w:rsid w:val="00686E1C"/>
    <w:rsid w:val="00686EC1"/>
    <w:rsid w:val="00686ECF"/>
    <w:rsid w:val="00686EF9"/>
    <w:rsid w:val="00687384"/>
    <w:rsid w:val="006873B5"/>
    <w:rsid w:val="00690056"/>
    <w:rsid w:val="006903F1"/>
    <w:rsid w:val="00690539"/>
    <w:rsid w:val="00690984"/>
    <w:rsid w:val="0069194F"/>
    <w:rsid w:val="006919C7"/>
    <w:rsid w:val="00691A16"/>
    <w:rsid w:val="00691D05"/>
    <w:rsid w:val="00692BE8"/>
    <w:rsid w:val="00692DD7"/>
    <w:rsid w:val="0069416B"/>
    <w:rsid w:val="0069429C"/>
    <w:rsid w:val="006944D7"/>
    <w:rsid w:val="0069484B"/>
    <w:rsid w:val="00695142"/>
    <w:rsid w:val="006952CC"/>
    <w:rsid w:val="006953EC"/>
    <w:rsid w:val="00695449"/>
    <w:rsid w:val="00695670"/>
    <w:rsid w:val="0069569A"/>
    <w:rsid w:val="00695877"/>
    <w:rsid w:val="00696252"/>
    <w:rsid w:val="006962B3"/>
    <w:rsid w:val="006966F7"/>
    <w:rsid w:val="00696C40"/>
    <w:rsid w:val="006975E5"/>
    <w:rsid w:val="00697633"/>
    <w:rsid w:val="006979FF"/>
    <w:rsid w:val="00697B39"/>
    <w:rsid w:val="006A008B"/>
    <w:rsid w:val="006A10D2"/>
    <w:rsid w:val="006A16C7"/>
    <w:rsid w:val="006A22A7"/>
    <w:rsid w:val="006A2F22"/>
    <w:rsid w:val="006A32EC"/>
    <w:rsid w:val="006A4684"/>
    <w:rsid w:val="006A4CDC"/>
    <w:rsid w:val="006A6D52"/>
    <w:rsid w:val="006A6E53"/>
    <w:rsid w:val="006A75F3"/>
    <w:rsid w:val="006A7623"/>
    <w:rsid w:val="006A7918"/>
    <w:rsid w:val="006A7F6F"/>
    <w:rsid w:val="006B03A4"/>
    <w:rsid w:val="006B03F9"/>
    <w:rsid w:val="006B0516"/>
    <w:rsid w:val="006B0923"/>
    <w:rsid w:val="006B0DBF"/>
    <w:rsid w:val="006B258D"/>
    <w:rsid w:val="006B2949"/>
    <w:rsid w:val="006B2C1C"/>
    <w:rsid w:val="006B2D87"/>
    <w:rsid w:val="006B2DAD"/>
    <w:rsid w:val="006B3857"/>
    <w:rsid w:val="006B4507"/>
    <w:rsid w:val="006B46A3"/>
    <w:rsid w:val="006B5256"/>
    <w:rsid w:val="006B57DC"/>
    <w:rsid w:val="006B6DEF"/>
    <w:rsid w:val="006B6F56"/>
    <w:rsid w:val="006B744E"/>
    <w:rsid w:val="006B76B2"/>
    <w:rsid w:val="006C043E"/>
    <w:rsid w:val="006C04B0"/>
    <w:rsid w:val="006C07CA"/>
    <w:rsid w:val="006C0F4D"/>
    <w:rsid w:val="006C1564"/>
    <w:rsid w:val="006C1768"/>
    <w:rsid w:val="006C1A8C"/>
    <w:rsid w:val="006C202A"/>
    <w:rsid w:val="006C2081"/>
    <w:rsid w:val="006C250D"/>
    <w:rsid w:val="006C4E90"/>
    <w:rsid w:val="006C50E6"/>
    <w:rsid w:val="006C53C0"/>
    <w:rsid w:val="006C6057"/>
    <w:rsid w:val="006C650B"/>
    <w:rsid w:val="006C650C"/>
    <w:rsid w:val="006C660F"/>
    <w:rsid w:val="006C6780"/>
    <w:rsid w:val="006C692C"/>
    <w:rsid w:val="006C7A26"/>
    <w:rsid w:val="006D069C"/>
    <w:rsid w:val="006D08AD"/>
    <w:rsid w:val="006D0B6B"/>
    <w:rsid w:val="006D0C59"/>
    <w:rsid w:val="006D1A05"/>
    <w:rsid w:val="006D1E1B"/>
    <w:rsid w:val="006D2020"/>
    <w:rsid w:val="006D2503"/>
    <w:rsid w:val="006D260A"/>
    <w:rsid w:val="006D2900"/>
    <w:rsid w:val="006D2B35"/>
    <w:rsid w:val="006D36F3"/>
    <w:rsid w:val="006D4065"/>
    <w:rsid w:val="006D424B"/>
    <w:rsid w:val="006D4446"/>
    <w:rsid w:val="006D44B9"/>
    <w:rsid w:val="006D4A6C"/>
    <w:rsid w:val="006D566F"/>
    <w:rsid w:val="006D58D5"/>
    <w:rsid w:val="006D5DDA"/>
    <w:rsid w:val="006D5F28"/>
    <w:rsid w:val="006D6AD2"/>
    <w:rsid w:val="006D6CC0"/>
    <w:rsid w:val="006D6DAF"/>
    <w:rsid w:val="006D6F8B"/>
    <w:rsid w:val="006D777D"/>
    <w:rsid w:val="006E009C"/>
    <w:rsid w:val="006E02C0"/>
    <w:rsid w:val="006E13AA"/>
    <w:rsid w:val="006E17AA"/>
    <w:rsid w:val="006E19C0"/>
    <w:rsid w:val="006E1A5A"/>
    <w:rsid w:val="006E1FE1"/>
    <w:rsid w:val="006E2142"/>
    <w:rsid w:val="006E31B1"/>
    <w:rsid w:val="006E32DE"/>
    <w:rsid w:val="006E3706"/>
    <w:rsid w:val="006E3A50"/>
    <w:rsid w:val="006E4231"/>
    <w:rsid w:val="006E4397"/>
    <w:rsid w:val="006E46BD"/>
    <w:rsid w:val="006E4890"/>
    <w:rsid w:val="006E4E28"/>
    <w:rsid w:val="006E53B4"/>
    <w:rsid w:val="006E5CDC"/>
    <w:rsid w:val="006E60AE"/>
    <w:rsid w:val="006E6160"/>
    <w:rsid w:val="006E6D8E"/>
    <w:rsid w:val="006E7254"/>
    <w:rsid w:val="006E7715"/>
    <w:rsid w:val="006E7AA2"/>
    <w:rsid w:val="006E7EFF"/>
    <w:rsid w:val="006F0F3F"/>
    <w:rsid w:val="006F1712"/>
    <w:rsid w:val="006F1D5C"/>
    <w:rsid w:val="006F1DF9"/>
    <w:rsid w:val="006F1FA8"/>
    <w:rsid w:val="006F222A"/>
    <w:rsid w:val="006F323D"/>
    <w:rsid w:val="006F43A4"/>
    <w:rsid w:val="006F4FEF"/>
    <w:rsid w:val="006F50AC"/>
    <w:rsid w:val="006F5334"/>
    <w:rsid w:val="006F589E"/>
    <w:rsid w:val="006F5A50"/>
    <w:rsid w:val="006F62E2"/>
    <w:rsid w:val="006F6E65"/>
    <w:rsid w:val="006F7DF9"/>
    <w:rsid w:val="0070009A"/>
    <w:rsid w:val="007001E0"/>
    <w:rsid w:val="00700859"/>
    <w:rsid w:val="0070085A"/>
    <w:rsid w:val="007008D2"/>
    <w:rsid w:val="0070175B"/>
    <w:rsid w:val="0070184C"/>
    <w:rsid w:val="00702787"/>
    <w:rsid w:val="007035A4"/>
    <w:rsid w:val="00703B08"/>
    <w:rsid w:val="00703B3E"/>
    <w:rsid w:val="007045C5"/>
    <w:rsid w:val="007045E8"/>
    <w:rsid w:val="00704B90"/>
    <w:rsid w:val="0070505E"/>
    <w:rsid w:val="00705250"/>
    <w:rsid w:val="007058DB"/>
    <w:rsid w:val="00705F45"/>
    <w:rsid w:val="0070635E"/>
    <w:rsid w:val="00706C3A"/>
    <w:rsid w:val="00706CFC"/>
    <w:rsid w:val="00706D7C"/>
    <w:rsid w:val="007075F2"/>
    <w:rsid w:val="007106A1"/>
    <w:rsid w:val="00711E73"/>
    <w:rsid w:val="00712543"/>
    <w:rsid w:val="00712781"/>
    <w:rsid w:val="00712C2F"/>
    <w:rsid w:val="00712C6D"/>
    <w:rsid w:val="00712D6F"/>
    <w:rsid w:val="00712FE2"/>
    <w:rsid w:val="007134A9"/>
    <w:rsid w:val="00713CF8"/>
    <w:rsid w:val="007145F8"/>
    <w:rsid w:val="00714FF7"/>
    <w:rsid w:val="00715017"/>
    <w:rsid w:val="007152D6"/>
    <w:rsid w:val="00715391"/>
    <w:rsid w:val="007178A2"/>
    <w:rsid w:val="00717D3B"/>
    <w:rsid w:val="00717ECE"/>
    <w:rsid w:val="00720735"/>
    <w:rsid w:val="0072160E"/>
    <w:rsid w:val="00721833"/>
    <w:rsid w:val="00721DCE"/>
    <w:rsid w:val="007222E9"/>
    <w:rsid w:val="00722A3A"/>
    <w:rsid w:val="00722A5F"/>
    <w:rsid w:val="00722BB2"/>
    <w:rsid w:val="00722BB9"/>
    <w:rsid w:val="00723045"/>
    <w:rsid w:val="00723510"/>
    <w:rsid w:val="007238F0"/>
    <w:rsid w:val="00724132"/>
    <w:rsid w:val="007241D2"/>
    <w:rsid w:val="007246FE"/>
    <w:rsid w:val="0072475D"/>
    <w:rsid w:val="00724B80"/>
    <w:rsid w:val="0072537F"/>
    <w:rsid w:val="00725750"/>
    <w:rsid w:val="0072731C"/>
    <w:rsid w:val="0072737D"/>
    <w:rsid w:val="007278BF"/>
    <w:rsid w:val="00727E00"/>
    <w:rsid w:val="0073011B"/>
    <w:rsid w:val="00730AC0"/>
    <w:rsid w:val="00730E12"/>
    <w:rsid w:val="0073127C"/>
    <w:rsid w:val="007319CD"/>
    <w:rsid w:val="00731AC1"/>
    <w:rsid w:val="00732918"/>
    <w:rsid w:val="00732BD9"/>
    <w:rsid w:val="00732C87"/>
    <w:rsid w:val="00733268"/>
    <w:rsid w:val="007333E3"/>
    <w:rsid w:val="007336B5"/>
    <w:rsid w:val="0073433C"/>
    <w:rsid w:val="0073441A"/>
    <w:rsid w:val="0073444D"/>
    <w:rsid w:val="0073463A"/>
    <w:rsid w:val="007349B1"/>
    <w:rsid w:val="007349EF"/>
    <w:rsid w:val="00735901"/>
    <w:rsid w:val="0073629E"/>
    <w:rsid w:val="0073697D"/>
    <w:rsid w:val="00736CB5"/>
    <w:rsid w:val="00736D7A"/>
    <w:rsid w:val="0073749F"/>
    <w:rsid w:val="0073799A"/>
    <w:rsid w:val="007407BE"/>
    <w:rsid w:val="00740869"/>
    <w:rsid w:val="00741182"/>
    <w:rsid w:val="00741BF4"/>
    <w:rsid w:val="00741F98"/>
    <w:rsid w:val="007430A1"/>
    <w:rsid w:val="0074313D"/>
    <w:rsid w:val="0074361E"/>
    <w:rsid w:val="00743A23"/>
    <w:rsid w:val="00743A42"/>
    <w:rsid w:val="00743C90"/>
    <w:rsid w:val="00743DCF"/>
    <w:rsid w:val="0074451D"/>
    <w:rsid w:val="007446D6"/>
    <w:rsid w:val="00744B92"/>
    <w:rsid w:val="007452F9"/>
    <w:rsid w:val="007455BF"/>
    <w:rsid w:val="007455C6"/>
    <w:rsid w:val="00745CCF"/>
    <w:rsid w:val="007474E8"/>
    <w:rsid w:val="0074791E"/>
    <w:rsid w:val="00747BFD"/>
    <w:rsid w:val="00747E75"/>
    <w:rsid w:val="00750967"/>
    <w:rsid w:val="00750D31"/>
    <w:rsid w:val="00751130"/>
    <w:rsid w:val="00751217"/>
    <w:rsid w:val="0075133A"/>
    <w:rsid w:val="0075146B"/>
    <w:rsid w:val="00752B2C"/>
    <w:rsid w:val="00752B90"/>
    <w:rsid w:val="00752C50"/>
    <w:rsid w:val="00752F3B"/>
    <w:rsid w:val="00752F86"/>
    <w:rsid w:val="0075339F"/>
    <w:rsid w:val="00753FEB"/>
    <w:rsid w:val="007543B6"/>
    <w:rsid w:val="0075441D"/>
    <w:rsid w:val="007551E2"/>
    <w:rsid w:val="0075544D"/>
    <w:rsid w:val="0075586C"/>
    <w:rsid w:val="00755AFB"/>
    <w:rsid w:val="007563F1"/>
    <w:rsid w:val="007564E9"/>
    <w:rsid w:val="00756680"/>
    <w:rsid w:val="00756692"/>
    <w:rsid w:val="00756FFE"/>
    <w:rsid w:val="00760801"/>
    <w:rsid w:val="00760D9C"/>
    <w:rsid w:val="00761093"/>
    <w:rsid w:val="0076113F"/>
    <w:rsid w:val="00761576"/>
    <w:rsid w:val="0076159C"/>
    <w:rsid w:val="00762052"/>
    <w:rsid w:val="00762122"/>
    <w:rsid w:val="007627A0"/>
    <w:rsid w:val="007627FB"/>
    <w:rsid w:val="00762AF0"/>
    <w:rsid w:val="00763932"/>
    <w:rsid w:val="00763E1F"/>
    <w:rsid w:val="00763F96"/>
    <w:rsid w:val="00764217"/>
    <w:rsid w:val="007647CF"/>
    <w:rsid w:val="00764CF2"/>
    <w:rsid w:val="00764FF4"/>
    <w:rsid w:val="0076519E"/>
    <w:rsid w:val="0076636C"/>
    <w:rsid w:val="00766515"/>
    <w:rsid w:val="00766F24"/>
    <w:rsid w:val="00767C6D"/>
    <w:rsid w:val="00767DB8"/>
    <w:rsid w:val="0077005F"/>
    <w:rsid w:val="0077066A"/>
    <w:rsid w:val="00770D25"/>
    <w:rsid w:val="007716CD"/>
    <w:rsid w:val="0077188F"/>
    <w:rsid w:val="00772012"/>
    <w:rsid w:val="007721A3"/>
    <w:rsid w:val="00772496"/>
    <w:rsid w:val="00772E38"/>
    <w:rsid w:val="007737B6"/>
    <w:rsid w:val="00773927"/>
    <w:rsid w:val="00773A55"/>
    <w:rsid w:val="00773D10"/>
    <w:rsid w:val="0077441F"/>
    <w:rsid w:val="007744CE"/>
    <w:rsid w:val="0077478D"/>
    <w:rsid w:val="00774973"/>
    <w:rsid w:val="00775E84"/>
    <w:rsid w:val="00775FBD"/>
    <w:rsid w:val="00776A1C"/>
    <w:rsid w:val="00776F09"/>
    <w:rsid w:val="00777519"/>
    <w:rsid w:val="00777DE4"/>
    <w:rsid w:val="007801FA"/>
    <w:rsid w:val="00780C17"/>
    <w:rsid w:val="00781239"/>
    <w:rsid w:val="007815C8"/>
    <w:rsid w:val="00781929"/>
    <w:rsid w:val="00781AC4"/>
    <w:rsid w:val="00781CE4"/>
    <w:rsid w:val="00781D67"/>
    <w:rsid w:val="00782289"/>
    <w:rsid w:val="00782435"/>
    <w:rsid w:val="007824FB"/>
    <w:rsid w:val="0078261C"/>
    <w:rsid w:val="007827EB"/>
    <w:rsid w:val="007830FC"/>
    <w:rsid w:val="007837CF"/>
    <w:rsid w:val="007839B4"/>
    <w:rsid w:val="007839E8"/>
    <w:rsid w:val="00783FBB"/>
    <w:rsid w:val="00784044"/>
    <w:rsid w:val="0078492C"/>
    <w:rsid w:val="00785A18"/>
    <w:rsid w:val="007860A5"/>
    <w:rsid w:val="007864ED"/>
    <w:rsid w:val="00786F7E"/>
    <w:rsid w:val="00787377"/>
    <w:rsid w:val="0078745A"/>
    <w:rsid w:val="0078760F"/>
    <w:rsid w:val="0078768B"/>
    <w:rsid w:val="0079038E"/>
    <w:rsid w:val="0079083C"/>
    <w:rsid w:val="00790862"/>
    <w:rsid w:val="00790A3C"/>
    <w:rsid w:val="00790B62"/>
    <w:rsid w:val="00790BD8"/>
    <w:rsid w:val="007915FA"/>
    <w:rsid w:val="00792809"/>
    <w:rsid w:val="007928BB"/>
    <w:rsid w:val="00792A4A"/>
    <w:rsid w:val="00792B8B"/>
    <w:rsid w:val="007930D7"/>
    <w:rsid w:val="007932CD"/>
    <w:rsid w:val="00793935"/>
    <w:rsid w:val="00793D2A"/>
    <w:rsid w:val="00793D35"/>
    <w:rsid w:val="00793D47"/>
    <w:rsid w:val="007944BC"/>
    <w:rsid w:val="0079492D"/>
    <w:rsid w:val="00794EE2"/>
    <w:rsid w:val="0079538E"/>
    <w:rsid w:val="0079540F"/>
    <w:rsid w:val="00795869"/>
    <w:rsid w:val="00796FA9"/>
    <w:rsid w:val="00797689"/>
    <w:rsid w:val="00797735"/>
    <w:rsid w:val="007A021C"/>
    <w:rsid w:val="007A05C2"/>
    <w:rsid w:val="007A0DC2"/>
    <w:rsid w:val="007A12B7"/>
    <w:rsid w:val="007A21DA"/>
    <w:rsid w:val="007A2B11"/>
    <w:rsid w:val="007A371D"/>
    <w:rsid w:val="007A45BE"/>
    <w:rsid w:val="007A46A9"/>
    <w:rsid w:val="007A46C5"/>
    <w:rsid w:val="007A4BD5"/>
    <w:rsid w:val="007A4BE2"/>
    <w:rsid w:val="007A572C"/>
    <w:rsid w:val="007A5F9A"/>
    <w:rsid w:val="007A679F"/>
    <w:rsid w:val="007A747C"/>
    <w:rsid w:val="007A76AA"/>
    <w:rsid w:val="007A7B7A"/>
    <w:rsid w:val="007A7DC5"/>
    <w:rsid w:val="007A7DC9"/>
    <w:rsid w:val="007B0146"/>
    <w:rsid w:val="007B0C5D"/>
    <w:rsid w:val="007B0D1E"/>
    <w:rsid w:val="007B0D73"/>
    <w:rsid w:val="007B0EA5"/>
    <w:rsid w:val="007B102B"/>
    <w:rsid w:val="007B1D2F"/>
    <w:rsid w:val="007B3256"/>
    <w:rsid w:val="007B34F2"/>
    <w:rsid w:val="007B37F5"/>
    <w:rsid w:val="007B3BB0"/>
    <w:rsid w:val="007B3C2D"/>
    <w:rsid w:val="007B42BB"/>
    <w:rsid w:val="007B4748"/>
    <w:rsid w:val="007B48AE"/>
    <w:rsid w:val="007B5290"/>
    <w:rsid w:val="007B52F4"/>
    <w:rsid w:val="007B59E4"/>
    <w:rsid w:val="007B5A81"/>
    <w:rsid w:val="007B5BEF"/>
    <w:rsid w:val="007B5C15"/>
    <w:rsid w:val="007B70A6"/>
    <w:rsid w:val="007C04FF"/>
    <w:rsid w:val="007C06ED"/>
    <w:rsid w:val="007C08BD"/>
    <w:rsid w:val="007C097B"/>
    <w:rsid w:val="007C0B55"/>
    <w:rsid w:val="007C0CDC"/>
    <w:rsid w:val="007C1258"/>
    <w:rsid w:val="007C1FAA"/>
    <w:rsid w:val="007C2743"/>
    <w:rsid w:val="007C2FBF"/>
    <w:rsid w:val="007C30FC"/>
    <w:rsid w:val="007C3697"/>
    <w:rsid w:val="007C3862"/>
    <w:rsid w:val="007C3978"/>
    <w:rsid w:val="007C3D76"/>
    <w:rsid w:val="007C4318"/>
    <w:rsid w:val="007C5C23"/>
    <w:rsid w:val="007C5EF3"/>
    <w:rsid w:val="007C6A50"/>
    <w:rsid w:val="007C6C80"/>
    <w:rsid w:val="007C7432"/>
    <w:rsid w:val="007C7F17"/>
    <w:rsid w:val="007D020C"/>
    <w:rsid w:val="007D07FB"/>
    <w:rsid w:val="007D0835"/>
    <w:rsid w:val="007D0F88"/>
    <w:rsid w:val="007D138C"/>
    <w:rsid w:val="007D16BF"/>
    <w:rsid w:val="007D1E71"/>
    <w:rsid w:val="007D31D0"/>
    <w:rsid w:val="007D435B"/>
    <w:rsid w:val="007D441F"/>
    <w:rsid w:val="007D44BC"/>
    <w:rsid w:val="007D4756"/>
    <w:rsid w:val="007D4C22"/>
    <w:rsid w:val="007D4F8D"/>
    <w:rsid w:val="007D4FCD"/>
    <w:rsid w:val="007D5D6B"/>
    <w:rsid w:val="007D5DF9"/>
    <w:rsid w:val="007D5E88"/>
    <w:rsid w:val="007D5EB7"/>
    <w:rsid w:val="007D65CB"/>
    <w:rsid w:val="007D6993"/>
    <w:rsid w:val="007D6DB7"/>
    <w:rsid w:val="007D6F3F"/>
    <w:rsid w:val="007D7069"/>
    <w:rsid w:val="007D7206"/>
    <w:rsid w:val="007D7EFA"/>
    <w:rsid w:val="007E0DFA"/>
    <w:rsid w:val="007E10A5"/>
    <w:rsid w:val="007E1592"/>
    <w:rsid w:val="007E15C3"/>
    <w:rsid w:val="007E1747"/>
    <w:rsid w:val="007E1C8F"/>
    <w:rsid w:val="007E2698"/>
    <w:rsid w:val="007E2B77"/>
    <w:rsid w:val="007E3487"/>
    <w:rsid w:val="007E3BAA"/>
    <w:rsid w:val="007E3C8D"/>
    <w:rsid w:val="007E41B5"/>
    <w:rsid w:val="007E4283"/>
    <w:rsid w:val="007E48EC"/>
    <w:rsid w:val="007E4A21"/>
    <w:rsid w:val="007E51D0"/>
    <w:rsid w:val="007E5B85"/>
    <w:rsid w:val="007E5E09"/>
    <w:rsid w:val="007E7057"/>
    <w:rsid w:val="007E727B"/>
    <w:rsid w:val="007E73B6"/>
    <w:rsid w:val="007F0015"/>
    <w:rsid w:val="007F08A6"/>
    <w:rsid w:val="007F14D7"/>
    <w:rsid w:val="007F1C6E"/>
    <w:rsid w:val="007F2946"/>
    <w:rsid w:val="007F2FD4"/>
    <w:rsid w:val="007F34BC"/>
    <w:rsid w:val="007F3FD3"/>
    <w:rsid w:val="007F4394"/>
    <w:rsid w:val="007F45DE"/>
    <w:rsid w:val="007F4C6E"/>
    <w:rsid w:val="007F5000"/>
    <w:rsid w:val="007F50C9"/>
    <w:rsid w:val="007F51B8"/>
    <w:rsid w:val="007F5673"/>
    <w:rsid w:val="007F58D6"/>
    <w:rsid w:val="007F5D8D"/>
    <w:rsid w:val="007F5DC1"/>
    <w:rsid w:val="007F5E28"/>
    <w:rsid w:val="007F6FFC"/>
    <w:rsid w:val="007F70FC"/>
    <w:rsid w:val="007F7B1B"/>
    <w:rsid w:val="007F7BF0"/>
    <w:rsid w:val="007F7CB3"/>
    <w:rsid w:val="007F7D82"/>
    <w:rsid w:val="007F7DDD"/>
    <w:rsid w:val="007F7E34"/>
    <w:rsid w:val="007F7E67"/>
    <w:rsid w:val="00800E2B"/>
    <w:rsid w:val="00800FC1"/>
    <w:rsid w:val="0080105B"/>
    <w:rsid w:val="00801355"/>
    <w:rsid w:val="008013D1"/>
    <w:rsid w:val="00801D40"/>
    <w:rsid w:val="00802117"/>
    <w:rsid w:val="00802653"/>
    <w:rsid w:val="00802951"/>
    <w:rsid w:val="00802A7F"/>
    <w:rsid w:val="00802BF2"/>
    <w:rsid w:val="00802DB1"/>
    <w:rsid w:val="008043AB"/>
    <w:rsid w:val="008043E7"/>
    <w:rsid w:val="0080444E"/>
    <w:rsid w:val="00804529"/>
    <w:rsid w:val="008059DD"/>
    <w:rsid w:val="00805C09"/>
    <w:rsid w:val="00806368"/>
    <w:rsid w:val="00806B14"/>
    <w:rsid w:val="00807A2E"/>
    <w:rsid w:val="00807A88"/>
    <w:rsid w:val="00810207"/>
    <w:rsid w:val="0081041D"/>
    <w:rsid w:val="0081098A"/>
    <w:rsid w:val="00810D65"/>
    <w:rsid w:val="00810DED"/>
    <w:rsid w:val="0081148F"/>
    <w:rsid w:val="00811A26"/>
    <w:rsid w:val="00812BBE"/>
    <w:rsid w:val="00812D2A"/>
    <w:rsid w:val="00813E1B"/>
    <w:rsid w:val="00813FAB"/>
    <w:rsid w:val="0081425A"/>
    <w:rsid w:val="00814597"/>
    <w:rsid w:val="00814771"/>
    <w:rsid w:val="008153DF"/>
    <w:rsid w:val="00815EDD"/>
    <w:rsid w:val="00816BA8"/>
    <w:rsid w:val="008174B1"/>
    <w:rsid w:val="008176C3"/>
    <w:rsid w:val="008177ED"/>
    <w:rsid w:val="00817B13"/>
    <w:rsid w:val="00817EA5"/>
    <w:rsid w:val="00817F71"/>
    <w:rsid w:val="0082102E"/>
    <w:rsid w:val="00821B77"/>
    <w:rsid w:val="008220BF"/>
    <w:rsid w:val="00822DAA"/>
    <w:rsid w:val="00822DC5"/>
    <w:rsid w:val="008235E3"/>
    <w:rsid w:val="008236CA"/>
    <w:rsid w:val="00823F58"/>
    <w:rsid w:val="008240AA"/>
    <w:rsid w:val="00824C13"/>
    <w:rsid w:val="00824C73"/>
    <w:rsid w:val="008253C5"/>
    <w:rsid w:val="00825BB3"/>
    <w:rsid w:val="00826180"/>
    <w:rsid w:val="0082659C"/>
    <w:rsid w:val="00826F29"/>
    <w:rsid w:val="00826F43"/>
    <w:rsid w:val="008277E5"/>
    <w:rsid w:val="00830753"/>
    <w:rsid w:val="00830EF8"/>
    <w:rsid w:val="008312EF"/>
    <w:rsid w:val="0083154A"/>
    <w:rsid w:val="0083190D"/>
    <w:rsid w:val="00831D02"/>
    <w:rsid w:val="00831EA8"/>
    <w:rsid w:val="008320DF"/>
    <w:rsid w:val="008327C2"/>
    <w:rsid w:val="00832838"/>
    <w:rsid w:val="0083307F"/>
    <w:rsid w:val="0083308C"/>
    <w:rsid w:val="00833720"/>
    <w:rsid w:val="00833C11"/>
    <w:rsid w:val="00834761"/>
    <w:rsid w:val="00834CD5"/>
    <w:rsid w:val="00834F92"/>
    <w:rsid w:val="008350D8"/>
    <w:rsid w:val="0083516C"/>
    <w:rsid w:val="00836166"/>
    <w:rsid w:val="0083643C"/>
    <w:rsid w:val="0083645E"/>
    <w:rsid w:val="00836B49"/>
    <w:rsid w:val="00836B92"/>
    <w:rsid w:val="00837A70"/>
    <w:rsid w:val="008406E7"/>
    <w:rsid w:val="00840757"/>
    <w:rsid w:val="008412AC"/>
    <w:rsid w:val="00842771"/>
    <w:rsid w:val="00842815"/>
    <w:rsid w:val="0084287B"/>
    <w:rsid w:val="00842C98"/>
    <w:rsid w:val="0084321F"/>
    <w:rsid w:val="008433FE"/>
    <w:rsid w:val="00843789"/>
    <w:rsid w:val="00843B6B"/>
    <w:rsid w:val="00843CDF"/>
    <w:rsid w:val="00843DFB"/>
    <w:rsid w:val="00845016"/>
    <w:rsid w:val="008454D1"/>
    <w:rsid w:val="00845B44"/>
    <w:rsid w:val="00845F3F"/>
    <w:rsid w:val="00846074"/>
    <w:rsid w:val="008466B4"/>
    <w:rsid w:val="008469FE"/>
    <w:rsid w:val="00846E34"/>
    <w:rsid w:val="0084745B"/>
    <w:rsid w:val="008474F3"/>
    <w:rsid w:val="00847C5C"/>
    <w:rsid w:val="00847D1F"/>
    <w:rsid w:val="008505B8"/>
    <w:rsid w:val="00850B26"/>
    <w:rsid w:val="0085198A"/>
    <w:rsid w:val="008526A8"/>
    <w:rsid w:val="00852C6C"/>
    <w:rsid w:val="00852E29"/>
    <w:rsid w:val="00853015"/>
    <w:rsid w:val="00853060"/>
    <w:rsid w:val="00853B24"/>
    <w:rsid w:val="00853B69"/>
    <w:rsid w:val="00853BE4"/>
    <w:rsid w:val="00853CD3"/>
    <w:rsid w:val="0085405A"/>
    <w:rsid w:val="008540AE"/>
    <w:rsid w:val="00854B47"/>
    <w:rsid w:val="00854E25"/>
    <w:rsid w:val="00856248"/>
    <w:rsid w:val="008564A2"/>
    <w:rsid w:val="008567A4"/>
    <w:rsid w:val="008569C2"/>
    <w:rsid w:val="00856ECD"/>
    <w:rsid w:val="00857561"/>
    <w:rsid w:val="00857B85"/>
    <w:rsid w:val="00857C57"/>
    <w:rsid w:val="00857F7E"/>
    <w:rsid w:val="00860680"/>
    <w:rsid w:val="00860A95"/>
    <w:rsid w:val="00861414"/>
    <w:rsid w:val="00861BE7"/>
    <w:rsid w:val="00862086"/>
    <w:rsid w:val="00862D4F"/>
    <w:rsid w:val="008634F2"/>
    <w:rsid w:val="00864346"/>
    <w:rsid w:val="008646D5"/>
    <w:rsid w:val="00864A27"/>
    <w:rsid w:val="00864D92"/>
    <w:rsid w:val="008654BE"/>
    <w:rsid w:val="008661F3"/>
    <w:rsid w:val="0086638F"/>
    <w:rsid w:val="00867437"/>
    <w:rsid w:val="0086754E"/>
    <w:rsid w:val="008706CF"/>
    <w:rsid w:val="008709F4"/>
    <w:rsid w:val="00870F99"/>
    <w:rsid w:val="00870FA1"/>
    <w:rsid w:val="008712FE"/>
    <w:rsid w:val="00872498"/>
    <w:rsid w:val="00872ECE"/>
    <w:rsid w:val="008734A6"/>
    <w:rsid w:val="0087355B"/>
    <w:rsid w:val="00873D62"/>
    <w:rsid w:val="00874995"/>
    <w:rsid w:val="00875798"/>
    <w:rsid w:val="00875AB0"/>
    <w:rsid w:val="0087656C"/>
    <w:rsid w:val="008768C2"/>
    <w:rsid w:val="00876CDC"/>
    <w:rsid w:val="00876EED"/>
    <w:rsid w:val="0087712B"/>
    <w:rsid w:val="00877C1C"/>
    <w:rsid w:val="00877E6E"/>
    <w:rsid w:val="0088018F"/>
    <w:rsid w:val="00880239"/>
    <w:rsid w:val="008804E6"/>
    <w:rsid w:val="00881143"/>
    <w:rsid w:val="0088147C"/>
    <w:rsid w:val="008817B3"/>
    <w:rsid w:val="00881CF3"/>
    <w:rsid w:val="00881EFD"/>
    <w:rsid w:val="00882090"/>
    <w:rsid w:val="00882A6C"/>
    <w:rsid w:val="00882E6A"/>
    <w:rsid w:val="0088362F"/>
    <w:rsid w:val="008840A9"/>
    <w:rsid w:val="008840D6"/>
    <w:rsid w:val="008845CE"/>
    <w:rsid w:val="00884B31"/>
    <w:rsid w:val="00884B79"/>
    <w:rsid w:val="00885203"/>
    <w:rsid w:val="00885A91"/>
    <w:rsid w:val="00886753"/>
    <w:rsid w:val="008872F0"/>
    <w:rsid w:val="008874ED"/>
    <w:rsid w:val="008876DC"/>
    <w:rsid w:val="00887A10"/>
    <w:rsid w:val="00890C05"/>
    <w:rsid w:val="00890F98"/>
    <w:rsid w:val="0089142D"/>
    <w:rsid w:val="008916A7"/>
    <w:rsid w:val="00891DBC"/>
    <w:rsid w:val="00892328"/>
    <w:rsid w:val="008924A8"/>
    <w:rsid w:val="0089254F"/>
    <w:rsid w:val="008928F0"/>
    <w:rsid w:val="0089290D"/>
    <w:rsid w:val="00892DA4"/>
    <w:rsid w:val="008939E8"/>
    <w:rsid w:val="00893C32"/>
    <w:rsid w:val="00894669"/>
    <w:rsid w:val="008950E0"/>
    <w:rsid w:val="008951D8"/>
    <w:rsid w:val="00895390"/>
    <w:rsid w:val="00895676"/>
    <w:rsid w:val="008970DA"/>
    <w:rsid w:val="00897240"/>
    <w:rsid w:val="0089735C"/>
    <w:rsid w:val="00897A90"/>
    <w:rsid w:val="008A0A6E"/>
    <w:rsid w:val="008A1659"/>
    <w:rsid w:val="008A17E0"/>
    <w:rsid w:val="008A1F72"/>
    <w:rsid w:val="008A24B7"/>
    <w:rsid w:val="008A265F"/>
    <w:rsid w:val="008A2DC5"/>
    <w:rsid w:val="008A2E89"/>
    <w:rsid w:val="008A317E"/>
    <w:rsid w:val="008A3181"/>
    <w:rsid w:val="008A39B8"/>
    <w:rsid w:val="008A3D5F"/>
    <w:rsid w:val="008A3FDE"/>
    <w:rsid w:val="008A4522"/>
    <w:rsid w:val="008A495E"/>
    <w:rsid w:val="008A4A3C"/>
    <w:rsid w:val="008A4C22"/>
    <w:rsid w:val="008A4EE1"/>
    <w:rsid w:val="008A5371"/>
    <w:rsid w:val="008A53FA"/>
    <w:rsid w:val="008A5546"/>
    <w:rsid w:val="008A5995"/>
    <w:rsid w:val="008A64D8"/>
    <w:rsid w:val="008A6515"/>
    <w:rsid w:val="008A6673"/>
    <w:rsid w:val="008A72BF"/>
    <w:rsid w:val="008A73B5"/>
    <w:rsid w:val="008A7879"/>
    <w:rsid w:val="008A7F29"/>
    <w:rsid w:val="008B01F8"/>
    <w:rsid w:val="008B0396"/>
    <w:rsid w:val="008B077C"/>
    <w:rsid w:val="008B0A2F"/>
    <w:rsid w:val="008B0EC8"/>
    <w:rsid w:val="008B1985"/>
    <w:rsid w:val="008B1DE5"/>
    <w:rsid w:val="008B22CC"/>
    <w:rsid w:val="008B247E"/>
    <w:rsid w:val="008B2670"/>
    <w:rsid w:val="008B3147"/>
    <w:rsid w:val="008B3276"/>
    <w:rsid w:val="008B3436"/>
    <w:rsid w:val="008B3985"/>
    <w:rsid w:val="008B464A"/>
    <w:rsid w:val="008B4B4B"/>
    <w:rsid w:val="008B50C9"/>
    <w:rsid w:val="008B50CE"/>
    <w:rsid w:val="008B55F1"/>
    <w:rsid w:val="008B5B6B"/>
    <w:rsid w:val="008B60F5"/>
    <w:rsid w:val="008B61F0"/>
    <w:rsid w:val="008B65DA"/>
    <w:rsid w:val="008B671D"/>
    <w:rsid w:val="008B67CB"/>
    <w:rsid w:val="008B760D"/>
    <w:rsid w:val="008B7F0B"/>
    <w:rsid w:val="008B7FF4"/>
    <w:rsid w:val="008C08A1"/>
    <w:rsid w:val="008C0EE5"/>
    <w:rsid w:val="008C1F0C"/>
    <w:rsid w:val="008C1FDD"/>
    <w:rsid w:val="008C31A5"/>
    <w:rsid w:val="008C33CC"/>
    <w:rsid w:val="008C3D84"/>
    <w:rsid w:val="008C4175"/>
    <w:rsid w:val="008C4740"/>
    <w:rsid w:val="008C4993"/>
    <w:rsid w:val="008C5443"/>
    <w:rsid w:val="008C5537"/>
    <w:rsid w:val="008C61D6"/>
    <w:rsid w:val="008C6DAF"/>
    <w:rsid w:val="008C79FE"/>
    <w:rsid w:val="008D0CE8"/>
    <w:rsid w:val="008D11BC"/>
    <w:rsid w:val="008D12A3"/>
    <w:rsid w:val="008D1630"/>
    <w:rsid w:val="008D211D"/>
    <w:rsid w:val="008D2C5A"/>
    <w:rsid w:val="008D375D"/>
    <w:rsid w:val="008D3D7E"/>
    <w:rsid w:val="008D3EF5"/>
    <w:rsid w:val="008D4FCB"/>
    <w:rsid w:val="008D4FF5"/>
    <w:rsid w:val="008D52F1"/>
    <w:rsid w:val="008D53CA"/>
    <w:rsid w:val="008D556B"/>
    <w:rsid w:val="008D5AB8"/>
    <w:rsid w:val="008D5B4B"/>
    <w:rsid w:val="008D6456"/>
    <w:rsid w:val="008D6882"/>
    <w:rsid w:val="008D6A09"/>
    <w:rsid w:val="008D6F74"/>
    <w:rsid w:val="008D7AF7"/>
    <w:rsid w:val="008D7DA8"/>
    <w:rsid w:val="008D7EB1"/>
    <w:rsid w:val="008E01B1"/>
    <w:rsid w:val="008E03AD"/>
    <w:rsid w:val="008E0490"/>
    <w:rsid w:val="008E04FC"/>
    <w:rsid w:val="008E075A"/>
    <w:rsid w:val="008E1220"/>
    <w:rsid w:val="008E1C49"/>
    <w:rsid w:val="008E1E7A"/>
    <w:rsid w:val="008E2140"/>
    <w:rsid w:val="008E2F2D"/>
    <w:rsid w:val="008E2F35"/>
    <w:rsid w:val="008E3875"/>
    <w:rsid w:val="008E3BD5"/>
    <w:rsid w:val="008E425E"/>
    <w:rsid w:val="008E7015"/>
    <w:rsid w:val="008E7B4F"/>
    <w:rsid w:val="008E7BF0"/>
    <w:rsid w:val="008E7C95"/>
    <w:rsid w:val="008E7E7F"/>
    <w:rsid w:val="008F01A6"/>
    <w:rsid w:val="008F0EB0"/>
    <w:rsid w:val="008F109C"/>
    <w:rsid w:val="008F11AC"/>
    <w:rsid w:val="008F189E"/>
    <w:rsid w:val="008F2A69"/>
    <w:rsid w:val="008F2BD0"/>
    <w:rsid w:val="008F2FD5"/>
    <w:rsid w:val="008F2FFE"/>
    <w:rsid w:val="008F408A"/>
    <w:rsid w:val="008F40C2"/>
    <w:rsid w:val="008F4A31"/>
    <w:rsid w:val="008F4A94"/>
    <w:rsid w:val="008F54AF"/>
    <w:rsid w:val="008F5784"/>
    <w:rsid w:val="008F692C"/>
    <w:rsid w:val="008F71DA"/>
    <w:rsid w:val="008F71EC"/>
    <w:rsid w:val="008F7495"/>
    <w:rsid w:val="008F7B63"/>
    <w:rsid w:val="008F7C7F"/>
    <w:rsid w:val="00900019"/>
    <w:rsid w:val="009000D8"/>
    <w:rsid w:val="00900471"/>
    <w:rsid w:val="00900712"/>
    <w:rsid w:val="00900A9B"/>
    <w:rsid w:val="00900C20"/>
    <w:rsid w:val="009010A3"/>
    <w:rsid w:val="00901516"/>
    <w:rsid w:val="00901716"/>
    <w:rsid w:val="00901BCC"/>
    <w:rsid w:val="00901FC7"/>
    <w:rsid w:val="009022E7"/>
    <w:rsid w:val="0090231E"/>
    <w:rsid w:val="009023AD"/>
    <w:rsid w:val="009028DA"/>
    <w:rsid w:val="0090459D"/>
    <w:rsid w:val="00905398"/>
    <w:rsid w:val="00905DA8"/>
    <w:rsid w:val="00906BB0"/>
    <w:rsid w:val="00906D56"/>
    <w:rsid w:val="00906F8D"/>
    <w:rsid w:val="0090700B"/>
    <w:rsid w:val="009075B9"/>
    <w:rsid w:val="00907615"/>
    <w:rsid w:val="009076FD"/>
    <w:rsid w:val="00907937"/>
    <w:rsid w:val="00907D87"/>
    <w:rsid w:val="009111E9"/>
    <w:rsid w:val="00911487"/>
    <w:rsid w:val="009114D8"/>
    <w:rsid w:val="009114F4"/>
    <w:rsid w:val="00911A54"/>
    <w:rsid w:val="0091248B"/>
    <w:rsid w:val="00913864"/>
    <w:rsid w:val="0091392D"/>
    <w:rsid w:val="00913E27"/>
    <w:rsid w:val="009141AF"/>
    <w:rsid w:val="00914376"/>
    <w:rsid w:val="009148F1"/>
    <w:rsid w:val="0091511A"/>
    <w:rsid w:val="0091523B"/>
    <w:rsid w:val="00915523"/>
    <w:rsid w:val="00915ED2"/>
    <w:rsid w:val="009161F9"/>
    <w:rsid w:val="0091623B"/>
    <w:rsid w:val="0091653D"/>
    <w:rsid w:val="009166B2"/>
    <w:rsid w:val="009167E6"/>
    <w:rsid w:val="0091697D"/>
    <w:rsid w:val="00917062"/>
    <w:rsid w:val="0091712C"/>
    <w:rsid w:val="00917AD5"/>
    <w:rsid w:val="00920883"/>
    <w:rsid w:val="00920BAA"/>
    <w:rsid w:val="00920D68"/>
    <w:rsid w:val="00921A4B"/>
    <w:rsid w:val="00922237"/>
    <w:rsid w:val="009229CE"/>
    <w:rsid w:val="00922EB2"/>
    <w:rsid w:val="00923405"/>
    <w:rsid w:val="009236D6"/>
    <w:rsid w:val="009238BC"/>
    <w:rsid w:val="00923F39"/>
    <w:rsid w:val="009244D3"/>
    <w:rsid w:val="009244DF"/>
    <w:rsid w:val="0092580B"/>
    <w:rsid w:val="00925C5A"/>
    <w:rsid w:val="00925EE7"/>
    <w:rsid w:val="00926022"/>
    <w:rsid w:val="009269F6"/>
    <w:rsid w:val="009270B6"/>
    <w:rsid w:val="009271D2"/>
    <w:rsid w:val="0092786F"/>
    <w:rsid w:val="00927BC8"/>
    <w:rsid w:val="00930146"/>
    <w:rsid w:val="009302B5"/>
    <w:rsid w:val="00931393"/>
    <w:rsid w:val="0093158C"/>
    <w:rsid w:val="00931CE5"/>
    <w:rsid w:val="009335E2"/>
    <w:rsid w:val="00933932"/>
    <w:rsid w:val="0093394D"/>
    <w:rsid w:val="009340FA"/>
    <w:rsid w:val="00934805"/>
    <w:rsid w:val="00934B32"/>
    <w:rsid w:val="00934F51"/>
    <w:rsid w:val="00935B60"/>
    <w:rsid w:val="00935FA7"/>
    <w:rsid w:val="009360B3"/>
    <w:rsid w:val="0093613A"/>
    <w:rsid w:val="00936DE6"/>
    <w:rsid w:val="0094024A"/>
    <w:rsid w:val="009408E3"/>
    <w:rsid w:val="0094094C"/>
    <w:rsid w:val="00940A2B"/>
    <w:rsid w:val="00940C7E"/>
    <w:rsid w:val="00940CE1"/>
    <w:rsid w:val="009416A4"/>
    <w:rsid w:val="00941964"/>
    <w:rsid w:val="00942501"/>
    <w:rsid w:val="00942653"/>
    <w:rsid w:val="00942923"/>
    <w:rsid w:val="00942AA2"/>
    <w:rsid w:val="00942EAD"/>
    <w:rsid w:val="00943432"/>
    <w:rsid w:val="0094347B"/>
    <w:rsid w:val="0094358E"/>
    <w:rsid w:val="009439C7"/>
    <w:rsid w:val="00943AB4"/>
    <w:rsid w:val="00943BDD"/>
    <w:rsid w:val="009457C3"/>
    <w:rsid w:val="00946142"/>
    <w:rsid w:val="00946286"/>
    <w:rsid w:val="0094659F"/>
    <w:rsid w:val="00946874"/>
    <w:rsid w:val="009468A5"/>
    <w:rsid w:val="00946BFB"/>
    <w:rsid w:val="00946F28"/>
    <w:rsid w:val="00947701"/>
    <w:rsid w:val="009477F7"/>
    <w:rsid w:val="00947ED0"/>
    <w:rsid w:val="00950064"/>
    <w:rsid w:val="009501F3"/>
    <w:rsid w:val="009505C5"/>
    <w:rsid w:val="00950603"/>
    <w:rsid w:val="00951393"/>
    <w:rsid w:val="009526C6"/>
    <w:rsid w:val="00952921"/>
    <w:rsid w:val="00952C43"/>
    <w:rsid w:val="00952E7E"/>
    <w:rsid w:val="0095309A"/>
    <w:rsid w:val="00953191"/>
    <w:rsid w:val="00953513"/>
    <w:rsid w:val="0095358E"/>
    <w:rsid w:val="0095397B"/>
    <w:rsid w:val="00953D6F"/>
    <w:rsid w:val="00953EEB"/>
    <w:rsid w:val="00954943"/>
    <w:rsid w:val="00955593"/>
    <w:rsid w:val="0095565A"/>
    <w:rsid w:val="009558A2"/>
    <w:rsid w:val="00955AF5"/>
    <w:rsid w:val="00955B22"/>
    <w:rsid w:val="00955B27"/>
    <w:rsid w:val="00955B8C"/>
    <w:rsid w:val="00955E3A"/>
    <w:rsid w:val="009568F3"/>
    <w:rsid w:val="00956F87"/>
    <w:rsid w:val="0095766C"/>
    <w:rsid w:val="00957877"/>
    <w:rsid w:val="00957C7B"/>
    <w:rsid w:val="0096065C"/>
    <w:rsid w:val="00960857"/>
    <w:rsid w:val="00960FD2"/>
    <w:rsid w:val="009612BB"/>
    <w:rsid w:val="0096147C"/>
    <w:rsid w:val="00961CD1"/>
    <w:rsid w:val="00962804"/>
    <w:rsid w:val="00962FC7"/>
    <w:rsid w:val="00963718"/>
    <w:rsid w:val="00963771"/>
    <w:rsid w:val="009638FD"/>
    <w:rsid w:val="00964027"/>
    <w:rsid w:val="00966824"/>
    <w:rsid w:val="00967D70"/>
    <w:rsid w:val="00970967"/>
    <w:rsid w:val="009714A5"/>
    <w:rsid w:val="00971B0C"/>
    <w:rsid w:val="00971CB8"/>
    <w:rsid w:val="00971F8C"/>
    <w:rsid w:val="00971FF1"/>
    <w:rsid w:val="00972285"/>
    <w:rsid w:val="0097246D"/>
    <w:rsid w:val="00972AE8"/>
    <w:rsid w:val="00972E7D"/>
    <w:rsid w:val="00972F2E"/>
    <w:rsid w:val="00973E6C"/>
    <w:rsid w:val="0097425A"/>
    <w:rsid w:val="0097497D"/>
    <w:rsid w:val="00974A7D"/>
    <w:rsid w:val="00974D4E"/>
    <w:rsid w:val="0097515D"/>
    <w:rsid w:val="009758AA"/>
    <w:rsid w:val="00975B26"/>
    <w:rsid w:val="00975BC6"/>
    <w:rsid w:val="009769C9"/>
    <w:rsid w:val="00976F2B"/>
    <w:rsid w:val="00977638"/>
    <w:rsid w:val="00977B10"/>
    <w:rsid w:val="00977C7E"/>
    <w:rsid w:val="009809C1"/>
    <w:rsid w:val="00981017"/>
    <w:rsid w:val="00981145"/>
    <w:rsid w:val="009811C3"/>
    <w:rsid w:val="00981296"/>
    <w:rsid w:val="00981495"/>
    <w:rsid w:val="00981993"/>
    <w:rsid w:val="009822FE"/>
    <w:rsid w:val="00982C23"/>
    <w:rsid w:val="0098306C"/>
    <w:rsid w:val="009839BD"/>
    <w:rsid w:val="00983D9C"/>
    <w:rsid w:val="00983EE9"/>
    <w:rsid w:val="00984122"/>
    <w:rsid w:val="00984754"/>
    <w:rsid w:val="009850A3"/>
    <w:rsid w:val="00986373"/>
    <w:rsid w:val="00986385"/>
    <w:rsid w:val="00986647"/>
    <w:rsid w:val="009867A0"/>
    <w:rsid w:val="0099018E"/>
    <w:rsid w:val="009909C0"/>
    <w:rsid w:val="009909F0"/>
    <w:rsid w:val="009917DC"/>
    <w:rsid w:val="0099182D"/>
    <w:rsid w:val="00991D70"/>
    <w:rsid w:val="009921F2"/>
    <w:rsid w:val="00992713"/>
    <w:rsid w:val="00992B5D"/>
    <w:rsid w:val="00992EA6"/>
    <w:rsid w:val="00993F6D"/>
    <w:rsid w:val="00994C1F"/>
    <w:rsid w:val="00995207"/>
    <w:rsid w:val="009961B0"/>
    <w:rsid w:val="00996298"/>
    <w:rsid w:val="009968CE"/>
    <w:rsid w:val="00996966"/>
    <w:rsid w:val="0099714D"/>
    <w:rsid w:val="009971FC"/>
    <w:rsid w:val="00997627"/>
    <w:rsid w:val="00997AC5"/>
    <w:rsid w:val="00997B30"/>
    <w:rsid w:val="00997DA0"/>
    <w:rsid w:val="009A0878"/>
    <w:rsid w:val="009A0F11"/>
    <w:rsid w:val="009A1223"/>
    <w:rsid w:val="009A1424"/>
    <w:rsid w:val="009A2FAF"/>
    <w:rsid w:val="009A3AE2"/>
    <w:rsid w:val="009A3F0A"/>
    <w:rsid w:val="009A3F77"/>
    <w:rsid w:val="009A418B"/>
    <w:rsid w:val="009A4419"/>
    <w:rsid w:val="009A4AF2"/>
    <w:rsid w:val="009A59DE"/>
    <w:rsid w:val="009A5F89"/>
    <w:rsid w:val="009A631A"/>
    <w:rsid w:val="009A6E6F"/>
    <w:rsid w:val="009A70D0"/>
    <w:rsid w:val="009A7869"/>
    <w:rsid w:val="009B0404"/>
    <w:rsid w:val="009B065F"/>
    <w:rsid w:val="009B0699"/>
    <w:rsid w:val="009B0A5A"/>
    <w:rsid w:val="009B1011"/>
    <w:rsid w:val="009B2464"/>
    <w:rsid w:val="009B3172"/>
    <w:rsid w:val="009B3598"/>
    <w:rsid w:val="009B46AD"/>
    <w:rsid w:val="009B48CC"/>
    <w:rsid w:val="009B49F1"/>
    <w:rsid w:val="009B4C5A"/>
    <w:rsid w:val="009B50EA"/>
    <w:rsid w:val="009B5472"/>
    <w:rsid w:val="009B6165"/>
    <w:rsid w:val="009B6313"/>
    <w:rsid w:val="009B6A36"/>
    <w:rsid w:val="009B6EE2"/>
    <w:rsid w:val="009B7F8F"/>
    <w:rsid w:val="009C10C2"/>
    <w:rsid w:val="009C1360"/>
    <w:rsid w:val="009C178F"/>
    <w:rsid w:val="009C190B"/>
    <w:rsid w:val="009C1ED7"/>
    <w:rsid w:val="009C23B3"/>
    <w:rsid w:val="009C25AF"/>
    <w:rsid w:val="009C2758"/>
    <w:rsid w:val="009C3207"/>
    <w:rsid w:val="009C3C43"/>
    <w:rsid w:val="009C3CF7"/>
    <w:rsid w:val="009C3E7A"/>
    <w:rsid w:val="009C40AE"/>
    <w:rsid w:val="009C44BD"/>
    <w:rsid w:val="009C4AE4"/>
    <w:rsid w:val="009C5B03"/>
    <w:rsid w:val="009C5B31"/>
    <w:rsid w:val="009C5EE3"/>
    <w:rsid w:val="009C631E"/>
    <w:rsid w:val="009C64AC"/>
    <w:rsid w:val="009C66B6"/>
    <w:rsid w:val="009C678C"/>
    <w:rsid w:val="009C6DAD"/>
    <w:rsid w:val="009C7137"/>
    <w:rsid w:val="009C7513"/>
    <w:rsid w:val="009C78F6"/>
    <w:rsid w:val="009D0069"/>
    <w:rsid w:val="009D123F"/>
    <w:rsid w:val="009D1383"/>
    <w:rsid w:val="009D142C"/>
    <w:rsid w:val="009D178C"/>
    <w:rsid w:val="009D1A85"/>
    <w:rsid w:val="009D2372"/>
    <w:rsid w:val="009D23E9"/>
    <w:rsid w:val="009D4C12"/>
    <w:rsid w:val="009D4DD4"/>
    <w:rsid w:val="009D517A"/>
    <w:rsid w:val="009D5361"/>
    <w:rsid w:val="009D573F"/>
    <w:rsid w:val="009D686B"/>
    <w:rsid w:val="009D6A47"/>
    <w:rsid w:val="009D6C96"/>
    <w:rsid w:val="009D6DA7"/>
    <w:rsid w:val="009D7597"/>
    <w:rsid w:val="009D7962"/>
    <w:rsid w:val="009D7FA6"/>
    <w:rsid w:val="009E0676"/>
    <w:rsid w:val="009E072C"/>
    <w:rsid w:val="009E07E6"/>
    <w:rsid w:val="009E0E2F"/>
    <w:rsid w:val="009E0EB8"/>
    <w:rsid w:val="009E132E"/>
    <w:rsid w:val="009E1BEC"/>
    <w:rsid w:val="009E1F04"/>
    <w:rsid w:val="009E24BD"/>
    <w:rsid w:val="009E2C40"/>
    <w:rsid w:val="009E2DF8"/>
    <w:rsid w:val="009E2E8B"/>
    <w:rsid w:val="009E3491"/>
    <w:rsid w:val="009E362E"/>
    <w:rsid w:val="009E3944"/>
    <w:rsid w:val="009E3E7C"/>
    <w:rsid w:val="009E3F37"/>
    <w:rsid w:val="009E436C"/>
    <w:rsid w:val="009E4D8A"/>
    <w:rsid w:val="009E5808"/>
    <w:rsid w:val="009E587C"/>
    <w:rsid w:val="009E6240"/>
    <w:rsid w:val="009E6617"/>
    <w:rsid w:val="009E7001"/>
    <w:rsid w:val="009E7ABB"/>
    <w:rsid w:val="009E7B75"/>
    <w:rsid w:val="009E7DDB"/>
    <w:rsid w:val="009F051D"/>
    <w:rsid w:val="009F0611"/>
    <w:rsid w:val="009F1F50"/>
    <w:rsid w:val="009F2078"/>
    <w:rsid w:val="009F258D"/>
    <w:rsid w:val="009F2643"/>
    <w:rsid w:val="009F2A98"/>
    <w:rsid w:val="009F2CB8"/>
    <w:rsid w:val="009F342C"/>
    <w:rsid w:val="009F3464"/>
    <w:rsid w:val="009F3545"/>
    <w:rsid w:val="009F363A"/>
    <w:rsid w:val="009F3B13"/>
    <w:rsid w:val="009F3BF4"/>
    <w:rsid w:val="009F3F27"/>
    <w:rsid w:val="009F4357"/>
    <w:rsid w:val="009F4B88"/>
    <w:rsid w:val="009F5EE1"/>
    <w:rsid w:val="009F674A"/>
    <w:rsid w:val="009F6888"/>
    <w:rsid w:val="009F6EA3"/>
    <w:rsid w:val="009F6F14"/>
    <w:rsid w:val="009F7293"/>
    <w:rsid w:val="009F75B5"/>
    <w:rsid w:val="009F7637"/>
    <w:rsid w:val="009F7AD1"/>
    <w:rsid w:val="009F7F35"/>
    <w:rsid w:val="00A000EE"/>
    <w:rsid w:val="00A00970"/>
    <w:rsid w:val="00A00D1D"/>
    <w:rsid w:val="00A01613"/>
    <w:rsid w:val="00A01766"/>
    <w:rsid w:val="00A01799"/>
    <w:rsid w:val="00A017D5"/>
    <w:rsid w:val="00A02227"/>
    <w:rsid w:val="00A023FF"/>
    <w:rsid w:val="00A0248F"/>
    <w:rsid w:val="00A029D1"/>
    <w:rsid w:val="00A02A40"/>
    <w:rsid w:val="00A02DF4"/>
    <w:rsid w:val="00A036DF"/>
    <w:rsid w:val="00A03A66"/>
    <w:rsid w:val="00A048E1"/>
    <w:rsid w:val="00A04E6B"/>
    <w:rsid w:val="00A05091"/>
    <w:rsid w:val="00A05206"/>
    <w:rsid w:val="00A055C8"/>
    <w:rsid w:val="00A05ABE"/>
    <w:rsid w:val="00A0602B"/>
    <w:rsid w:val="00A067F4"/>
    <w:rsid w:val="00A069DC"/>
    <w:rsid w:val="00A06A66"/>
    <w:rsid w:val="00A0715B"/>
    <w:rsid w:val="00A07561"/>
    <w:rsid w:val="00A0775F"/>
    <w:rsid w:val="00A078EC"/>
    <w:rsid w:val="00A07B46"/>
    <w:rsid w:val="00A07E20"/>
    <w:rsid w:val="00A111AF"/>
    <w:rsid w:val="00A119D2"/>
    <w:rsid w:val="00A122E3"/>
    <w:rsid w:val="00A123B2"/>
    <w:rsid w:val="00A12649"/>
    <w:rsid w:val="00A12898"/>
    <w:rsid w:val="00A129F9"/>
    <w:rsid w:val="00A12C15"/>
    <w:rsid w:val="00A139D8"/>
    <w:rsid w:val="00A147A3"/>
    <w:rsid w:val="00A1503A"/>
    <w:rsid w:val="00A15172"/>
    <w:rsid w:val="00A15327"/>
    <w:rsid w:val="00A156BD"/>
    <w:rsid w:val="00A16123"/>
    <w:rsid w:val="00A163C1"/>
    <w:rsid w:val="00A16662"/>
    <w:rsid w:val="00A16BD3"/>
    <w:rsid w:val="00A177E0"/>
    <w:rsid w:val="00A20320"/>
    <w:rsid w:val="00A20354"/>
    <w:rsid w:val="00A20411"/>
    <w:rsid w:val="00A2096B"/>
    <w:rsid w:val="00A20AA1"/>
    <w:rsid w:val="00A20B7A"/>
    <w:rsid w:val="00A20C5E"/>
    <w:rsid w:val="00A20CB4"/>
    <w:rsid w:val="00A21126"/>
    <w:rsid w:val="00A21698"/>
    <w:rsid w:val="00A21ED0"/>
    <w:rsid w:val="00A22DDF"/>
    <w:rsid w:val="00A233C4"/>
    <w:rsid w:val="00A2396D"/>
    <w:rsid w:val="00A240A5"/>
    <w:rsid w:val="00A242BC"/>
    <w:rsid w:val="00A2491F"/>
    <w:rsid w:val="00A249FB"/>
    <w:rsid w:val="00A24B13"/>
    <w:rsid w:val="00A24CAC"/>
    <w:rsid w:val="00A25B1E"/>
    <w:rsid w:val="00A25B21"/>
    <w:rsid w:val="00A25FC0"/>
    <w:rsid w:val="00A266E2"/>
    <w:rsid w:val="00A26D52"/>
    <w:rsid w:val="00A26FA0"/>
    <w:rsid w:val="00A271D3"/>
    <w:rsid w:val="00A278F2"/>
    <w:rsid w:val="00A27AB4"/>
    <w:rsid w:val="00A300A3"/>
    <w:rsid w:val="00A30D04"/>
    <w:rsid w:val="00A31475"/>
    <w:rsid w:val="00A31703"/>
    <w:rsid w:val="00A31B26"/>
    <w:rsid w:val="00A31CD0"/>
    <w:rsid w:val="00A3244C"/>
    <w:rsid w:val="00A32952"/>
    <w:rsid w:val="00A336C2"/>
    <w:rsid w:val="00A33F9E"/>
    <w:rsid w:val="00A3450D"/>
    <w:rsid w:val="00A345E8"/>
    <w:rsid w:val="00A34BE9"/>
    <w:rsid w:val="00A34C2D"/>
    <w:rsid w:val="00A34EAD"/>
    <w:rsid w:val="00A36407"/>
    <w:rsid w:val="00A36425"/>
    <w:rsid w:val="00A3740F"/>
    <w:rsid w:val="00A374BA"/>
    <w:rsid w:val="00A376FE"/>
    <w:rsid w:val="00A3784C"/>
    <w:rsid w:val="00A37C39"/>
    <w:rsid w:val="00A37D82"/>
    <w:rsid w:val="00A37E62"/>
    <w:rsid w:val="00A40010"/>
    <w:rsid w:val="00A4065A"/>
    <w:rsid w:val="00A40720"/>
    <w:rsid w:val="00A40A9A"/>
    <w:rsid w:val="00A4213D"/>
    <w:rsid w:val="00A428B0"/>
    <w:rsid w:val="00A43817"/>
    <w:rsid w:val="00A43BAD"/>
    <w:rsid w:val="00A45201"/>
    <w:rsid w:val="00A45466"/>
    <w:rsid w:val="00A45E2B"/>
    <w:rsid w:val="00A46682"/>
    <w:rsid w:val="00A469E1"/>
    <w:rsid w:val="00A46E28"/>
    <w:rsid w:val="00A4709B"/>
    <w:rsid w:val="00A47236"/>
    <w:rsid w:val="00A472DD"/>
    <w:rsid w:val="00A477DA"/>
    <w:rsid w:val="00A478DC"/>
    <w:rsid w:val="00A50C4E"/>
    <w:rsid w:val="00A511B5"/>
    <w:rsid w:val="00A51A46"/>
    <w:rsid w:val="00A52FE7"/>
    <w:rsid w:val="00A535D8"/>
    <w:rsid w:val="00A53A01"/>
    <w:rsid w:val="00A53ECC"/>
    <w:rsid w:val="00A541DD"/>
    <w:rsid w:val="00A543E2"/>
    <w:rsid w:val="00A544B7"/>
    <w:rsid w:val="00A5494A"/>
    <w:rsid w:val="00A54DB3"/>
    <w:rsid w:val="00A5544A"/>
    <w:rsid w:val="00A55549"/>
    <w:rsid w:val="00A5588F"/>
    <w:rsid w:val="00A55FD4"/>
    <w:rsid w:val="00A5625A"/>
    <w:rsid w:val="00A567DD"/>
    <w:rsid w:val="00A56E4B"/>
    <w:rsid w:val="00A56ED8"/>
    <w:rsid w:val="00A576B1"/>
    <w:rsid w:val="00A602BD"/>
    <w:rsid w:val="00A60397"/>
    <w:rsid w:val="00A60AAF"/>
    <w:rsid w:val="00A61068"/>
    <w:rsid w:val="00A61F7F"/>
    <w:rsid w:val="00A6219C"/>
    <w:rsid w:val="00A622B0"/>
    <w:rsid w:val="00A62867"/>
    <w:rsid w:val="00A62913"/>
    <w:rsid w:val="00A63718"/>
    <w:rsid w:val="00A63C02"/>
    <w:rsid w:val="00A63C20"/>
    <w:rsid w:val="00A63F5D"/>
    <w:rsid w:val="00A63FB6"/>
    <w:rsid w:val="00A644A8"/>
    <w:rsid w:val="00A64D63"/>
    <w:rsid w:val="00A6550D"/>
    <w:rsid w:val="00A6552E"/>
    <w:rsid w:val="00A6577E"/>
    <w:rsid w:val="00A659B8"/>
    <w:rsid w:val="00A6603B"/>
    <w:rsid w:val="00A6732E"/>
    <w:rsid w:val="00A67BA0"/>
    <w:rsid w:val="00A67D48"/>
    <w:rsid w:val="00A67D4E"/>
    <w:rsid w:val="00A67F10"/>
    <w:rsid w:val="00A707E6"/>
    <w:rsid w:val="00A71785"/>
    <w:rsid w:val="00A71788"/>
    <w:rsid w:val="00A71789"/>
    <w:rsid w:val="00A71856"/>
    <w:rsid w:val="00A71BCC"/>
    <w:rsid w:val="00A72016"/>
    <w:rsid w:val="00A7261B"/>
    <w:rsid w:val="00A72AC9"/>
    <w:rsid w:val="00A72C49"/>
    <w:rsid w:val="00A72D74"/>
    <w:rsid w:val="00A7389D"/>
    <w:rsid w:val="00A7396C"/>
    <w:rsid w:val="00A73C1F"/>
    <w:rsid w:val="00A73C3A"/>
    <w:rsid w:val="00A73DE8"/>
    <w:rsid w:val="00A7472A"/>
    <w:rsid w:val="00A74774"/>
    <w:rsid w:val="00A7495B"/>
    <w:rsid w:val="00A75669"/>
    <w:rsid w:val="00A75CC7"/>
    <w:rsid w:val="00A75DC7"/>
    <w:rsid w:val="00A75F3A"/>
    <w:rsid w:val="00A760B6"/>
    <w:rsid w:val="00A76D25"/>
    <w:rsid w:val="00A7756A"/>
    <w:rsid w:val="00A77C89"/>
    <w:rsid w:val="00A80010"/>
    <w:rsid w:val="00A80454"/>
    <w:rsid w:val="00A8092D"/>
    <w:rsid w:val="00A81182"/>
    <w:rsid w:val="00A82331"/>
    <w:rsid w:val="00A8296C"/>
    <w:rsid w:val="00A82AFD"/>
    <w:rsid w:val="00A83232"/>
    <w:rsid w:val="00A83306"/>
    <w:rsid w:val="00A83A96"/>
    <w:rsid w:val="00A83EDC"/>
    <w:rsid w:val="00A83EF2"/>
    <w:rsid w:val="00A84297"/>
    <w:rsid w:val="00A8494C"/>
    <w:rsid w:val="00A85613"/>
    <w:rsid w:val="00A859C1"/>
    <w:rsid w:val="00A85B40"/>
    <w:rsid w:val="00A86092"/>
    <w:rsid w:val="00A8624C"/>
    <w:rsid w:val="00A86818"/>
    <w:rsid w:val="00A8709E"/>
    <w:rsid w:val="00A87243"/>
    <w:rsid w:val="00A87675"/>
    <w:rsid w:val="00A87E73"/>
    <w:rsid w:val="00A91029"/>
    <w:rsid w:val="00A91885"/>
    <w:rsid w:val="00A921D1"/>
    <w:rsid w:val="00A92B32"/>
    <w:rsid w:val="00A92E5D"/>
    <w:rsid w:val="00A93861"/>
    <w:rsid w:val="00A93C3C"/>
    <w:rsid w:val="00A941D5"/>
    <w:rsid w:val="00A944EE"/>
    <w:rsid w:val="00A94610"/>
    <w:rsid w:val="00A94F9A"/>
    <w:rsid w:val="00A9538E"/>
    <w:rsid w:val="00A95B8D"/>
    <w:rsid w:val="00A95FA4"/>
    <w:rsid w:val="00A9609D"/>
    <w:rsid w:val="00A960AE"/>
    <w:rsid w:val="00A9650A"/>
    <w:rsid w:val="00A9651C"/>
    <w:rsid w:val="00A96C73"/>
    <w:rsid w:val="00A9711C"/>
    <w:rsid w:val="00A97140"/>
    <w:rsid w:val="00AA12C9"/>
    <w:rsid w:val="00AA13FC"/>
    <w:rsid w:val="00AA1E32"/>
    <w:rsid w:val="00AA21B2"/>
    <w:rsid w:val="00AA2385"/>
    <w:rsid w:val="00AA26D7"/>
    <w:rsid w:val="00AA2B0A"/>
    <w:rsid w:val="00AA3852"/>
    <w:rsid w:val="00AA3C3B"/>
    <w:rsid w:val="00AA3D14"/>
    <w:rsid w:val="00AA4DF6"/>
    <w:rsid w:val="00AA5083"/>
    <w:rsid w:val="00AA5310"/>
    <w:rsid w:val="00AA5561"/>
    <w:rsid w:val="00AA5CA2"/>
    <w:rsid w:val="00AA5FB6"/>
    <w:rsid w:val="00AA72C2"/>
    <w:rsid w:val="00AA7B7E"/>
    <w:rsid w:val="00AA7BF9"/>
    <w:rsid w:val="00AB0AB0"/>
    <w:rsid w:val="00AB0EA0"/>
    <w:rsid w:val="00AB13B5"/>
    <w:rsid w:val="00AB15EB"/>
    <w:rsid w:val="00AB1A62"/>
    <w:rsid w:val="00AB21A8"/>
    <w:rsid w:val="00AB2424"/>
    <w:rsid w:val="00AB2791"/>
    <w:rsid w:val="00AB27CC"/>
    <w:rsid w:val="00AB27EF"/>
    <w:rsid w:val="00AB2D08"/>
    <w:rsid w:val="00AB33BB"/>
    <w:rsid w:val="00AB463E"/>
    <w:rsid w:val="00AB46B3"/>
    <w:rsid w:val="00AB4967"/>
    <w:rsid w:val="00AB4FA7"/>
    <w:rsid w:val="00AB58BE"/>
    <w:rsid w:val="00AB5B4F"/>
    <w:rsid w:val="00AB5C34"/>
    <w:rsid w:val="00AB63A1"/>
    <w:rsid w:val="00AB6FAB"/>
    <w:rsid w:val="00AB7BF8"/>
    <w:rsid w:val="00AC023B"/>
    <w:rsid w:val="00AC0F6D"/>
    <w:rsid w:val="00AC11F5"/>
    <w:rsid w:val="00AC15C5"/>
    <w:rsid w:val="00AC25C7"/>
    <w:rsid w:val="00AC282D"/>
    <w:rsid w:val="00AC2873"/>
    <w:rsid w:val="00AC28ED"/>
    <w:rsid w:val="00AC2CEF"/>
    <w:rsid w:val="00AC33A3"/>
    <w:rsid w:val="00AC3CCE"/>
    <w:rsid w:val="00AC4CC6"/>
    <w:rsid w:val="00AC5C12"/>
    <w:rsid w:val="00AC6042"/>
    <w:rsid w:val="00AC6172"/>
    <w:rsid w:val="00AC682F"/>
    <w:rsid w:val="00AC6D18"/>
    <w:rsid w:val="00AC6F33"/>
    <w:rsid w:val="00AC7009"/>
    <w:rsid w:val="00AC7162"/>
    <w:rsid w:val="00AC736F"/>
    <w:rsid w:val="00AC78A4"/>
    <w:rsid w:val="00AC78E5"/>
    <w:rsid w:val="00AC7AED"/>
    <w:rsid w:val="00AC7F2A"/>
    <w:rsid w:val="00AD0014"/>
    <w:rsid w:val="00AD03C3"/>
    <w:rsid w:val="00AD0A04"/>
    <w:rsid w:val="00AD0D46"/>
    <w:rsid w:val="00AD1ACF"/>
    <w:rsid w:val="00AD23AF"/>
    <w:rsid w:val="00AD3049"/>
    <w:rsid w:val="00AD32D7"/>
    <w:rsid w:val="00AD33C1"/>
    <w:rsid w:val="00AD4AA1"/>
    <w:rsid w:val="00AD5014"/>
    <w:rsid w:val="00AD5022"/>
    <w:rsid w:val="00AD5DC6"/>
    <w:rsid w:val="00AD5F1D"/>
    <w:rsid w:val="00AD68FE"/>
    <w:rsid w:val="00AD6F70"/>
    <w:rsid w:val="00AD73A4"/>
    <w:rsid w:val="00AD783A"/>
    <w:rsid w:val="00AD7E70"/>
    <w:rsid w:val="00AE051E"/>
    <w:rsid w:val="00AE0830"/>
    <w:rsid w:val="00AE0843"/>
    <w:rsid w:val="00AE0CB7"/>
    <w:rsid w:val="00AE17D9"/>
    <w:rsid w:val="00AE20AC"/>
    <w:rsid w:val="00AE225A"/>
    <w:rsid w:val="00AE2E8F"/>
    <w:rsid w:val="00AE393D"/>
    <w:rsid w:val="00AE3A51"/>
    <w:rsid w:val="00AE3C5A"/>
    <w:rsid w:val="00AE4603"/>
    <w:rsid w:val="00AE4624"/>
    <w:rsid w:val="00AE46C6"/>
    <w:rsid w:val="00AE4A94"/>
    <w:rsid w:val="00AE4D88"/>
    <w:rsid w:val="00AE579C"/>
    <w:rsid w:val="00AE6069"/>
    <w:rsid w:val="00AE624B"/>
    <w:rsid w:val="00AE6263"/>
    <w:rsid w:val="00AE6856"/>
    <w:rsid w:val="00AE7DF6"/>
    <w:rsid w:val="00AF1382"/>
    <w:rsid w:val="00AF13AA"/>
    <w:rsid w:val="00AF268C"/>
    <w:rsid w:val="00AF2984"/>
    <w:rsid w:val="00AF3100"/>
    <w:rsid w:val="00AF3914"/>
    <w:rsid w:val="00AF4027"/>
    <w:rsid w:val="00AF413B"/>
    <w:rsid w:val="00AF4618"/>
    <w:rsid w:val="00AF465C"/>
    <w:rsid w:val="00AF4801"/>
    <w:rsid w:val="00AF4904"/>
    <w:rsid w:val="00AF4B5D"/>
    <w:rsid w:val="00AF5DD9"/>
    <w:rsid w:val="00AF5F65"/>
    <w:rsid w:val="00AF6083"/>
    <w:rsid w:val="00AF66A4"/>
    <w:rsid w:val="00AF6A7F"/>
    <w:rsid w:val="00AF6C7E"/>
    <w:rsid w:val="00AF6E19"/>
    <w:rsid w:val="00AF79F4"/>
    <w:rsid w:val="00AF7ADD"/>
    <w:rsid w:val="00B00560"/>
    <w:rsid w:val="00B00592"/>
    <w:rsid w:val="00B006E8"/>
    <w:rsid w:val="00B00B86"/>
    <w:rsid w:val="00B01531"/>
    <w:rsid w:val="00B01A73"/>
    <w:rsid w:val="00B02253"/>
    <w:rsid w:val="00B0236C"/>
    <w:rsid w:val="00B02452"/>
    <w:rsid w:val="00B02C28"/>
    <w:rsid w:val="00B03332"/>
    <w:rsid w:val="00B03A27"/>
    <w:rsid w:val="00B0416B"/>
    <w:rsid w:val="00B04494"/>
    <w:rsid w:val="00B044F2"/>
    <w:rsid w:val="00B045C8"/>
    <w:rsid w:val="00B050E6"/>
    <w:rsid w:val="00B0513E"/>
    <w:rsid w:val="00B0598B"/>
    <w:rsid w:val="00B06DD8"/>
    <w:rsid w:val="00B07715"/>
    <w:rsid w:val="00B07A72"/>
    <w:rsid w:val="00B10F1C"/>
    <w:rsid w:val="00B11D2B"/>
    <w:rsid w:val="00B11D80"/>
    <w:rsid w:val="00B126B0"/>
    <w:rsid w:val="00B126BA"/>
    <w:rsid w:val="00B12BE4"/>
    <w:rsid w:val="00B13075"/>
    <w:rsid w:val="00B134FA"/>
    <w:rsid w:val="00B1363F"/>
    <w:rsid w:val="00B13685"/>
    <w:rsid w:val="00B140BF"/>
    <w:rsid w:val="00B14ACB"/>
    <w:rsid w:val="00B1502B"/>
    <w:rsid w:val="00B15461"/>
    <w:rsid w:val="00B161B6"/>
    <w:rsid w:val="00B16218"/>
    <w:rsid w:val="00B171BE"/>
    <w:rsid w:val="00B17215"/>
    <w:rsid w:val="00B17796"/>
    <w:rsid w:val="00B17DF7"/>
    <w:rsid w:val="00B20AF6"/>
    <w:rsid w:val="00B21172"/>
    <w:rsid w:val="00B21635"/>
    <w:rsid w:val="00B2174E"/>
    <w:rsid w:val="00B21C16"/>
    <w:rsid w:val="00B21C60"/>
    <w:rsid w:val="00B22523"/>
    <w:rsid w:val="00B22CBC"/>
    <w:rsid w:val="00B22DB1"/>
    <w:rsid w:val="00B23042"/>
    <w:rsid w:val="00B23866"/>
    <w:rsid w:val="00B23B68"/>
    <w:rsid w:val="00B23B95"/>
    <w:rsid w:val="00B23CFF"/>
    <w:rsid w:val="00B2414E"/>
    <w:rsid w:val="00B241D8"/>
    <w:rsid w:val="00B2440D"/>
    <w:rsid w:val="00B2446A"/>
    <w:rsid w:val="00B24761"/>
    <w:rsid w:val="00B24D0B"/>
    <w:rsid w:val="00B253CC"/>
    <w:rsid w:val="00B25A57"/>
    <w:rsid w:val="00B25CE8"/>
    <w:rsid w:val="00B26092"/>
    <w:rsid w:val="00B26E71"/>
    <w:rsid w:val="00B275D9"/>
    <w:rsid w:val="00B2779A"/>
    <w:rsid w:val="00B27C6C"/>
    <w:rsid w:val="00B27FD6"/>
    <w:rsid w:val="00B30A98"/>
    <w:rsid w:val="00B30BD9"/>
    <w:rsid w:val="00B30F32"/>
    <w:rsid w:val="00B310A6"/>
    <w:rsid w:val="00B3139C"/>
    <w:rsid w:val="00B31414"/>
    <w:rsid w:val="00B314C0"/>
    <w:rsid w:val="00B31B52"/>
    <w:rsid w:val="00B32A4A"/>
    <w:rsid w:val="00B331A1"/>
    <w:rsid w:val="00B333E1"/>
    <w:rsid w:val="00B335C8"/>
    <w:rsid w:val="00B339C2"/>
    <w:rsid w:val="00B33F8D"/>
    <w:rsid w:val="00B34340"/>
    <w:rsid w:val="00B346CE"/>
    <w:rsid w:val="00B35AF8"/>
    <w:rsid w:val="00B368D8"/>
    <w:rsid w:val="00B36FD3"/>
    <w:rsid w:val="00B37251"/>
    <w:rsid w:val="00B37590"/>
    <w:rsid w:val="00B37B4D"/>
    <w:rsid w:val="00B40331"/>
    <w:rsid w:val="00B40851"/>
    <w:rsid w:val="00B40FA0"/>
    <w:rsid w:val="00B4140C"/>
    <w:rsid w:val="00B41F73"/>
    <w:rsid w:val="00B42063"/>
    <w:rsid w:val="00B4207D"/>
    <w:rsid w:val="00B42CC8"/>
    <w:rsid w:val="00B43AF1"/>
    <w:rsid w:val="00B4438C"/>
    <w:rsid w:val="00B444CD"/>
    <w:rsid w:val="00B44814"/>
    <w:rsid w:val="00B44B82"/>
    <w:rsid w:val="00B4571D"/>
    <w:rsid w:val="00B45F9F"/>
    <w:rsid w:val="00B4613B"/>
    <w:rsid w:val="00B46DA6"/>
    <w:rsid w:val="00B46F1C"/>
    <w:rsid w:val="00B47219"/>
    <w:rsid w:val="00B478A9"/>
    <w:rsid w:val="00B47A5C"/>
    <w:rsid w:val="00B47C4E"/>
    <w:rsid w:val="00B50ABC"/>
    <w:rsid w:val="00B515AC"/>
    <w:rsid w:val="00B51B5D"/>
    <w:rsid w:val="00B51D8B"/>
    <w:rsid w:val="00B52F6C"/>
    <w:rsid w:val="00B5403F"/>
    <w:rsid w:val="00B5404C"/>
    <w:rsid w:val="00B5424B"/>
    <w:rsid w:val="00B542C3"/>
    <w:rsid w:val="00B553BB"/>
    <w:rsid w:val="00B555F8"/>
    <w:rsid w:val="00B563DF"/>
    <w:rsid w:val="00B56B8B"/>
    <w:rsid w:val="00B5792D"/>
    <w:rsid w:val="00B57ADF"/>
    <w:rsid w:val="00B57D14"/>
    <w:rsid w:val="00B60DB6"/>
    <w:rsid w:val="00B6113E"/>
    <w:rsid w:val="00B6123C"/>
    <w:rsid w:val="00B62221"/>
    <w:rsid w:val="00B6255F"/>
    <w:rsid w:val="00B62763"/>
    <w:rsid w:val="00B62ACD"/>
    <w:rsid w:val="00B62E02"/>
    <w:rsid w:val="00B64160"/>
    <w:rsid w:val="00B65E10"/>
    <w:rsid w:val="00B65F20"/>
    <w:rsid w:val="00B663CA"/>
    <w:rsid w:val="00B6676F"/>
    <w:rsid w:val="00B66948"/>
    <w:rsid w:val="00B67316"/>
    <w:rsid w:val="00B6734A"/>
    <w:rsid w:val="00B67A8D"/>
    <w:rsid w:val="00B70FD8"/>
    <w:rsid w:val="00B71062"/>
    <w:rsid w:val="00B71514"/>
    <w:rsid w:val="00B715A4"/>
    <w:rsid w:val="00B7160C"/>
    <w:rsid w:val="00B720F5"/>
    <w:rsid w:val="00B72208"/>
    <w:rsid w:val="00B726BE"/>
    <w:rsid w:val="00B72D69"/>
    <w:rsid w:val="00B7301B"/>
    <w:rsid w:val="00B7304F"/>
    <w:rsid w:val="00B73EBA"/>
    <w:rsid w:val="00B743FF"/>
    <w:rsid w:val="00B74DCC"/>
    <w:rsid w:val="00B75507"/>
    <w:rsid w:val="00B75EB1"/>
    <w:rsid w:val="00B76588"/>
    <w:rsid w:val="00B765A6"/>
    <w:rsid w:val="00B766DA"/>
    <w:rsid w:val="00B766F8"/>
    <w:rsid w:val="00B76BB3"/>
    <w:rsid w:val="00B76D10"/>
    <w:rsid w:val="00B776DE"/>
    <w:rsid w:val="00B802CC"/>
    <w:rsid w:val="00B80974"/>
    <w:rsid w:val="00B81454"/>
    <w:rsid w:val="00B81CA8"/>
    <w:rsid w:val="00B8275C"/>
    <w:rsid w:val="00B82CD3"/>
    <w:rsid w:val="00B83587"/>
    <w:rsid w:val="00B83A89"/>
    <w:rsid w:val="00B858D1"/>
    <w:rsid w:val="00B85992"/>
    <w:rsid w:val="00B85994"/>
    <w:rsid w:val="00B86CC3"/>
    <w:rsid w:val="00B86D99"/>
    <w:rsid w:val="00B86E59"/>
    <w:rsid w:val="00B877B6"/>
    <w:rsid w:val="00B87DB6"/>
    <w:rsid w:val="00B87DE5"/>
    <w:rsid w:val="00B904D2"/>
    <w:rsid w:val="00B90877"/>
    <w:rsid w:val="00B90B8C"/>
    <w:rsid w:val="00B9101C"/>
    <w:rsid w:val="00B91E3B"/>
    <w:rsid w:val="00B9203B"/>
    <w:rsid w:val="00B92108"/>
    <w:rsid w:val="00B9241A"/>
    <w:rsid w:val="00B927AA"/>
    <w:rsid w:val="00B92D5B"/>
    <w:rsid w:val="00B92D61"/>
    <w:rsid w:val="00B937EA"/>
    <w:rsid w:val="00B9385A"/>
    <w:rsid w:val="00B9413C"/>
    <w:rsid w:val="00B943C4"/>
    <w:rsid w:val="00B94CA6"/>
    <w:rsid w:val="00B95541"/>
    <w:rsid w:val="00B956C8"/>
    <w:rsid w:val="00B95CA6"/>
    <w:rsid w:val="00B96625"/>
    <w:rsid w:val="00B96ECF"/>
    <w:rsid w:val="00B97480"/>
    <w:rsid w:val="00B97DBD"/>
    <w:rsid w:val="00BA14F8"/>
    <w:rsid w:val="00BA241A"/>
    <w:rsid w:val="00BA25DD"/>
    <w:rsid w:val="00BA2737"/>
    <w:rsid w:val="00BA2738"/>
    <w:rsid w:val="00BA332C"/>
    <w:rsid w:val="00BA3819"/>
    <w:rsid w:val="00BA39B9"/>
    <w:rsid w:val="00BA3BDD"/>
    <w:rsid w:val="00BA4848"/>
    <w:rsid w:val="00BA4D7F"/>
    <w:rsid w:val="00BA5C28"/>
    <w:rsid w:val="00BA61CD"/>
    <w:rsid w:val="00BA7FA9"/>
    <w:rsid w:val="00BB0ACB"/>
    <w:rsid w:val="00BB0F3F"/>
    <w:rsid w:val="00BB0F9A"/>
    <w:rsid w:val="00BB121B"/>
    <w:rsid w:val="00BB20D1"/>
    <w:rsid w:val="00BB2DD4"/>
    <w:rsid w:val="00BB3FA5"/>
    <w:rsid w:val="00BB40C4"/>
    <w:rsid w:val="00BB41DB"/>
    <w:rsid w:val="00BB4333"/>
    <w:rsid w:val="00BB4B4C"/>
    <w:rsid w:val="00BB5705"/>
    <w:rsid w:val="00BB57B3"/>
    <w:rsid w:val="00BB72CE"/>
    <w:rsid w:val="00BB78D8"/>
    <w:rsid w:val="00BC0D53"/>
    <w:rsid w:val="00BC1B75"/>
    <w:rsid w:val="00BC32C9"/>
    <w:rsid w:val="00BC35E7"/>
    <w:rsid w:val="00BC3753"/>
    <w:rsid w:val="00BC3DE5"/>
    <w:rsid w:val="00BC41DC"/>
    <w:rsid w:val="00BC431F"/>
    <w:rsid w:val="00BC4458"/>
    <w:rsid w:val="00BC5325"/>
    <w:rsid w:val="00BC5C16"/>
    <w:rsid w:val="00BC5C41"/>
    <w:rsid w:val="00BC7365"/>
    <w:rsid w:val="00BC7BE1"/>
    <w:rsid w:val="00BD0716"/>
    <w:rsid w:val="00BD101E"/>
    <w:rsid w:val="00BD10FD"/>
    <w:rsid w:val="00BD14A4"/>
    <w:rsid w:val="00BD1B13"/>
    <w:rsid w:val="00BD213F"/>
    <w:rsid w:val="00BD25DD"/>
    <w:rsid w:val="00BD2A3C"/>
    <w:rsid w:val="00BD3BD6"/>
    <w:rsid w:val="00BD41A1"/>
    <w:rsid w:val="00BD53AC"/>
    <w:rsid w:val="00BD54C8"/>
    <w:rsid w:val="00BD5862"/>
    <w:rsid w:val="00BD5D6D"/>
    <w:rsid w:val="00BD61B5"/>
    <w:rsid w:val="00BD6209"/>
    <w:rsid w:val="00BD6232"/>
    <w:rsid w:val="00BD6F58"/>
    <w:rsid w:val="00BD75D9"/>
    <w:rsid w:val="00BD760A"/>
    <w:rsid w:val="00BD7869"/>
    <w:rsid w:val="00BD79AE"/>
    <w:rsid w:val="00BD7AF3"/>
    <w:rsid w:val="00BE0F7E"/>
    <w:rsid w:val="00BE16D7"/>
    <w:rsid w:val="00BE1B64"/>
    <w:rsid w:val="00BE29CA"/>
    <w:rsid w:val="00BE3661"/>
    <w:rsid w:val="00BE3AE4"/>
    <w:rsid w:val="00BE3F90"/>
    <w:rsid w:val="00BE4164"/>
    <w:rsid w:val="00BE5750"/>
    <w:rsid w:val="00BE5BD0"/>
    <w:rsid w:val="00BE6EAA"/>
    <w:rsid w:val="00BE760F"/>
    <w:rsid w:val="00BE7F6F"/>
    <w:rsid w:val="00BE7F78"/>
    <w:rsid w:val="00BF0440"/>
    <w:rsid w:val="00BF0D04"/>
    <w:rsid w:val="00BF0EBD"/>
    <w:rsid w:val="00BF16F8"/>
    <w:rsid w:val="00BF1914"/>
    <w:rsid w:val="00BF1B3D"/>
    <w:rsid w:val="00BF2508"/>
    <w:rsid w:val="00BF2687"/>
    <w:rsid w:val="00BF3A1C"/>
    <w:rsid w:val="00BF3F63"/>
    <w:rsid w:val="00BF4070"/>
    <w:rsid w:val="00BF40C6"/>
    <w:rsid w:val="00BF5298"/>
    <w:rsid w:val="00BF5E5F"/>
    <w:rsid w:val="00BF6D21"/>
    <w:rsid w:val="00BF6F7D"/>
    <w:rsid w:val="00C00899"/>
    <w:rsid w:val="00C009BD"/>
    <w:rsid w:val="00C01F72"/>
    <w:rsid w:val="00C0208B"/>
    <w:rsid w:val="00C02455"/>
    <w:rsid w:val="00C026C1"/>
    <w:rsid w:val="00C02913"/>
    <w:rsid w:val="00C03105"/>
    <w:rsid w:val="00C0390A"/>
    <w:rsid w:val="00C03D23"/>
    <w:rsid w:val="00C03EF3"/>
    <w:rsid w:val="00C03F65"/>
    <w:rsid w:val="00C040DD"/>
    <w:rsid w:val="00C0441E"/>
    <w:rsid w:val="00C05510"/>
    <w:rsid w:val="00C05A39"/>
    <w:rsid w:val="00C0786E"/>
    <w:rsid w:val="00C07AD2"/>
    <w:rsid w:val="00C07BAD"/>
    <w:rsid w:val="00C10463"/>
    <w:rsid w:val="00C1088E"/>
    <w:rsid w:val="00C112F6"/>
    <w:rsid w:val="00C11F24"/>
    <w:rsid w:val="00C12313"/>
    <w:rsid w:val="00C12446"/>
    <w:rsid w:val="00C12B63"/>
    <w:rsid w:val="00C13786"/>
    <w:rsid w:val="00C13902"/>
    <w:rsid w:val="00C13FAE"/>
    <w:rsid w:val="00C14DAF"/>
    <w:rsid w:val="00C15349"/>
    <w:rsid w:val="00C15E2D"/>
    <w:rsid w:val="00C161AF"/>
    <w:rsid w:val="00C16CCE"/>
    <w:rsid w:val="00C17132"/>
    <w:rsid w:val="00C2071B"/>
    <w:rsid w:val="00C2085F"/>
    <w:rsid w:val="00C20C15"/>
    <w:rsid w:val="00C217A0"/>
    <w:rsid w:val="00C21977"/>
    <w:rsid w:val="00C21C0F"/>
    <w:rsid w:val="00C21C41"/>
    <w:rsid w:val="00C22258"/>
    <w:rsid w:val="00C222FE"/>
    <w:rsid w:val="00C226BA"/>
    <w:rsid w:val="00C227FC"/>
    <w:rsid w:val="00C22F22"/>
    <w:rsid w:val="00C22F9D"/>
    <w:rsid w:val="00C22FB8"/>
    <w:rsid w:val="00C24957"/>
    <w:rsid w:val="00C2530C"/>
    <w:rsid w:val="00C254EF"/>
    <w:rsid w:val="00C25719"/>
    <w:rsid w:val="00C25EAC"/>
    <w:rsid w:val="00C268E4"/>
    <w:rsid w:val="00C279C0"/>
    <w:rsid w:val="00C30025"/>
    <w:rsid w:val="00C300E1"/>
    <w:rsid w:val="00C30169"/>
    <w:rsid w:val="00C3023B"/>
    <w:rsid w:val="00C30274"/>
    <w:rsid w:val="00C304A2"/>
    <w:rsid w:val="00C31961"/>
    <w:rsid w:val="00C319A2"/>
    <w:rsid w:val="00C321C8"/>
    <w:rsid w:val="00C32515"/>
    <w:rsid w:val="00C334E8"/>
    <w:rsid w:val="00C336FC"/>
    <w:rsid w:val="00C33A40"/>
    <w:rsid w:val="00C3400A"/>
    <w:rsid w:val="00C3413C"/>
    <w:rsid w:val="00C3491C"/>
    <w:rsid w:val="00C34CD7"/>
    <w:rsid w:val="00C35F79"/>
    <w:rsid w:val="00C36180"/>
    <w:rsid w:val="00C36403"/>
    <w:rsid w:val="00C36714"/>
    <w:rsid w:val="00C369C8"/>
    <w:rsid w:val="00C36DEE"/>
    <w:rsid w:val="00C36FC7"/>
    <w:rsid w:val="00C37292"/>
    <w:rsid w:val="00C37592"/>
    <w:rsid w:val="00C3770E"/>
    <w:rsid w:val="00C40044"/>
    <w:rsid w:val="00C40738"/>
    <w:rsid w:val="00C40C4C"/>
    <w:rsid w:val="00C40CB1"/>
    <w:rsid w:val="00C42103"/>
    <w:rsid w:val="00C42923"/>
    <w:rsid w:val="00C429D4"/>
    <w:rsid w:val="00C43E1A"/>
    <w:rsid w:val="00C43F3D"/>
    <w:rsid w:val="00C444AB"/>
    <w:rsid w:val="00C44FEB"/>
    <w:rsid w:val="00C452E6"/>
    <w:rsid w:val="00C45442"/>
    <w:rsid w:val="00C45496"/>
    <w:rsid w:val="00C4604B"/>
    <w:rsid w:val="00C47521"/>
    <w:rsid w:val="00C4762B"/>
    <w:rsid w:val="00C47A9E"/>
    <w:rsid w:val="00C47BC2"/>
    <w:rsid w:val="00C47C27"/>
    <w:rsid w:val="00C47FAB"/>
    <w:rsid w:val="00C50176"/>
    <w:rsid w:val="00C5029C"/>
    <w:rsid w:val="00C504EA"/>
    <w:rsid w:val="00C5169D"/>
    <w:rsid w:val="00C51F78"/>
    <w:rsid w:val="00C51F91"/>
    <w:rsid w:val="00C5266A"/>
    <w:rsid w:val="00C528B0"/>
    <w:rsid w:val="00C5295D"/>
    <w:rsid w:val="00C52A3B"/>
    <w:rsid w:val="00C52F56"/>
    <w:rsid w:val="00C530D5"/>
    <w:rsid w:val="00C535A9"/>
    <w:rsid w:val="00C537AF"/>
    <w:rsid w:val="00C538AA"/>
    <w:rsid w:val="00C54482"/>
    <w:rsid w:val="00C54BC3"/>
    <w:rsid w:val="00C54E9B"/>
    <w:rsid w:val="00C5513A"/>
    <w:rsid w:val="00C553F0"/>
    <w:rsid w:val="00C553FB"/>
    <w:rsid w:val="00C55EC0"/>
    <w:rsid w:val="00C565A7"/>
    <w:rsid w:val="00C565BC"/>
    <w:rsid w:val="00C5680E"/>
    <w:rsid w:val="00C56C65"/>
    <w:rsid w:val="00C56CEE"/>
    <w:rsid w:val="00C57150"/>
    <w:rsid w:val="00C57425"/>
    <w:rsid w:val="00C57435"/>
    <w:rsid w:val="00C601C6"/>
    <w:rsid w:val="00C6045D"/>
    <w:rsid w:val="00C6061B"/>
    <w:rsid w:val="00C609D9"/>
    <w:rsid w:val="00C60C09"/>
    <w:rsid w:val="00C60DC1"/>
    <w:rsid w:val="00C60F24"/>
    <w:rsid w:val="00C61D6F"/>
    <w:rsid w:val="00C61EC5"/>
    <w:rsid w:val="00C6282E"/>
    <w:rsid w:val="00C62BFC"/>
    <w:rsid w:val="00C62F8E"/>
    <w:rsid w:val="00C6311C"/>
    <w:rsid w:val="00C636FE"/>
    <w:rsid w:val="00C63B85"/>
    <w:rsid w:val="00C63B97"/>
    <w:rsid w:val="00C64034"/>
    <w:rsid w:val="00C642F4"/>
    <w:rsid w:val="00C644A6"/>
    <w:rsid w:val="00C645EF"/>
    <w:rsid w:val="00C64612"/>
    <w:rsid w:val="00C647B2"/>
    <w:rsid w:val="00C64E5C"/>
    <w:rsid w:val="00C65278"/>
    <w:rsid w:val="00C6675F"/>
    <w:rsid w:val="00C66B52"/>
    <w:rsid w:val="00C66C1E"/>
    <w:rsid w:val="00C66D6E"/>
    <w:rsid w:val="00C66E77"/>
    <w:rsid w:val="00C6706F"/>
    <w:rsid w:val="00C670BF"/>
    <w:rsid w:val="00C6716F"/>
    <w:rsid w:val="00C671F9"/>
    <w:rsid w:val="00C67682"/>
    <w:rsid w:val="00C676B7"/>
    <w:rsid w:val="00C67A4C"/>
    <w:rsid w:val="00C67C9E"/>
    <w:rsid w:val="00C702A0"/>
    <w:rsid w:val="00C70CCA"/>
    <w:rsid w:val="00C720D0"/>
    <w:rsid w:val="00C73487"/>
    <w:rsid w:val="00C7386C"/>
    <w:rsid w:val="00C73997"/>
    <w:rsid w:val="00C741BC"/>
    <w:rsid w:val="00C74453"/>
    <w:rsid w:val="00C74534"/>
    <w:rsid w:val="00C74A42"/>
    <w:rsid w:val="00C7566C"/>
    <w:rsid w:val="00C764AC"/>
    <w:rsid w:val="00C7679F"/>
    <w:rsid w:val="00C770A1"/>
    <w:rsid w:val="00C77572"/>
    <w:rsid w:val="00C8009E"/>
    <w:rsid w:val="00C81222"/>
    <w:rsid w:val="00C81731"/>
    <w:rsid w:val="00C81CC0"/>
    <w:rsid w:val="00C81E5D"/>
    <w:rsid w:val="00C836A9"/>
    <w:rsid w:val="00C83D7F"/>
    <w:rsid w:val="00C84D41"/>
    <w:rsid w:val="00C85316"/>
    <w:rsid w:val="00C8559E"/>
    <w:rsid w:val="00C856D7"/>
    <w:rsid w:val="00C85855"/>
    <w:rsid w:val="00C861D8"/>
    <w:rsid w:val="00C8704E"/>
    <w:rsid w:val="00C874F6"/>
    <w:rsid w:val="00C87626"/>
    <w:rsid w:val="00C876F5"/>
    <w:rsid w:val="00C87F42"/>
    <w:rsid w:val="00C90C69"/>
    <w:rsid w:val="00C9119F"/>
    <w:rsid w:val="00C929D3"/>
    <w:rsid w:val="00C92AEA"/>
    <w:rsid w:val="00C9339E"/>
    <w:rsid w:val="00C93666"/>
    <w:rsid w:val="00C937F1"/>
    <w:rsid w:val="00C93CD8"/>
    <w:rsid w:val="00C93D4B"/>
    <w:rsid w:val="00C941F2"/>
    <w:rsid w:val="00C949BE"/>
    <w:rsid w:val="00C94EAC"/>
    <w:rsid w:val="00C954A1"/>
    <w:rsid w:val="00C95CBA"/>
    <w:rsid w:val="00C95DB6"/>
    <w:rsid w:val="00C95DF4"/>
    <w:rsid w:val="00C96BF5"/>
    <w:rsid w:val="00C972B4"/>
    <w:rsid w:val="00CA01FB"/>
    <w:rsid w:val="00CA03C6"/>
    <w:rsid w:val="00CA04AD"/>
    <w:rsid w:val="00CA0A4C"/>
    <w:rsid w:val="00CA0FB1"/>
    <w:rsid w:val="00CA1B2B"/>
    <w:rsid w:val="00CA2193"/>
    <w:rsid w:val="00CA22A1"/>
    <w:rsid w:val="00CA25E7"/>
    <w:rsid w:val="00CA28B2"/>
    <w:rsid w:val="00CA2ACA"/>
    <w:rsid w:val="00CA2ACD"/>
    <w:rsid w:val="00CA2FBB"/>
    <w:rsid w:val="00CA3635"/>
    <w:rsid w:val="00CA40A2"/>
    <w:rsid w:val="00CA41E7"/>
    <w:rsid w:val="00CA42E3"/>
    <w:rsid w:val="00CA4DC9"/>
    <w:rsid w:val="00CA5209"/>
    <w:rsid w:val="00CA5B46"/>
    <w:rsid w:val="00CA5CF8"/>
    <w:rsid w:val="00CA60FB"/>
    <w:rsid w:val="00CA6E9B"/>
    <w:rsid w:val="00CA7173"/>
    <w:rsid w:val="00CB0197"/>
    <w:rsid w:val="00CB0A5D"/>
    <w:rsid w:val="00CB0E9F"/>
    <w:rsid w:val="00CB1F17"/>
    <w:rsid w:val="00CB208F"/>
    <w:rsid w:val="00CB2193"/>
    <w:rsid w:val="00CB257C"/>
    <w:rsid w:val="00CB2641"/>
    <w:rsid w:val="00CB28B7"/>
    <w:rsid w:val="00CB2E87"/>
    <w:rsid w:val="00CB39C8"/>
    <w:rsid w:val="00CB4218"/>
    <w:rsid w:val="00CB4B88"/>
    <w:rsid w:val="00CB4F15"/>
    <w:rsid w:val="00CB4F4B"/>
    <w:rsid w:val="00CB5822"/>
    <w:rsid w:val="00CB5B53"/>
    <w:rsid w:val="00CB5C97"/>
    <w:rsid w:val="00CB5D5F"/>
    <w:rsid w:val="00CB5D95"/>
    <w:rsid w:val="00CB600A"/>
    <w:rsid w:val="00CB621C"/>
    <w:rsid w:val="00CB6E85"/>
    <w:rsid w:val="00CB718A"/>
    <w:rsid w:val="00CB7320"/>
    <w:rsid w:val="00CB7542"/>
    <w:rsid w:val="00CB7D9E"/>
    <w:rsid w:val="00CC03A4"/>
    <w:rsid w:val="00CC0A02"/>
    <w:rsid w:val="00CC0B8F"/>
    <w:rsid w:val="00CC11AD"/>
    <w:rsid w:val="00CC1DD2"/>
    <w:rsid w:val="00CC20AC"/>
    <w:rsid w:val="00CC27E1"/>
    <w:rsid w:val="00CC29DA"/>
    <w:rsid w:val="00CC2CD6"/>
    <w:rsid w:val="00CC2CED"/>
    <w:rsid w:val="00CC2FA8"/>
    <w:rsid w:val="00CC32A8"/>
    <w:rsid w:val="00CC435F"/>
    <w:rsid w:val="00CC483C"/>
    <w:rsid w:val="00CC48AA"/>
    <w:rsid w:val="00CC4E9C"/>
    <w:rsid w:val="00CC568B"/>
    <w:rsid w:val="00CC577A"/>
    <w:rsid w:val="00CC57F6"/>
    <w:rsid w:val="00CC5813"/>
    <w:rsid w:val="00CC5D6A"/>
    <w:rsid w:val="00CC6DC4"/>
    <w:rsid w:val="00CC7278"/>
    <w:rsid w:val="00CC75F3"/>
    <w:rsid w:val="00CC782C"/>
    <w:rsid w:val="00CC7FB3"/>
    <w:rsid w:val="00CD017A"/>
    <w:rsid w:val="00CD0306"/>
    <w:rsid w:val="00CD0910"/>
    <w:rsid w:val="00CD0CD5"/>
    <w:rsid w:val="00CD0E67"/>
    <w:rsid w:val="00CD0F7F"/>
    <w:rsid w:val="00CD114A"/>
    <w:rsid w:val="00CD1159"/>
    <w:rsid w:val="00CD1192"/>
    <w:rsid w:val="00CD49EF"/>
    <w:rsid w:val="00CD50AF"/>
    <w:rsid w:val="00CD5808"/>
    <w:rsid w:val="00CD5AAB"/>
    <w:rsid w:val="00CD5C48"/>
    <w:rsid w:val="00CD603C"/>
    <w:rsid w:val="00CD6FD1"/>
    <w:rsid w:val="00CD743E"/>
    <w:rsid w:val="00CD764E"/>
    <w:rsid w:val="00CD791B"/>
    <w:rsid w:val="00CD7B15"/>
    <w:rsid w:val="00CE04C5"/>
    <w:rsid w:val="00CE0E16"/>
    <w:rsid w:val="00CE1261"/>
    <w:rsid w:val="00CE1845"/>
    <w:rsid w:val="00CE1ADD"/>
    <w:rsid w:val="00CE21FB"/>
    <w:rsid w:val="00CE2218"/>
    <w:rsid w:val="00CE22C4"/>
    <w:rsid w:val="00CE2DA6"/>
    <w:rsid w:val="00CE2DC5"/>
    <w:rsid w:val="00CE2EB3"/>
    <w:rsid w:val="00CE38FD"/>
    <w:rsid w:val="00CE3D5A"/>
    <w:rsid w:val="00CE4A45"/>
    <w:rsid w:val="00CE4BBE"/>
    <w:rsid w:val="00CE4C15"/>
    <w:rsid w:val="00CE5480"/>
    <w:rsid w:val="00CE5A86"/>
    <w:rsid w:val="00CE6C27"/>
    <w:rsid w:val="00CE6F1E"/>
    <w:rsid w:val="00CE7413"/>
    <w:rsid w:val="00CE7BE2"/>
    <w:rsid w:val="00CE7E6D"/>
    <w:rsid w:val="00CF065C"/>
    <w:rsid w:val="00CF0D57"/>
    <w:rsid w:val="00CF131F"/>
    <w:rsid w:val="00CF1842"/>
    <w:rsid w:val="00CF199E"/>
    <w:rsid w:val="00CF1B51"/>
    <w:rsid w:val="00CF1BAA"/>
    <w:rsid w:val="00CF397E"/>
    <w:rsid w:val="00CF43C1"/>
    <w:rsid w:val="00CF446B"/>
    <w:rsid w:val="00CF4AFE"/>
    <w:rsid w:val="00CF4B33"/>
    <w:rsid w:val="00CF53DF"/>
    <w:rsid w:val="00CF5539"/>
    <w:rsid w:val="00CF5902"/>
    <w:rsid w:val="00CF5A9C"/>
    <w:rsid w:val="00CF64A3"/>
    <w:rsid w:val="00CF6915"/>
    <w:rsid w:val="00CF6BBF"/>
    <w:rsid w:val="00CF75E6"/>
    <w:rsid w:val="00CF7812"/>
    <w:rsid w:val="00CF7F9F"/>
    <w:rsid w:val="00D000C5"/>
    <w:rsid w:val="00D0017A"/>
    <w:rsid w:val="00D00A7A"/>
    <w:rsid w:val="00D00F20"/>
    <w:rsid w:val="00D01C92"/>
    <w:rsid w:val="00D01FA3"/>
    <w:rsid w:val="00D02866"/>
    <w:rsid w:val="00D02FD9"/>
    <w:rsid w:val="00D03398"/>
    <w:rsid w:val="00D03E13"/>
    <w:rsid w:val="00D03EF1"/>
    <w:rsid w:val="00D0444F"/>
    <w:rsid w:val="00D04D3D"/>
    <w:rsid w:val="00D04F45"/>
    <w:rsid w:val="00D0520C"/>
    <w:rsid w:val="00D05A4F"/>
    <w:rsid w:val="00D061CF"/>
    <w:rsid w:val="00D066C3"/>
    <w:rsid w:val="00D0674A"/>
    <w:rsid w:val="00D06BA8"/>
    <w:rsid w:val="00D06C48"/>
    <w:rsid w:val="00D06C95"/>
    <w:rsid w:val="00D06FB2"/>
    <w:rsid w:val="00D079C1"/>
    <w:rsid w:val="00D100D5"/>
    <w:rsid w:val="00D10449"/>
    <w:rsid w:val="00D108C8"/>
    <w:rsid w:val="00D11160"/>
    <w:rsid w:val="00D111FE"/>
    <w:rsid w:val="00D11781"/>
    <w:rsid w:val="00D120C2"/>
    <w:rsid w:val="00D1299B"/>
    <w:rsid w:val="00D1308D"/>
    <w:rsid w:val="00D131B0"/>
    <w:rsid w:val="00D139C0"/>
    <w:rsid w:val="00D13DC4"/>
    <w:rsid w:val="00D1440E"/>
    <w:rsid w:val="00D144CD"/>
    <w:rsid w:val="00D146AB"/>
    <w:rsid w:val="00D14A9C"/>
    <w:rsid w:val="00D14AFD"/>
    <w:rsid w:val="00D155F7"/>
    <w:rsid w:val="00D15C4C"/>
    <w:rsid w:val="00D16234"/>
    <w:rsid w:val="00D1625D"/>
    <w:rsid w:val="00D16D6D"/>
    <w:rsid w:val="00D17416"/>
    <w:rsid w:val="00D176B9"/>
    <w:rsid w:val="00D176D2"/>
    <w:rsid w:val="00D17ECE"/>
    <w:rsid w:val="00D20B84"/>
    <w:rsid w:val="00D20DC2"/>
    <w:rsid w:val="00D2143A"/>
    <w:rsid w:val="00D2159D"/>
    <w:rsid w:val="00D219C4"/>
    <w:rsid w:val="00D21BA9"/>
    <w:rsid w:val="00D220A0"/>
    <w:rsid w:val="00D22118"/>
    <w:rsid w:val="00D22796"/>
    <w:rsid w:val="00D24093"/>
    <w:rsid w:val="00D2498C"/>
    <w:rsid w:val="00D254CE"/>
    <w:rsid w:val="00D25919"/>
    <w:rsid w:val="00D265F4"/>
    <w:rsid w:val="00D26656"/>
    <w:rsid w:val="00D2692B"/>
    <w:rsid w:val="00D26A4A"/>
    <w:rsid w:val="00D27A69"/>
    <w:rsid w:val="00D314D5"/>
    <w:rsid w:val="00D32427"/>
    <w:rsid w:val="00D32702"/>
    <w:rsid w:val="00D32A8A"/>
    <w:rsid w:val="00D32F26"/>
    <w:rsid w:val="00D33413"/>
    <w:rsid w:val="00D334D1"/>
    <w:rsid w:val="00D33E52"/>
    <w:rsid w:val="00D34349"/>
    <w:rsid w:val="00D34977"/>
    <w:rsid w:val="00D352F7"/>
    <w:rsid w:val="00D358D0"/>
    <w:rsid w:val="00D35BDA"/>
    <w:rsid w:val="00D36429"/>
    <w:rsid w:val="00D36730"/>
    <w:rsid w:val="00D36DEE"/>
    <w:rsid w:val="00D370EF"/>
    <w:rsid w:val="00D3767D"/>
    <w:rsid w:val="00D3794B"/>
    <w:rsid w:val="00D379EE"/>
    <w:rsid w:val="00D41577"/>
    <w:rsid w:val="00D41E8B"/>
    <w:rsid w:val="00D42AD7"/>
    <w:rsid w:val="00D43084"/>
    <w:rsid w:val="00D43FE9"/>
    <w:rsid w:val="00D441AF"/>
    <w:rsid w:val="00D444E6"/>
    <w:rsid w:val="00D45190"/>
    <w:rsid w:val="00D456D8"/>
    <w:rsid w:val="00D45A78"/>
    <w:rsid w:val="00D460E8"/>
    <w:rsid w:val="00D46A7C"/>
    <w:rsid w:val="00D46E19"/>
    <w:rsid w:val="00D46E93"/>
    <w:rsid w:val="00D46ECC"/>
    <w:rsid w:val="00D4776A"/>
    <w:rsid w:val="00D478D3"/>
    <w:rsid w:val="00D47AFF"/>
    <w:rsid w:val="00D47BEC"/>
    <w:rsid w:val="00D47E9D"/>
    <w:rsid w:val="00D50EE0"/>
    <w:rsid w:val="00D513AB"/>
    <w:rsid w:val="00D5243A"/>
    <w:rsid w:val="00D52827"/>
    <w:rsid w:val="00D52AF8"/>
    <w:rsid w:val="00D52B16"/>
    <w:rsid w:val="00D52CF7"/>
    <w:rsid w:val="00D52D17"/>
    <w:rsid w:val="00D536A5"/>
    <w:rsid w:val="00D53A48"/>
    <w:rsid w:val="00D54292"/>
    <w:rsid w:val="00D54347"/>
    <w:rsid w:val="00D54BDD"/>
    <w:rsid w:val="00D558B1"/>
    <w:rsid w:val="00D55D18"/>
    <w:rsid w:val="00D55E9C"/>
    <w:rsid w:val="00D560DA"/>
    <w:rsid w:val="00D5669E"/>
    <w:rsid w:val="00D56780"/>
    <w:rsid w:val="00D56DE6"/>
    <w:rsid w:val="00D56DF1"/>
    <w:rsid w:val="00D576A9"/>
    <w:rsid w:val="00D57EA4"/>
    <w:rsid w:val="00D57F91"/>
    <w:rsid w:val="00D60094"/>
    <w:rsid w:val="00D6051C"/>
    <w:rsid w:val="00D60BAB"/>
    <w:rsid w:val="00D60FB9"/>
    <w:rsid w:val="00D6187E"/>
    <w:rsid w:val="00D61ED2"/>
    <w:rsid w:val="00D623EE"/>
    <w:rsid w:val="00D62A47"/>
    <w:rsid w:val="00D6324F"/>
    <w:rsid w:val="00D649B0"/>
    <w:rsid w:val="00D64D19"/>
    <w:rsid w:val="00D6519B"/>
    <w:rsid w:val="00D655E1"/>
    <w:rsid w:val="00D662E0"/>
    <w:rsid w:val="00D667FB"/>
    <w:rsid w:val="00D67305"/>
    <w:rsid w:val="00D675D5"/>
    <w:rsid w:val="00D6784A"/>
    <w:rsid w:val="00D702D5"/>
    <w:rsid w:val="00D7140C"/>
    <w:rsid w:val="00D71E70"/>
    <w:rsid w:val="00D72ED1"/>
    <w:rsid w:val="00D72F38"/>
    <w:rsid w:val="00D73D5D"/>
    <w:rsid w:val="00D74600"/>
    <w:rsid w:val="00D74A30"/>
    <w:rsid w:val="00D75773"/>
    <w:rsid w:val="00D7624A"/>
    <w:rsid w:val="00D769CF"/>
    <w:rsid w:val="00D76B2C"/>
    <w:rsid w:val="00D80104"/>
    <w:rsid w:val="00D801FE"/>
    <w:rsid w:val="00D80BA7"/>
    <w:rsid w:val="00D81126"/>
    <w:rsid w:val="00D81663"/>
    <w:rsid w:val="00D816CC"/>
    <w:rsid w:val="00D81ECD"/>
    <w:rsid w:val="00D82B77"/>
    <w:rsid w:val="00D82BF5"/>
    <w:rsid w:val="00D83C08"/>
    <w:rsid w:val="00D83CF3"/>
    <w:rsid w:val="00D83D46"/>
    <w:rsid w:val="00D83D8F"/>
    <w:rsid w:val="00D83EA1"/>
    <w:rsid w:val="00D84724"/>
    <w:rsid w:val="00D84910"/>
    <w:rsid w:val="00D8492C"/>
    <w:rsid w:val="00D84C00"/>
    <w:rsid w:val="00D84C76"/>
    <w:rsid w:val="00D85792"/>
    <w:rsid w:val="00D857C7"/>
    <w:rsid w:val="00D85C01"/>
    <w:rsid w:val="00D86063"/>
    <w:rsid w:val="00D86263"/>
    <w:rsid w:val="00D862AB"/>
    <w:rsid w:val="00D8633F"/>
    <w:rsid w:val="00D86812"/>
    <w:rsid w:val="00D86BF9"/>
    <w:rsid w:val="00D86CD7"/>
    <w:rsid w:val="00D87113"/>
    <w:rsid w:val="00D8730C"/>
    <w:rsid w:val="00D873B6"/>
    <w:rsid w:val="00D9023B"/>
    <w:rsid w:val="00D90712"/>
    <w:rsid w:val="00D9076A"/>
    <w:rsid w:val="00D90C67"/>
    <w:rsid w:val="00D90E85"/>
    <w:rsid w:val="00D9122A"/>
    <w:rsid w:val="00D912EF"/>
    <w:rsid w:val="00D918C2"/>
    <w:rsid w:val="00D91A03"/>
    <w:rsid w:val="00D91D8F"/>
    <w:rsid w:val="00D91EF6"/>
    <w:rsid w:val="00D92060"/>
    <w:rsid w:val="00D92880"/>
    <w:rsid w:val="00D92E05"/>
    <w:rsid w:val="00D93501"/>
    <w:rsid w:val="00D93D25"/>
    <w:rsid w:val="00D941D4"/>
    <w:rsid w:val="00D941FE"/>
    <w:rsid w:val="00D943BA"/>
    <w:rsid w:val="00D953B3"/>
    <w:rsid w:val="00D953FE"/>
    <w:rsid w:val="00D9622E"/>
    <w:rsid w:val="00D9641E"/>
    <w:rsid w:val="00D97168"/>
    <w:rsid w:val="00D97C18"/>
    <w:rsid w:val="00DA088E"/>
    <w:rsid w:val="00DA0D5F"/>
    <w:rsid w:val="00DA10B0"/>
    <w:rsid w:val="00DA10ED"/>
    <w:rsid w:val="00DA1621"/>
    <w:rsid w:val="00DA1764"/>
    <w:rsid w:val="00DA2583"/>
    <w:rsid w:val="00DA2584"/>
    <w:rsid w:val="00DA30F4"/>
    <w:rsid w:val="00DA31A3"/>
    <w:rsid w:val="00DA3444"/>
    <w:rsid w:val="00DA35E2"/>
    <w:rsid w:val="00DA3C61"/>
    <w:rsid w:val="00DA516D"/>
    <w:rsid w:val="00DA56E1"/>
    <w:rsid w:val="00DA5937"/>
    <w:rsid w:val="00DA5954"/>
    <w:rsid w:val="00DA5C40"/>
    <w:rsid w:val="00DA5D5D"/>
    <w:rsid w:val="00DA5D79"/>
    <w:rsid w:val="00DA5E11"/>
    <w:rsid w:val="00DA6AC8"/>
    <w:rsid w:val="00DA702B"/>
    <w:rsid w:val="00DB039E"/>
    <w:rsid w:val="00DB0B87"/>
    <w:rsid w:val="00DB13A0"/>
    <w:rsid w:val="00DB1562"/>
    <w:rsid w:val="00DB1F57"/>
    <w:rsid w:val="00DB210C"/>
    <w:rsid w:val="00DB3061"/>
    <w:rsid w:val="00DB31E3"/>
    <w:rsid w:val="00DB336B"/>
    <w:rsid w:val="00DB3A0B"/>
    <w:rsid w:val="00DB3D95"/>
    <w:rsid w:val="00DB50FE"/>
    <w:rsid w:val="00DB54AD"/>
    <w:rsid w:val="00DB54EA"/>
    <w:rsid w:val="00DB57AB"/>
    <w:rsid w:val="00DB5C3E"/>
    <w:rsid w:val="00DB64C1"/>
    <w:rsid w:val="00DB6648"/>
    <w:rsid w:val="00DB6DBF"/>
    <w:rsid w:val="00DB714A"/>
    <w:rsid w:val="00DB74EB"/>
    <w:rsid w:val="00DB7D7D"/>
    <w:rsid w:val="00DC056C"/>
    <w:rsid w:val="00DC0917"/>
    <w:rsid w:val="00DC0C0D"/>
    <w:rsid w:val="00DC10B9"/>
    <w:rsid w:val="00DC1597"/>
    <w:rsid w:val="00DC2292"/>
    <w:rsid w:val="00DC2E98"/>
    <w:rsid w:val="00DC3914"/>
    <w:rsid w:val="00DC3EBE"/>
    <w:rsid w:val="00DC4700"/>
    <w:rsid w:val="00DC5AEE"/>
    <w:rsid w:val="00DC5B10"/>
    <w:rsid w:val="00DC5C94"/>
    <w:rsid w:val="00DC6201"/>
    <w:rsid w:val="00DC628E"/>
    <w:rsid w:val="00DC64AB"/>
    <w:rsid w:val="00DC668A"/>
    <w:rsid w:val="00DC6AD4"/>
    <w:rsid w:val="00DC6AF6"/>
    <w:rsid w:val="00DC6DDA"/>
    <w:rsid w:val="00DC79BE"/>
    <w:rsid w:val="00DC7C4C"/>
    <w:rsid w:val="00DC7EAE"/>
    <w:rsid w:val="00DD03C3"/>
    <w:rsid w:val="00DD05AA"/>
    <w:rsid w:val="00DD0B17"/>
    <w:rsid w:val="00DD0B84"/>
    <w:rsid w:val="00DD1949"/>
    <w:rsid w:val="00DD1F01"/>
    <w:rsid w:val="00DD235B"/>
    <w:rsid w:val="00DD282D"/>
    <w:rsid w:val="00DD2AE4"/>
    <w:rsid w:val="00DD3AEE"/>
    <w:rsid w:val="00DD4624"/>
    <w:rsid w:val="00DD4786"/>
    <w:rsid w:val="00DD57A0"/>
    <w:rsid w:val="00DD590A"/>
    <w:rsid w:val="00DD5DFE"/>
    <w:rsid w:val="00DD6E52"/>
    <w:rsid w:val="00DD7038"/>
    <w:rsid w:val="00DD7EAA"/>
    <w:rsid w:val="00DE0871"/>
    <w:rsid w:val="00DE0ADF"/>
    <w:rsid w:val="00DE195F"/>
    <w:rsid w:val="00DE25CD"/>
    <w:rsid w:val="00DE28C3"/>
    <w:rsid w:val="00DE2A8B"/>
    <w:rsid w:val="00DE2AFF"/>
    <w:rsid w:val="00DE2B98"/>
    <w:rsid w:val="00DE3131"/>
    <w:rsid w:val="00DE34C5"/>
    <w:rsid w:val="00DE35D3"/>
    <w:rsid w:val="00DE35F8"/>
    <w:rsid w:val="00DE3BCD"/>
    <w:rsid w:val="00DE3CFE"/>
    <w:rsid w:val="00DE3ECA"/>
    <w:rsid w:val="00DE40DC"/>
    <w:rsid w:val="00DE4BCA"/>
    <w:rsid w:val="00DE4E31"/>
    <w:rsid w:val="00DE4E9A"/>
    <w:rsid w:val="00DE5ED1"/>
    <w:rsid w:val="00DE601A"/>
    <w:rsid w:val="00DE61C5"/>
    <w:rsid w:val="00DE6559"/>
    <w:rsid w:val="00DE6578"/>
    <w:rsid w:val="00DE661D"/>
    <w:rsid w:val="00DE70A4"/>
    <w:rsid w:val="00DE73F4"/>
    <w:rsid w:val="00DE77F6"/>
    <w:rsid w:val="00DE7C55"/>
    <w:rsid w:val="00DE7F4D"/>
    <w:rsid w:val="00DE7FB0"/>
    <w:rsid w:val="00DF0A51"/>
    <w:rsid w:val="00DF137D"/>
    <w:rsid w:val="00DF3740"/>
    <w:rsid w:val="00DF382D"/>
    <w:rsid w:val="00DF50CD"/>
    <w:rsid w:val="00DF5289"/>
    <w:rsid w:val="00DF623F"/>
    <w:rsid w:val="00DF6A26"/>
    <w:rsid w:val="00DF76D3"/>
    <w:rsid w:val="00DF7843"/>
    <w:rsid w:val="00DF7D6E"/>
    <w:rsid w:val="00DF7DF8"/>
    <w:rsid w:val="00E001FB"/>
    <w:rsid w:val="00E005E5"/>
    <w:rsid w:val="00E0198E"/>
    <w:rsid w:val="00E01F27"/>
    <w:rsid w:val="00E01FC6"/>
    <w:rsid w:val="00E032EE"/>
    <w:rsid w:val="00E034DA"/>
    <w:rsid w:val="00E03AEC"/>
    <w:rsid w:val="00E04660"/>
    <w:rsid w:val="00E04996"/>
    <w:rsid w:val="00E05266"/>
    <w:rsid w:val="00E05BD2"/>
    <w:rsid w:val="00E06B45"/>
    <w:rsid w:val="00E06D5B"/>
    <w:rsid w:val="00E0787A"/>
    <w:rsid w:val="00E10044"/>
    <w:rsid w:val="00E10717"/>
    <w:rsid w:val="00E10C55"/>
    <w:rsid w:val="00E11110"/>
    <w:rsid w:val="00E1148F"/>
    <w:rsid w:val="00E117CB"/>
    <w:rsid w:val="00E12354"/>
    <w:rsid w:val="00E12A2E"/>
    <w:rsid w:val="00E14BC5"/>
    <w:rsid w:val="00E14DC0"/>
    <w:rsid w:val="00E14EBF"/>
    <w:rsid w:val="00E14F4D"/>
    <w:rsid w:val="00E15362"/>
    <w:rsid w:val="00E153EC"/>
    <w:rsid w:val="00E1566D"/>
    <w:rsid w:val="00E15E53"/>
    <w:rsid w:val="00E16231"/>
    <w:rsid w:val="00E16B87"/>
    <w:rsid w:val="00E1778D"/>
    <w:rsid w:val="00E20278"/>
    <w:rsid w:val="00E20B19"/>
    <w:rsid w:val="00E210B7"/>
    <w:rsid w:val="00E21240"/>
    <w:rsid w:val="00E21EF5"/>
    <w:rsid w:val="00E21F38"/>
    <w:rsid w:val="00E22032"/>
    <w:rsid w:val="00E22DA5"/>
    <w:rsid w:val="00E23246"/>
    <w:rsid w:val="00E23572"/>
    <w:rsid w:val="00E238D8"/>
    <w:rsid w:val="00E23B07"/>
    <w:rsid w:val="00E24BF1"/>
    <w:rsid w:val="00E24C2A"/>
    <w:rsid w:val="00E24E6E"/>
    <w:rsid w:val="00E2526D"/>
    <w:rsid w:val="00E2562A"/>
    <w:rsid w:val="00E25ACE"/>
    <w:rsid w:val="00E25B5D"/>
    <w:rsid w:val="00E2618A"/>
    <w:rsid w:val="00E2643E"/>
    <w:rsid w:val="00E26732"/>
    <w:rsid w:val="00E267F7"/>
    <w:rsid w:val="00E2692B"/>
    <w:rsid w:val="00E26D63"/>
    <w:rsid w:val="00E270AC"/>
    <w:rsid w:val="00E2799E"/>
    <w:rsid w:val="00E27ABC"/>
    <w:rsid w:val="00E27C13"/>
    <w:rsid w:val="00E302A2"/>
    <w:rsid w:val="00E30347"/>
    <w:rsid w:val="00E30FFD"/>
    <w:rsid w:val="00E31685"/>
    <w:rsid w:val="00E31872"/>
    <w:rsid w:val="00E31962"/>
    <w:rsid w:val="00E31A39"/>
    <w:rsid w:val="00E31A3B"/>
    <w:rsid w:val="00E31CE9"/>
    <w:rsid w:val="00E324AE"/>
    <w:rsid w:val="00E32799"/>
    <w:rsid w:val="00E330DF"/>
    <w:rsid w:val="00E338B6"/>
    <w:rsid w:val="00E33FA8"/>
    <w:rsid w:val="00E34B97"/>
    <w:rsid w:val="00E34E30"/>
    <w:rsid w:val="00E34EC8"/>
    <w:rsid w:val="00E35AC3"/>
    <w:rsid w:val="00E35D3C"/>
    <w:rsid w:val="00E36BEE"/>
    <w:rsid w:val="00E37379"/>
    <w:rsid w:val="00E3785E"/>
    <w:rsid w:val="00E37B3A"/>
    <w:rsid w:val="00E400B7"/>
    <w:rsid w:val="00E409CE"/>
    <w:rsid w:val="00E415A8"/>
    <w:rsid w:val="00E419B3"/>
    <w:rsid w:val="00E41CD6"/>
    <w:rsid w:val="00E42D03"/>
    <w:rsid w:val="00E42DDA"/>
    <w:rsid w:val="00E437F1"/>
    <w:rsid w:val="00E43AB0"/>
    <w:rsid w:val="00E4455A"/>
    <w:rsid w:val="00E4535C"/>
    <w:rsid w:val="00E4572A"/>
    <w:rsid w:val="00E45761"/>
    <w:rsid w:val="00E45A71"/>
    <w:rsid w:val="00E46BE7"/>
    <w:rsid w:val="00E46E65"/>
    <w:rsid w:val="00E46FC2"/>
    <w:rsid w:val="00E47487"/>
    <w:rsid w:val="00E477C0"/>
    <w:rsid w:val="00E47F7E"/>
    <w:rsid w:val="00E50210"/>
    <w:rsid w:val="00E505A9"/>
    <w:rsid w:val="00E50CB6"/>
    <w:rsid w:val="00E5101F"/>
    <w:rsid w:val="00E51034"/>
    <w:rsid w:val="00E51CC1"/>
    <w:rsid w:val="00E52303"/>
    <w:rsid w:val="00E52B83"/>
    <w:rsid w:val="00E52D8F"/>
    <w:rsid w:val="00E530E1"/>
    <w:rsid w:val="00E537E6"/>
    <w:rsid w:val="00E53803"/>
    <w:rsid w:val="00E53D8D"/>
    <w:rsid w:val="00E53E41"/>
    <w:rsid w:val="00E53FA8"/>
    <w:rsid w:val="00E544EE"/>
    <w:rsid w:val="00E54769"/>
    <w:rsid w:val="00E548B3"/>
    <w:rsid w:val="00E55293"/>
    <w:rsid w:val="00E56FA0"/>
    <w:rsid w:val="00E576B4"/>
    <w:rsid w:val="00E57D8E"/>
    <w:rsid w:val="00E57F1D"/>
    <w:rsid w:val="00E60154"/>
    <w:rsid w:val="00E6021F"/>
    <w:rsid w:val="00E609C9"/>
    <w:rsid w:val="00E60AD3"/>
    <w:rsid w:val="00E60CF9"/>
    <w:rsid w:val="00E60F34"/>
    <w:rsid w:val="00E6106C"/>
    <w:rsid w:val="00E6137A"/>
    <w:rsid w:val="00E61DBC"/>
    <w:rsid w:val="00E620DC"/>
    <w:rsid w:val="00E620DD"/>
    <w:rsid w:val="00E621DF"/>
    <w:rsid w:val="00E62379"/>
    <w:rsid w:val="00E626DD"/>
    <w:rsid w:val="00E627BB"/>
    <w:rsid w:val="00E62B19"/>
    <w:rsid w:val="00E6316A"/>
    <w:rsid w:val="00E63338"/>
    <w:rsid w:val="00E63496"/>
    <w:rsid w:val="00E636E3"/>
    <w:rsid w:val="00E63CDF"/>
    <w:rsid w:val="00E6417C"/>
    <w:rsid w:val="00E65276"/>
    <w:rsid w:val="00E6530C"/>
    <w:rsid w:val="00E65732"/>
    <w:rsid w:val="00E65912"/>
    <w:rsid w:val="00E661CA"/>
    <w:rsid w:val="00E66B63"/>
    <w:rsid w:val="00E66F07"/>
    <w:rsid w:val="00E67321"/>
    <w:rsid w:val="00E678BC"/>
    <w:rsid w:val="00E67C8D"/>
    <w:rsid w:val="00E704B1"/>
    <w:rsid w:val="00E70AEE"/>
    <w:rsid w:val="00E70D64"/>
    <w:rsid w:val="00E712B8"/>
    <w:rsid w:val="00E712BC"/>
    <w:rsid w:val="00E712FB"/>
    <w:rsid w:val="00E7142B"/>
    <w:rsid w:val="00E717B2"/>
    <w:rsid w:val="00E718C4"/>
    <w:rsid w:val="00E719DE"/>
    <w:rsid w:val="00E71E13"/>
    <w:rsid w:val="00E72030"/>
    <w:rsid w:val="00E72CAA"/>
    <w:rsid w:val="00E72DE9"/>
    <w:rsid w:val="00E72EEC"/>
    <w:rsid w:val="00E73E50"/>
    <w:rsid w:val="00E740D5"/>
    <w:rsid w:val="00E74478"/>
    <w:rsid w:val="00E7472C"/>
    <w:rsid w:val="00E756AB"/>
    <w:rsid w:val="00E75A4A"/>
    <w:rsid w:val="00E75D24"/>
    <w:rsid w:val="00E75EA6"/>
    <w:rsid w:val="00E76431"/>
    <w:rsid w:val="00E76545"/>
    <w:rsid w:val="00E76ED1"/>
    <w:rsid w:val="00E77444"/>
    <w:rsid w:val="00E775A9"/>
    <w:rsid w:val="00E8036B"/>
    <w:rsid w:val="00E80A27"/>
    <w:rsid w:val="00E80AA0"/>
    <w:rsid w:val="00E81456"/>
    <w:rsid w:val="00E829CD"/>
    <w:rsid w:val="00E83DF5"/>
    <w:rsid w:val="00E83E5D"/>
    <w:rsid w:val="00E840EB"/>
    <w:rsid w:val="00E843B1"/>
    <w:rsid w:val="00E85883"/>
    <w:rsid w:val="00E85ED6"/>
    <w:rsid w:val="00E860A4"/>
    <w:rsid w:val="00E86D10"/>
    <w:rsid w:val="00E872E2"/>
    <w:rsid w:val="00E87402"/>
    <w:rsid w:val="00E8793E"/>
    <w:rsid w:val="00E87DF9"/>
    <w:rsid w:val="00E90816"/>
    <w:rsid w:val="00E915F0"/>
    <w:rsid w:val="00E916BB"/>
    <w:rsid w:val="00E91BEC"/>
    <w:rsid w:val="00E92A72"/>
    <w:rsid w:val="00E92B7F"/>
    <w:rsid w:val="00E93000"/>
    <w:rsid w:val="00E932B0"/>
    <w:rsid w:val="00E93620"/>
    <w:rsid w:val="00E93C39"/>
    <w:rsid w:val="00E93DE6"/>
    <w:rsid w:val="00E94C67"/>
    <w:rsid w:val="00E9613D"/>
    <w:rsid w:val="00E9759A"/>
    <w:rsid w:val="00E97A79"/>
    <w:rsid w:val="00E97D88"/>
    <w:rsid w:val="00E97FCB"/>
    <w:rsid w:val="00EA0078"/>
    <w:rsid w:val="00EA01A9"/>
    <w:rsid w:val="00EA0AC9"/>
    <w:rsid w:val="00EA0ED5"/>
    <w:rsid w:val="00EA10A7"/>
    <w:rsid w:val="00EA16B0"/>
    <w:rsid w:val="00EA1767"/>
    <w:rsid w:val="00EA17AE"/>
    <w:rsid w:val="00EA17CC"/>
    <w:rsid w:val="00EA19C9"/>
    <w:rsid w:val="00EA269C"/>
    <w:rsid w:val="00EA2C09"/>
    <w:rsid w:val="00EA3075"/>
    <w:rsid w:val="00EA3304"/>
    <w:rsid w:val="00EA36A3"/>
    <w:rsid w:val="00EA3E4A"/>
    <w:rsid w:val="00EA4110"/>
    <w:rsid w:val="00EA489B"/>
    <w:rsid w:val="00EA4C33"/>
    <w:rsid w:val="00EA4EB0"/>
    <w:rsid w:val="00EA4FAE"/>
    <w:rsid w:val="00EA5145"/>
    <w:rsid w:val="00EA5654"/>
    <w:rsid w:val="00EA58BC"/>
    <w:rsid w:val="00EA5A89"/>
    <w:rsid w:val="00EA7278"/>
    <w:rsid w:val="00EA7AC3"/>
    <w:rsid w:val="00EB0009"/>
    <w:rsid w:val="00EB0B40"/>
    <w:rsid w:val="00EB105E"/>
    <w:rsid w:val="00EB133E"/>
    <w:rsid w:val="00EB13CC"/>
    <w:rsid w:val="00EB1C16"/>
    <w:rsid w:val="00EB1CE8"/>
    <w:rsid w:val="00EB1D9C"/>
    <w:rsid w:val="00EB1DC9"/>
    <w:rsid w:val="00EB210D"/>
    <w:rsid w:val="00EB21E2"/>
    <w:rsid w:val="00EB27D5"/>
    <w:rsid w:val="00EB2CF5"/>
    <w:rsid w:val="00EB2EDD"/>
    <w:rsid w:val="00EB34E5"/>
    <w:rsid w:val="00EB34ED"/>
    <w:rsid w:val="00EB3811"/>
    <w:rsid w:val="00EB4688"/>
    <w:rsid w:val="00EB5165"/>
    <w:rsid w:val="00EB55F6"/>
    <w:rsid w:val="00EB56EC"/>
    <w:rsid w:val="00EB6169"/>
    <w:rsid w:val="00EB72B8"/>
    <w:rsid w:val="00EB74B1"/>
    <w:rsid w:val="00EB7B96"/>
    <w:rsid w:val="00EB7D27"/>
    <w:rsid w:val="00EC0647"/>
    <w:rsid w:val="00EC0933"/>
    <w:rsid w:val="00EC097A"/>
    <w:rsid w:val="00EC14AE"/>
    <w:rsid w:val="00EC19DF"/>
    <w:rsid w:val="00EC1A01"/>
    <w:rsid w:val="00EC2518"/>
    <w:rsid w:val="00EC31DA"/>
    <w:rsid w:val="00EC33AC"/>
    <w:rsid w:val="00EC37C3"/>
    <w:rsid w:val="00EC3E7E"/>
    <w:rsid w:val="00EC4232"/>
    <w:rsid w:val="00EC439C"/>
    <w:rsid w:val="00EC51C4"/>
    <w:rsid w:val="00EC54A3"/>
    <w:rsid w:val="00EC5C34"/>
    <w:rsid w:val="00EC5E24"/>
    <w:rsid w:val="00EC61BD"/>
    <w:rsid w:val="00EC6506"/>
    <w:rsid w:val="00EC6DA4"/>
    <w:rsid w:val="00EC6F81"/>
    <w:rsid w:val="00EC7057"/>
    <w:rsid w:val="00EC7297"/>
    <w:rsid w:val="00EC773D"/>
    <w:rsid w:val="00EC7936"/>
    <w:rsid w:val="00ED04E5"/>
    <w:rsid w:val="00ED14EC"/>
    <w:rsid w:val="00ED1556"/>
    <w:rsid w:val="00ED2599"/>
    <w:rsid w:val="00ED25F2"/>
    <w:rsid w:val="00ED4415"/>
    <w:rsid w:val="00ED45B1"/>
    <w:rsid w:val="00ED496A"/>
    <w:rsid w:val="00ED502B"/>
    <w:rsid w:val="00ED5F3A"/>
    <w:rsid w:val="00ED6286"/>
    <w:rsid w:val="00ED67BF"/>
    <w:rsid w:val="00ED6804"/>
    <w:rsid w:val="00ED6BDF"/>
    <w:rsid w:val="00ED7355"/>
    <w:rsid w:val="00ED7420"/>
    <w:rsid w:val="00ED7470"/>
    <w:rsid w:val="00ED74FE"/>
    <w:rsid w:val="00ED79B6"/>
    <w:rsid w:val="00ED7AC1"/>
    <w:rsid w:val="00ED7D73"/>
    <w:rsid w:val="00ED7F8A"/>
    <w:rsid w:val="00EE0287"/>
    <w:rsid w:val="00EE07A2"/>
    <w:rsid w:val="00EE0C5A"/>
    <w:rsid w:val="00EE0F12"/>
    <w:rsid w:val="00EE21C5"/>
    <w:rsid w:val="00EE29CC"/>
    <w:rsid w:val="00EE3B56"/>
    <w:rsid w:val="00EE3EB4"/>
    <w:rsid w:val="00EE43AF"/>
    <w:rsid w:val="00EE4559"/>
    <w:rsid w:val="00EE553B"/>
    <w:rsid w:val="00EE558D"/>
    <w:rsid w:val="00EE5BB9"/>
    <w:rsid w:val="00EE66B5"/>
    <w:rsid w:val="00EE6D7D"/>
    <w:rsid w:val="00EE6F2B"/>
    <w:rsid w:val="00EE7315"/>
    <w:rsid w:val="00EE74E0"/>
    <w:rsid w:val="00EE7997"/>
    <w:rsid w:val="00EE7C4C"/>
    <w:rsid w:val="00EF0AF3"/>
    <w:rsid w:val="00EF1271"/>
    <w:rsid w:val="00EF1272"/>
    <w:rsid w:val="00EF2364"/>
    <w:rsid w:val="00EF258D"/>
    <w:rsid w:val="00EF33D2"/>
    <w:rsid w:val="00EF3598"/>
    <w:rsid w:val="00EF3F34"/>
    <w:rsid w:val="00EF42D6"/>
    <w:rsid w:val="00EF45A0"/>
    <w:rsid w:val="00EF4C96"/>
    <w:rsid w:val="00EF526E"/>
    <w:rsid w:val="00EF6093"/>
    <w:rsid w:val="00EF6854"/>
    <w:rsid w:val="00EF6F3F"/>
    <w:rsid w:val="00EF7669"/>
    <w:rsid w:val="00EF7E61"/>
    <w:rsid w:val="00EF7FCC"/>
    <w:rsid w:val="00F00350"/>
    <w:rsid w:val="00F00724"/>
    <w:rsid w:val="00F0093D"/>
    <w:rsid w:val="00F00A58"/>
    <w:rsid w:val="00F00CC6"/>
    <w:rsid w:val="00F00D59"/>
    <w:rsid w:val="00F012F9"/>
    <w:rsid w:val="00F015A3"/>
    <w:rsid w:val="00F02462"/>
    <w:rsid w:val="00F0297B"/>
    <w:rsid w:val="00F032A4"/>
    <w:rsid w:val="00F03462"/>
    <w:rsid w:val="00F05A4E"/>
    <w:rsid w:val="00F05C7E"/>
    <w:rsid w:val="00F05F72"/>
    <w:rsid w:val="00F06FED"/>
    <w:rsid w:val="00F0703D"/>
    <w:rsid w:val="00F07EA2"/>
    <w:rsid w:val="00F10120"/>
    <w:rsid w:val="00F10268"/>
    <w:rsid w:val="00F103E9"/>
    <w:rsid w:val="00F10807"/>
    <w:rsid w:val="00F1112B"/>
    <w:rsid w:val="00F1137A"/>
    <w:rsid w:val="00F1160B"/>
    <w:rsid w:val="00F11C0D"/>
    <w:rsid w:val="00F12436"/>
    <w:rsid w:val="00F125F1"/>
    <w:rsid w:val="00F132B1"/>
    <w:rsid w:val="00F13BC6"/>
    <w:rsid w:val="00F13DBD"/>
    <w:rsid w:val="00F1447B"/>
    <w:rsid w:val="00F14495"/>
    <w:rsid w:val="00F14DEB"/>
    <w:rsid w:val="00F15A10"/>
    <w:rsid w:val="00F15BC5"/>
    <w:rsid w:val="00F15DCF"/>
    <w:rsid w:val="00F15E2F"/>
    <w:rsid w:val="00F16B1B"/>
    <w:rsid w:val="00F16B7A"/>
    <w:rsid w:val="00F17BD1"/>
    <w:rsid w:val="00F17BDD"/>
    <w:rsid w:val="00F20333"/>
    <w:rsid w:val="00F205F9"/>
    <w:rsid w:val="00F20AC5"/>
    <w:rsid w:val="00F21CDB"/>
    <w:rsid w:val="00F2201D"/>
    <w:rsid w:val="00F2247F"/>
    <w:rsid w:val="00F22705"/>
    <w:rsid w:val="00F229ED"/>
    <w:rsid w:val="00F2307A"/>
    <w:rsid w:val="00F23197"/>
    <w:rsid w:val="00F2463D"/>
    <w:rsid w:val="00F246EB"/>
    <w:rsid w:val="00F24FD2"/>
    <w:rsid w:val="00F25472"/>
    <w:rsid w:val="00F25847"/>
    <w:rsid w:val="00F25C4D"/>
    <w:rsid w:val="00F26419"/>
    <w:rsid w:val="00F26496"/>
    <w:rsid w:val="00F265E3"/>
    <w:rsid w:val="00F2663A"/>
    <w:rsid w:val="00F26A7F"/>
    <w:rsid w:val="00F26B75"/>
    <w:rsid w:val="00F26EBF"/>
    <w:rsid w:val="00F275AF"/>
    <w:rsid w:val="00F27681"/>
    <w:rsid w:val="00F276A8"/>
    <w:rsid w:val="00F27C21"/>
    <w:rsid w:val="00F27FC0"/>
    <w:rsid w:val="00F302B7"/>
    <w:rsid w:val="00F30326"/>
    <w:rsid w:val="00F30353"/>
    <w:rsid w:val="00F30AC6"/>
    <w:rsid w:val="00F30F4B"/>
    <w:rsid w:val="00F325AD"/>
    <w:rsid w:val="00F32A11"/>
    <w:rsid w:val="00F32C0F"/>
    <w:rsid w:val="00F32F55"/>
    <w:rsid w:val="00F3383B"/>
    <w:rsid w:val="00F34507"/>
    <w:rsid w:val="00F34621"/>
    <w:rsid w:val="00F3481E"/>
    <w:rsid w:val="00F3486B"/>
    <w:rsid w:val="00F3502A"/>
    <w:rsid w:val="00F35652"/>
    <w:rsid w:val="00F3593D"/>
    <w:rsid w:val="00F3630D"/>
    <w:rsid w:val="00F36373"/>
    <w:rsid w:val="00F3699C"/>
    <w:rsid w:val="00F3705C"/>
    <w:rsid w:val="00F3715C"/>
    <w:rsid w:val="00F3718D"/>
    <w:rsid w:val="00F371B3"/>
    <w:rsid w:val="00F37422"/>
    <w:rsid w:val="00F3753F"/>
    <w:rsid w:val="00F40007"/>
    <w:rsid w:val="00F4012C"/>
    <w:rsid w:val="00F40767"/>
    <w:rsid w:val="00F41339"/>
    <w:rsid w:val="00F41C11"/>
    <w:rsid w:val="00F41C39"/>
    <w:rsid w:val="00F421E7"/>
    <w:rsid w:val="00F43BE6"/>
    <w:rsid w:val="00F44931"/>
    <w:rsid w:val="00F4583E"/>
    <w:rsid w:val="00F46534"/>
    <w:rsid w:val="00F46C63"/>
    <w:rsid w:val="00F46CA4"/>
    <w:rsid w:val="00F47E09"/>
    <w:rsid w:val="00F50ABE"/>
    <w:rsid w:val="00F50C3B"/>
    <w:rsid w:val="00F51252"/>
    <w:rsid w:val="00F51549"/>
    <w:rsid w:val="00F515C6"/>
    <w:rsid w:val="00F52075"/>
    <w:rsid w:val="00F524FC"/>
    <w:rsid w:val="00F52B2A"/>
    <w:rsid w:val="00F53227"/>
    <w:rsid w:val="00F53B81"/>
    <w:rsid w:val="00F53C7B"/>
    <w:rsid w:val="00F541E6"/>
    <w:rsid w:val="00F5423B"/>
    <w:rsid w:val="00F5456A"/>
    <w:rsid w:val="00F548E2"/>
    <w:rsid w:val="00F550BA"/>
    <w:rsid w:val="00F55150"/>
    <w:rsid w:val="00F55A1D"/>
    <w:rsid w:val="00F55DAF"/>
    <w:rsid w:val="00F55EAA"/>
    <w:rsid w:val="00F56127"/>
    <w:rsid w:val="00F561CC"/>
    <w:rsid w:val="00F56B8C"/>
    <w:rsid w:val="00F56CE3"/>
    <w:rsid w:val="00F56D68"/>
    <w:rsid w:val="00F56EA2"/>
    <w:rsid w:val="00F57344"/>
    <w:rsid w:val="00F57EDC"/>
    <w:rsid w:val="00F57FFA"/>
    <w:rsid w:val="00F601A5"/>
    <w:rsid w:val="00F6056C"/>
    <w:rsid w:val="00F61449"/>
    <w:rsid w:val="00F61CD8"/>
    <w:rsid w:val="00F625FA"/>
    <w:rsid w:val="00F627B9"/>
    <w:rsid w:val="00F627C4"/>
    <w:rsid w:val="00F62D6F"/>
    <w:rsid w:val="00F63274"/>
    <w:rsid w:val="00F633FB"/>
    <w:rsid w:val="00F636ED"/>
    <w:rsid w:val="00F63742"/>
    <w:rsid w:val="00F637BD"/>
    <w:rsid w:val="00F640BE"/>
    <w:rsid w:val="00F648FF"/>
    <w:rsid w:val="00F64B55"/>
    <w:rsid w:val="00F660B2"/>
    <w:rsid w:val="00F66D90"/>
    <w:rsid w:val="00F67C2F"/>
    <w:rsid w:val="00F67E33"/>
    <w:rsid w:val="00F7045A"/>
    <w:rsid w:val="00F706A5"/>
    <w:rsid w:val="00F709EE"/>
    <w:rsid w:val="00F70A52"/>
    <w:rsid w:val="00F710D4"/>
    <w:rsid w:val="00F71423"/>
    <w:rsid w:val="00F7199B"/>
    <w:rsid w:val="00F71D20"/>
    <w:rsid w:val="00F725FF"/>
    <w:rsid w:val="00F72779"/>
    <w:rsid w:val="00F728DD"/>
    <w:rsid w:val="00F739DC"/>
    <w:rsid w:val="00F73F6E"/>
    <w:rsid w:val="00F73FC0"/>
    <w:rsid w:val="00F74458"/>
    <w:rsid w:val="00F74FAC"/>
    <w:rsid w:val="00F750A8"/>
    <w:rsid w:val="00F761BF"/>
    <w:rsid w:val="00F7640B"/>
    <w:rsid w:val="00F769B0"/>
    <w:rsid w:val="00F76C77"/>
    <w:rsid w:val="00F7714F"/>
    <w:rsid w:val="00F77399"/>
    <w:rsid w:val="00F77603"/>
    <w:rsid w:val="00F77D5E"/>
    <w:rsid w:val="00F80A81"/>
    <w:rsid w:val="00F8170B"/>
    <w:rsid w:val="00F821E5"/>
    <w:rsid w:val="00F82544"/>
    <w:rsid w:val="00F8280E"/>
    <w:rsid w:val="00F83290"/>
    <w:rsid w:val="00F83987"/>
    <w:rsid w:val="00F83A3F"/>
    <w:rsid w:val="00F83E1E"/>
    <w:rsid w:val="00F840D0"/>
    <w:rsid w:val="00F840F4"/>
    <w:rsid w:val="00F8435B"/>
    <w:rsid w:val="00F846C3"/>
    <w:rsid w:val="00F85120"/>
    <w:rsid w:val="00F85620"/>
    <w:rsid w:val="00F8668F"/>
    <w:rsid w:val="00F86E19"/>
    <w:rsid w:val="00F87AE8"/>
    <w:rsid w:val="00F87F01"/>
    <w:rsid w:val="00F908B2"/>
    <w:rsid w:val="00F908D5"/>
    <w:rsid w:val="00F90E47"/>
    <w:rsid w:val="00F913D0"/>
    <w:rsid w:val="00F916AB"/>
    <w:rsid w:val="00F91E8C"/>
    <w:rsid w:val="00F91EEA"/>
    <w:rsid w:val="00F91F3A"/>
    <w:rsid w:val="00F93452"/>
    <w:rsid w:val="00F938F5"/>
    <w:rsid w:val="00F93D82"/>
    <w:rsid w:val="00F93E9B"/>
    <w:rsid w:val="00F94F63"/>
    <w:rsid w:val="00F95D41"/>
    <w:rsid w:val="00F95D44"/>
    <w:rsid w:val="00F95F3A"/>
    <w:rsid w:val="00F96022"/>
    <w:rsid w:val="00F96867"/>
    <w:rsid w:val="00F96BE2"/>
    <w:rsid w:val="00F96BE6"/>
    <w:rsid w:val="00F96C3C"/>
    <w:rsid w:val="00F977DB"/>
    <w:rsid w:val="00FA0684"/>
    <w:rsid w:val="00FA1544"/>
    <w:rsid w:val="00FA1784"/>
    <w:rsid w:val="00FA1C8D"/>
    <w:rsid w:val="00FA2D69"/>
    <w:rsid w:val="00FA2EEE"/>
    <w:rsid w:val="00FA2FFA"/>
    <w:rsid w:val="00FA3250"/>
    <w:rsid w:val="00FA37EA"/>
    <w:rsid w:val="00FA381A"/>
    <w:rsid w:val="00FA3AA2"/>
    <w:rsid w:val="00FA402D"/>
    <w:rsid w:val="00FA4358"/>
    <w:rsid w:val="00FA4CF3"/>
    <w:rsid w:val="00FA558E"/>
    <w:rsid w:val="00FA584E"/>
    <w:rsid w:val="00FA588B"/>
    <w:rsid w:val="00FA62A4"/>
    <w:rsid w:val="00FA6930"/>
    <w:rsid w:val="00FA6B45"/>
    <w:rsid w:val="00FA6F2B"/>
    <w:rsid w:val="00FA71A6"/>
    <w:rsid w:val="00FA723E"/>
    <w:rsid w:val="00FA751D"/>
    <w:rsid w:val="00FA77E3"/>
    <w:rsid w:val="00FA7953"/>
    <w:rsid w:val="00FA797E"/>
    <w:rsid w:val="00FA79D7"/>
    <w:rsid w:val="00FA7A6B"/>
    <w:rsid w:val="00FA7C63"/>
    <w:rsid w:val="00FB00AE"/>
    <w:rsid w:val="00FB0B54"/>
    <w:rsid w:val="00FB1042"/>
    <w:rsid w:val="00FB211E"/>
    <w:rsid w:val="00FB245B"/>
    <w:rsid w:val="00FB2891"/>
    <w:rsid w:val="00FB344C"/>
    <w:rsid w:val="00FB3CD4"/>
    <w:rsid w:val="00FB3DBD"/>
    <w:rsid w:val="00FB3FE7"/>
    <w:rsid w:val="00FB4112"/>
    <w:rsid w:val="00FB41FC"/>
    <w:rsid w:val="00FB4826"/>
    <w:rsid w:val="00FB4CA8"/>
    <w:rsid w:val="00FB4CF2"/>
    <w:rsid w:val="00FB5329"/>
    <w:rsid w:val="00FB5529"/>
    <w:rsid w:val="00FB57B0"/>
    <w:rsid w:val="00FB694F"/>
    <w:rsid w:val="00FB74AA"/>
    <w:rsid w:val="00FB79A5"/>
    <w:rsid w:val="00FB79AE"/>
    <w:rsid w:val="00FB7B6F"/>
    <w:rsid w:val="00FC065C"/>
    <w:rsid w:val="00FC0D35"/>
    <w:rsid w:val="00FC1665"/>
    <w:rsid w:val="00FC189D"/>
    <w:rsid w:val="00FC1927"/>
    <w:rsid w:val="00FC2EF6"/>
    <w:rsid w:val="00FC2FB1"/>
    <w:rsid w:val="00FC3469"/>
    <w:rsid w:val="00FC35A5"/>
    <w:rsid w:val="00FC36FF"/>
    <w:rsid w:val="00FC3A74"/>
    <w:rsid w:val="00FC3EEB"/>
    <w:rsid w:val="00FC3F5D"/>
    <w:rsid w:val="00FC48DF"/>
    <w:rsid w:val="00FC5529"/>
    <w:rsid w:val="00FC5657"/>
    <w:rsid w:val="00FC5988"/>
    <w:rsid w:val="00FC5B5B"/>
    <w:rsid w:val="00FC609A"/>
    <w:rsid w:val="00FC6634"/>
    <w:rsid w:val="00FC69FC"/>
    <w:rsid w:val="00FC7493"/>
    <w:rsid w:val="00FC76E7"/>
    <w:rsid w:val="00FC7848"/>
    <w:rsid w:val="00FC7A47"/>
    <w:rsid w:val="00FD020F"/>
    <w:rsid w:val="00FD0390"/>
    <w:rsid w:val="00FD0A46"/>
    <w:rsid w:val="00FD0AB1"/>
    <w:rsid w:val="00FD0BFA"/>
    <w:rsid w:val="00FD0FB2"/>
    <w:rsid w:val="00FD155D"/>
    <w:rsid w:val="00FD1CA1"/>
    <w:rsid w:val="00FD224B"/>
    <w:rsid w:val="00FD23B0"/>
    <w:rsid w:val="00FD24C8"/>
    <w:rsid w:val="00FD2773"/>
    <w:rsid w:val="00FD2809"/>
    <w:rsid w:val="00FD2921"/>
    <w:rsid w:val="00FD292D"/>
    <w:rsid w:val="00FD36C5"/>
    <w:rsid w:val="00FD3B07"/>
    <w:rsid w:val="00FD3F35"/>
    <w:rsid w:val="00FD43CA"/>
    <w:rsid w:val="00FD6B52"/>
    <w:rsid w:val="00FD7622"/>
    <w:rsid w:val="00FD79FE"/>
    <w:rsid w:val="00FE0507"/>
    <w:rsid w:val="00FE0E4E"/>
    <w:rsid w:val="00FE1566"/>
    <w:rsid w:val="00FE22D8"/>
    <w:rsid w:val="00FE23AC"/>
    <w:rsid w:val="00FE2A17"/>
    <w:rsid w:val="00FE2C3E"/>
    <w:rsid w:val="00FE34E1"/>
    <w:rsid w:val="00FE3B46"/>
    <w:rsid w:val="00FE42BE"/>
    <w:rsid w:val="00FE520A"/>
    <w:rsid w:val="00FE53D1"/>
    <w:rsid w:val="00FE7179"/>
    <w:rsid w:val="00FE7242"/>
    <w:rsid w:val="00FE7AC6"/>
    <w:rsid w:val="00FE7CE0"/>
    <w:rsid w:val="00FF09B8"/>
    <w:rsid w:val="00FF0B00"/>
    <w:rsid w:val="00FF16BA"/>
    <w:rsid w:val="00FF23E3"/>
    <w:rsid w:val="00FF2641"/>
    <w:rsid w:val="00FF29F5"/>
    <w:rsid w:val="00FF2F19"/>
    <w:rsid w:val="00FF33B8"/>
    <w:rsid w:val="00FF41A1"/>
    <w:rsid w:val="00FF4826"/>
    <w:rsid w:val="00FF4850"/>
    <w:rsid w:val="00FF4AE2"/>
    <w:rsid w:val="00FF5593"/>
    <w:rsid w:val="00FF5A1C"/>
    <w:rsid w:val="00FF5F01"/>
    <w:rsid w:val="00FF6065"/>
    <w:rsid w:val="00FF64D0"/>
    <w:rsid w:val="00FF64E7"/>
    <w:rsid w:val="00FF6BDB"/>
    <w:rsid w:val="00FF6D83"/>
    <w:rsid w:val="00FF6DC9"/>
    <w:rsid w:val="00FF7C49"/>
    <w:rsid w:val="00FF7E75"/>
    <w:rsid w:val="00FF7E9B"/>
    <w:rsid w:val="01066AA3"/>
    <w:rsid w:val="01676888"/>
    <w:rsid w:val="020D1D92"/>
    <w:rsid w:val="022028D0"/>
    <w:rsid w:val="0281125B"/>
    <w:rsid w:val="02B86BE4"/>
    <w:rsid w:val="02E940C8"/>
    <w:rsid w:val="02F36A86"/>
    <w:rsid w:val="031B6E30"/>
    <w:rsid w:val="033810E5"/>
    <w:rsid w:val="034E4C23"/>
    <w:rsid w:val="03684A3A"/>
    <w:rsid w:val="042C72D0"/>
    <w:rsid w:val="046448D5"/>
    <w:rsid w:val="046F7A03"/>
    <w:rsid w:val="04B93F17"/>
    <w:rsid w:val="04F50B10"/>
    <w:rsid w:val="05251E97"/>
    <w:rsid w:val="052B7016"/>
    <w:rsid w:val="05662110"/>
    <w:rsid w:val="059B0EA9"/>
    <w:rsid w:val="05DA7B85"/>
    <w:rsid w:val="05DF34CD"/>
    <w:rsid w:val="06463A9D"/>
    <w:rsid w:val="06614688"/>
    <w:rsid w:val="06903847"/>
    <w:rsid w:val="06A744D6"/>
    <w:rsid w:val="06D535A2"/>
    <w:rsid w:val="06DA3B7F"/>
    <w:rsid w:val="06F92044"/>
    <w:rsid w:val="07614487"/>
    <w:rsid w:val="079E108E"/>
    <w:rsid w:val="07AF027A"/>
    <w:rsid w:val="0840154B"/>
    <w:rsid w:val="08776607"/>
    <w:rsid w:val="087D54AB"/>
    <w:rsid w:val="08AF2AE1"/>
    <w:rsid w:val="090D482A"/>
    <w:rsid w:val="09161696"/>
    <w:rsid w:val="0918781F"/>
    <w:rsid w:val="09261738"/>
    <w:rsid w:val="09BB7A44"/>
    <w:rsid w:val="09E84BAA"/>
    <w:rsid w:val="0A1E616F"/>
    <w:rsid w:val="0A770CC6"/>
    <w:rsid w:val="0AB00054"/>
    <w:rsid w:val="0AB23BA6"/>
    <w:rsid w:val="0AB8005B"/>
    <w:rsid w:val="0B2C02B5"/>
    <w:rsid w:val="0B7957E8"/>
    <w:rsid w:val="0B8F66CD"/>
    <w:rsid w:val="0BA55794"/>
    <w:rsid w:val="0C0E5E3E"/>
    <w:rsid w:val="0C595BA0"/>
    <w:rsid w:val="0C5C0622"/>
    <w:rsid w:val="0CDD5D43"/>
    <w:rsid w:val="0D092A5B"/>
    <w:rsid w:val="0D275AC3"/>
    <w:rsid w:val="0D357F4A"/>
    <w:rsid w:val="0D38545A"/>
    <w:rsid w:val="0D3B17FB"/>
    <w:rsid w:val="0DC37898"/>
    <w:rsid w:val="0DFC2136"/>
    <w:rsid w:val="0E0B16F6"/>
    <w:rsid w:val="0E800C0D"/>
    <w:rsid w:val="0F1E5D2F"/>
    <w:rsid w:val="0F535565"/>
    <w:rsid w:val="0F9F304C"/>
    <w:rsid w:val="0FCE7C6C"/>
    <w:rsid w:val="0FD93A0C"/>
    <w:rsid w:val="105C38F6"/>
    <w:rsid w:val="10602F1E"/>
    <w:rsid w:val="10B810C6"/>
    <w:rsid w:val="10C62EBA"/>
    <w:rsid w:val="10FD0617"/>
    <w:rsid w:val="1141656C"/>
    <w:rsid w:val="11AC5CA7"/>
    <w:rsid w:val="11EC6738"/>
    <w:rsid w:val="12075F5D"/>
    <w:rsid w:val="124E59A2"/>
    <w:rsid w:val="129C0D35"/>
    <w:rsid w:val="12D47BDF"/>
    <w:rsid w:val="12D5734F"/>
    <w:rsid w:val="139D0279"/>
    <w:rsid w:val="144740CF"/>
    <w:rsid w:val="14CA5DF5"/>
    <w:rsid w:val="16263657"/>
    <w:rsid w:val="1638506E"/>
    <w:rsid w:val="16566EE8"/>
    <w:rsid w:val="16637E80"/>
    <w:rsid w:val="16B428A1"/>
    <w:rsid w:val="16BD3C48"/>
    <w:rsid w:val="16C230EE"/>
    <w:rsid w:val="16C36660"/>
    <w:rsid w:val="172467C4"/>
    <w:rsid w:val="17FC6A39"/>
    <w:rsid w:val="18423EB9"/>
    <w:rsid w:val="18593B69"/>
    <w:rsid w:val="187C7006"/>
    <w:rsid w:val="18FB5D84"/>
    <w:rsid w:val="19147214"/>
    <w:rsid w:val="192C3057"/>
    <w:rsid w:val="197420F1"/>
    <w:rsid w:val="19B6109B"/>
    <w:rsid w:val="1A0E563E"/>
    <w:rsid w:val="1A702B27"/>
    <w:rsid w:val="1A8B7B69"/>
    <w:rsid w:val="1AA2034B"/>
    <w:rsid w:val="1ABE75CB"/>
    <w:rsid w:val="1B2B3354"/>
    <w:rsid w:val="1B336244"/>
    <w:rsid w:val="1B380197"/>
    <w:rsid w:val="1B420535"/>
    <w:rsid w:val="1B6E63D9"/>
    <w:rsid w:val="1B9D5A81"/>
    <w:rsid w:val="1BD6591B"/>
    <w:rsid w:val="1BE742D8"/>
    <w:rsid w:val="1BE82A33"/>
    <w:rsid w:val="1C6B7B6B"/>
    <w:rsid w:val="1C70347F"/>
    <w:rsid w:val="1D8A33CD"/>
    <w:rsid w:val="1E1A63DC"/>
    <w:rsid w:val="1EBE1E7A"/>
    <w:rsid w:val="1F164A81"/>
    <w:rsid w:val="1F393B2D"/>
    <w:rsid w:val="1F4C0A9E"/>
    <w:rsid w:val="1F5F24B7"/>
    <w:rsid w:val="1FA637CF"/>
    <w:rsid w:val="1FD10DE4"/>
    <w:rsid w:val="203321CB"/>
    <w:rsid w:val="203C539B"/>
    <w:rsid w:val="205757E4"/>
    <w:rsid w:val="205A072D"/>
    <w:rsid w:val="20A47157"/>
    <w:rsid w:val="20FE6FC2"/>
    <w:rsid w:val="2120570B"/>
    <w:rsid w:val="215129C8"/>
    <w:rsid w:val="2190421D"/>
    <w:rsid w:val="21C57181"/>
    <w:rsid w:val="21D97FB3"/>
    <w:rsid w:val="220832B8"/>
    <w:rsid w:val="22106943"/>
    <w:rsid w:val="2337795E"/>
    <w:rsid w:val="234A3E3C"/>
    <w:rsid w:val="23587950"/>
    <w:rsid w:val="239218A1"/>
    <w:rsid w:val="23980576"/>
    <w:rsid w:val="242B38C5"/>
    <w:rsid w:val="24601B9C"/>
    <w:rsid w:val="247E54A1"/>
    <w:rsid w:val="248324C4"/>
    <w:rsid w:val="24932DF6"/>
    <w:rsid w:val="24996314"/>
    <w:rsid w:val="24B86781"/>
    <w:rsid w:val="2582723B"/>
    <w:rsid w:val="2591561C"/>
    <w:rsid w:val="259E7266"/>
    <w:rsid w:val="262970DD"/>
    <w:rsid w:val="262E0C37"/>
    <w:rsid w:val="264A7971"/>
    <w:rsid w:val="2687726D"/>
    <w:rsid w:val="27154BF3"/>
    <w:rsid w:val="272F61C0"/>
    <w:rsid w:val="27445E4C"/>
    <w:rsid w:val="2778783B"/>
    <w:rsid w:val="277E0D9B"/>
    <w:rsid w:val="27906DFB"/>
    <w:rsid w:val="27AA10CB"/>
    <w:rsid w:val="27B20251"/>
    <w:rsid w:val="27D20170"/>
    <w:rsid w:val="27E817B8"/>
    <w:rsid w:val="285B1081"/>
    <w:rsid w:val="28A330B8"/>
    <w:rsid w:val="28D04379"/>
    <w:rsid w:val="29E60C58"/>
    <w:rsid w:val="2A140975"/>
    <w:rsid w:val="2A9E2177"/>
    <w:rsid w:val="2AB012A8"/>
    <w:rsid w:val="2B051561"/>
    <w:rsid w:val="2B3664C7"/>
    <w:rsid w:val="2B6001C3"/>
    <w:rsid w:val="2B8F4B4C"/>
    <w:rsid w:val="2BD95763"/>
    <w:rsid w:val="2BDD0FC1"/>
    <w:rsid w:val="2BE76383"/>
    <w:rsid w:val="2C3037F5"/>
    <w:rsid w:val="2C50416D"/>
    <w:rsid w:val="2C6E6DDC"/>
    <w:rsid w:val="2CB923B6"/>
    <w:rsid w:val="2CDD1516"/>
    <w:rsid w:val="2D284413"/>
    <w:rsid w:val="2DAF57BC"/>
    <w:rsid w:val="2E057CDD"/>
    <w:rsid w:val="2E4767B4"/>
    <w:rsid w:val="2E496F10"/>
    <w:rsid w:val="2E8E2DBF"/>
    <w:rsid w:val="2E944828"/>
    <w:rsid w:val="2EC305BC"/>
    <w:rsid w:val="2ECC4B2A"/>
    <w:rsid w:val="2F137577"/>
    <w:rsid w:val="2F5F0233"/>
    <w:rsid w:val="2FA43D42"/>
    <w:rsid w:val="2FB648CE"/>
    <w:rsid w:val="2FD8539A"/>
    <w:rsid w:val="2FE07E2C"/>
    <w:rsid w:val="307D14A0"/>
    <w:rsid w:val="307F557B"/>
    <w:rsid w:val="309E52B6"/>
    <w:rsid w:val="30A86C6D"/>
    <w:rsid w:val="31B961CB"/>
    <w:rsid w:val="31CA7F97"/>
    <w:rsid w:val="31D23A98"/>
    <w:rsid w:val="31D459F5"/>
    <w:rsid w:val="32460B7D"/>
    <w:rsid w:val="32736FEB"/>
    <w:rsid w:val="32C31D81"/>
    <w:rsid w:val="32C9627A"/>
    <w:rsid w:val="32CE7FA5"/>
    <w:rsid w:val="332A3255"/>
    <w:rsid w:val="332D4E0C"/>
    <w:rsid w:val="33510D04"/>
    <w:rsid w:val="33573921"/>
    <w:rsid w:val="33FF75D3"/>
    <w:rsid w:val="342716CE"/>
    <w:rsid w:val="34C42D8F"/>
    <w:rsid w:val="34D5350A"/>
    <w:rsid w:val="357F2D4D"/>
    <w:rsid w:val="35913375"/>
    <w:rsid w:val="3610682D"/>
    <w:rsid w:val="36474749"/>
    <w:rsid w:val="36585A5E"/>
    <w:rsid w:val="365E778E"/>
    <w:rsid w:val="36E146EF"/>
    <w:rsid w:val="36E53546"/>
    <w:rsid w:val="370D6D1C"/>
    <w:rsid w:val="37194AE4"/>
    <w:rsid w:val="37461CC7"/>
    <w:rsid w:val="3752110A"/>
    <w:rsid w:val="38002785"/>
    <w:rsid w:val="382E5A86"/>
    <w:rsid w:val="38BA44C1"/>
    <w:rsid w:val="38D40064"/>
    <w:rsid w:val="38D74259"/>
    <w:rsid w:val="38E3039D"/>
    <w:rsid w:val="38E82845"/>
    <w:rsid w:val="399E79A0"/>
    <w:rsid w:val="3A767FF6"/>
    <w:rsid w:val="3AD03CFE"/>
    <w:rsid w:val="3B1629D9"/>
    <w:rsid w:val="3B695AF9"/>
    <w:rsid w:val="3B7C1836"/>
    <w:rsid w:val="3BB050D9"/>
    <w:rsid w:val="3C4815A4"/>
    <w:rsid w:val="3CCA64FB"/>
    <w:rsid w:val="3CCF4B38"/>
    <w:rsid w:val="3CD35005"/>
    <w:rsid w:val="3CD35B4C"/>
    <w:rsid w:val="3D426717"/>
    <w:rsid w:val="3D9D6114"/>
    <w:rsid w:val="3E1C3052"/>
    <w:rsid w:val="3E737D65"/>
    <w:rsid w:val="3E986F7F"/>
    <w:rsid w:val="3EDB3BA3"/>
    <w:rsid w:val="3EF87FF7"/>
    <w:rsid w:val="3F2820E7"/>
    <w:rsid w:val="3F387E59"/>
    <w:rsid w:val="3F422C2A"/>
    <w:rsid w:val="3FC36CCA"/>
    <w:rsid w:val="40EC10BD"/>
    <w:rsid w:val="40FD49C1"/>
    <w:rsid w:val="415463EF"/>
    <w:rsid w:val="4179082C"/>
    <w:rsid w:val="41CF0ACA"/>
    <w:rsid w:val="428972EF"/>
    <w:rsid w:val="4289790B"/>
    <w:rsid w:val="42A51CE1"/>
    <w:rsid w:val="42E601EB"/>
    <w:rsid w:val="42F531B5"/>
    <w:rsid w:val="436C4500"/>
    <w:rsid w:val="437A0E68"/>
    <w:rsid w:val="43A5544E"/>
    <w:rsid w:val="43B34911"/>
    <w:rsid w:val="43E77793"/>
    <w:rsid w:val="43F41411"/>
    <w:rsid w:val="44107D29"/>
    <w:rsid w:val="441D64AE"/>
    <w:rsid w:val="44535B24"/>
    <w:rsid w:val="44567E06"/>
    <w:rsid w:val="446B2339"/>
    <w:rsid w:val="44763C6C"/>
    <w:rsid w:val="44C73BF6"/>
    <w:rsid w:val="44E94013"/>
    <w:rsid w:val="45316F52"/>
    <w:rsid w:val="455B255E"/>
    <w:rsid w:val="458F4ED8"/>
    <w:rsid w:val="460D6EC7"/>
    <w:rsid w:val="468227A7"/>
    <w:rsid w:val="468E0F18"/>
    <w:rsid w:val="4696498F"/>
    <w:rsid w:val="46C1776A"/>
    <w:rsid w:val="46C36253"/>
    <w:rsid w:val="47780883"/>
    <w:rsid w:val="47C071CB"/>
    <w:rsid w:val="47CD0003"/>
    <w:rsid w:val="48016B9F"/>
    <w:rsid w:val="48356DAD"/>
    <w:rsid w:val="483F781D"/>
    <w:rsid w:val="487727EE"/>
    <w:rsid w:val="488100EE"/>
    <w:rsid w:val="48816311"/>
    <w:rsid w:val="495415AB"/>
    <w:rsid w:val="498B3623"/>
    <w:rsid w:val="49CB5EC2"/>
    <w:rsid w:val="49CE3C72"/>
    <w:rsid w:val="4A0D1B5B"/>
    <w:rsid w:val="4A160C38"/>
    <w:rsid w:val="4A4617C1"/>
    <w:rsid w:val="4A4E14BC"/>
    <w:rsid w:val="4A532BEB"/>
    <w:rsid w:val="4ACA1875"/>
    <w:rsid w:val="4B0576BF"/>
    <w:rsid w:val="4B45672F"/>
    <w:rsid w:val="4B890AEE"/>
    <w:rsid w:val="4C075D87"/>
    <w:rsid w:val="4CA340DD"/>
    <w:rsid w:val="4CB722F1"/>
    <w:rsid w:val="4CDD0BFD"/>
    <w:rsid w:val="4D0B0C06"/>
    <w:rsid w:val="4D3D1547"/>
    <w:rsid w:val="4D554FA5"/>
    <w:rsid w:val="4DA92B1D"/>
    <w:rsid w:val="4DAC4932"/>
    <w:rsid w:val="4E213BDF"/>
    <w:rsid w:val="4E48034E"/>
    <w:rsid w:val="4E56346D"/>
    <w:rsid w:val="4E675B1D"/>
    <w:rsid w:val="4E92461E"/>
    <w:rsid w:val="4EA66A18"/>
    <w:rsid w:val="4EA86C97"/>
    <w:rsid w:val="4FCE520D"/>
    <w:rsid w:val="4FEF6637"/>
    <w:rsid w:val="505E5B99"/>
    <w:rsid w:val="50925DCF"/>
    <w:rsid w:val="50BB0C9C"/>
    <w:rsid w:val="51403F9F"/>
    <w:rsid w:val="51570F01"/>
    <w:rsid w:val="515F19E9"/>
    <w:rsid w:val="51607CBB"/>
    <w:rsid w:val="51B62397"/>
    <w:rsid w:val="51E422CB"/>
    <w:rsid w:val="521E66F5"/>
    <w:rsid w:val="526823F0"/>
    <w:rsid w:val="52A130F6"/>
    <w:rsid w:val="52A22D11"/>
    <w:rsid w:val="5301764C"/>
    <w:rsid w:val="532531DA"/>
    <w:rsid w:val="53703479"/>
    <w:rsid w:val="53C061B3"/>
    <w:rsid w:val="53DE1FD4"/>
    <w:rsid w:val="54C35E18"/>
    <w:rsid w:val="55174095"/>
    <w:rsid w:val="55330309"/>
    <w:rsid w:val="562667B6"/>
    <w:rsid w:val="56C80005"/>
    <w:rsid w:val="572B370A"/>
    <w:rsid w:val="574229C5"/>
    <w:rsid w:val="5896551B"/>
    <w:rsid w:val="591853E8"/>
    <w:rsid w:val="59515238"/>
    <w:rsid w:val="59657D3C"/>
    <w:rsid w:val="597D1E7D"/>
    <w:rsid w:val="59FB5146"/>
    <w:rsid w:val="5A1A74F8"/>
    <w:rsid w:val="5A6849F3"/>
    <w:rsid w:val="5AB45025"/>
    <w:rsid w:val="5B112B5D"/>
    <w:rsid w:val="5B2F70E1"/>
    <w:rsid w:val="5B461CBE"/>
    <w:rsid w:val="5B553ED0"/>
    <w:rsid w:val="5BC16F37"/>
    <w:rsid w:val="5BD159CA"/>
    <w:rsid w:val="5C401896"/>
    <w:rsid w:val="5CCD3D2B"/>
    <w:rsid w:val="5CFB1C4A"/>
    <w:rsid w:val="5DC343A0"/>
    <w:rsid w:val="5E0E68B4"/>
    <w:rsid w:val="5E100F70"/>
    <w:rsid w:val="5E1562B7"/>
    <w:rsid w:val="5E1F5164"/>
    <w:rsid w:val="5E440547"/>
    <w:rsid w:val="5E5E21CA"/>
    <w:rsid w:val="5E6401CE"/>
    <w:rsid w:val="5EA1722C"/>
    <w:rsid w:val="5EC651E1"/>
    <w:rsid w:val="5ED22713"/>
    <w:rsid w:val="5EF3439D"/>
    <w:rsid w:val="5F504366"/>
    <w:rsid w:val="5F6B4B06"/>
    <w:rsid w:val="5FB436E6"/>
    <w:rsid w:val="601B2655"/>
    <w:rsid w:val="606F2B11"/>
    <w:rsid w:val="608367B3"/>
    <w:rsid w:val="60BB5514"/>
    <w:rsid w:val="61150E4A"/>
    <w:rsid w:val="61163E52"/>
    <w:rsid w:val="61213C4E"/>
    <w:rsid w:val="616B66BF"/>
    <w:rsid w:val="61842E12"/>
    <w:rsid w:val="61F21367"/>
    <w:rsid w:val="62073450"/>
    <w:rsid w:val="62245CAC"/>
    <w:rsid w:val="62F37498"/>
    <w:rsid w:val="635A7520"/>
    <w:rsid w:val="63C9590E"/>
    <w:rsid w:val="63CC7E35"/>
    <w:rsid w:val="64282D32"/>
    <w:rsid w:val="645309CE"/>
    <w:rsid w:val="646D0FA9"/>
    <w:rsid w:val="64736522"/>
    <w:rsid w:val="65296516"/>
    <w:rsid w:val="656F15F5"/>
    <w:rsid w:val="6596696B"/>
    <w:rsid w:val="65A5089B"/>
    <w:rsid w:val="65D30121"/>
    <w:rsid w:val="65D4545B"/>
    <w:rsid w:val="66A90602"/>
    <w:rsid w:val="66E71ABD"/>
    <w:rsid w:val="66FE0665"/>
    <w:rsid w:val="6714103F"/>
    <w:rsid w:val="6796134A"/>
    <w:rsid w:val="67D4452A"/>
    <w:rsid w:val="67F9123D"/>
    <w:rsid w:val="68073446"/>
    <w:rsid w:val="681D2E1D"/>
    <w:rsid w:val="68937494"/>
    <w:rsid w:val="68F225B9"/>
    <w:rsid w:val="69027DAB"/>
    <w:rsid w:val="69502321"/>
    <w:rsid w:val="696D6626"/>
    <w:rsid w:val="696D67D9"/>
    <w:rsid w:val="69BD41C0"/>
    <w:rsid w:val="6A0B1F97"/>
    <w:rsid w:val="6A523496"/>
    <w:rsid w:val="6A561F71"/>
    <w:rsid w:val="6A9112E3"/>
    <w:rsid w:val="6AC96A9C"/>
    <w:rsid w:val="6B1443DF"/>
    <w:rsid w:val="6B452688"/>
    <w:rsid w:val="6B5C1197"/>
    <w:rsid w:val="6BA03644"/>
    <w:rsid w:val="6BAF247F"/>
    <w:rsid w:val="6BDC1495"/>
    <w:rsid w:val="6C0238B4"/>
    <w:rsid w:val="6C365E6D"/>
    <w:rsid w:val="6C4912D3"/>
    <w:rsid w:val="6C981586"/>
    <w:rsid w:val="6CF3063D"/>
    <w:rsid w:val="6D1E1650"/>
    <w:rsid w:val="6D302451"/>
    <w:rsid w:val="6D5614B8"/>
    <w:rsid w:val="6D950C87"/>
    <w:rsid w:val="6DDA2349"/>
    <w:rsid w:val="6E144CA1"/>
    <w:rsid w:val="6E9E28D6"/>
    <w:rsid w:val="6EC52322"/>
    <w:rsid w:val="707B2EC7"/>
    <w:rsid w:val="707F65AE"/>
    <w:rsid w:val="70BC4C44"/>
    <w:rsid w:val="70C27393"/>
    <w:rsid w:val="70C6369C"/>
    <w:rsid w:val="70FE3CD5"/>
    <w:rsid w:val="713C7B16"/>
    <w:rsid w:val="71DA16B2"/>
    <w:rsid w:val="720700A8"/>
    <w:rsid w:val="72496314"/>
    <w:rsid w:val="72655C1C"/>
    <w:rsid w:val="72664955"/>
    <w:rsid w:val="72975208"/>
    <w:rsid w:val="72D07F54"/>
    <w:rsid w:val="737C68B6"/>
    <w:rsid w:val="73DB32D2"/>
    <w:rsid w:val="73FA7827"/>
    <w:rsid w:val="74137961"/>
    <w:rsid w:val="74590680"/>
    <w:rsid w:val="74597CAE"/>
    <w:rsid w:val="74C8338A"/>
    <w:rsid w:val="750B32D5"/>
    <w:rsid w:val="7575333D"/>
    <w:rsid w:val="75822B5B"/>
    <w:rsid w:val="759B1320"/>
    <w:rsid w:val="76132237"/>
    <w:rsid w:val="761F01A1"/>
    <w:rsid w:val="76D12ECB"/>
    <w:rsid w:val="770C334A"/>
    <w:rsid w:val="772B6D84"/>
    <w:rsid w:val="778A2AFA"/>
    <w:rsid w:val="77FE2E80"/>
    <w:rsid w:val="780A042C"/>
    <w:rsid w:val="788634A2"/>
    <w:rsid w:val="788C5EC8"/>
    <w:rsid w:val="78F14461"/>
    <w:rsid w:val="79222925"/>
    <w:rsid w:val="79225AAF"/>
    <w:rsid w:val="795358FF"/>
    <w:rsid w:val="796B6FFF"/>
    <w:rsid w:val="79DD5BA3"/>
    <w:rsid w:val="7A461D6A"/>
    <w:rsid w:val="7A7E40F3"/>
    <w:rsid w:val="7AE43FB6"/>
    <w:rsid w:val="7AF979BF"/>
    <w:rsid w:val="7B1A64C6"/>
    <w:rsid w:val="7B487137"/>
    <w:rsid w:val="7BA358A1"/>
    <w:rsid w:val="7BB51E04"/>
    <w:rsid w:val="7C8B758D"/>
    <w:rsid w:val="7D2B20F5"/>
    <w:rsid w:val="7D465481"/>
    <w:rsid w:val="7D9657DE"/>
    <w:rsid w:val="7DB10C38"/>
    <w:rsid w:val="7EB96523"/>
    <w:rsid w:val="7ED80060"/>
    <w:rsid w:val="7F3506F8"/>
    <w:rsid w:val="7F390848"/>
    <w:rsid w:val="7F4F2B0C"/>
    <w:rsid w:val="7F5A1FB5"/>
    <w:rsid w:val="7F7F5C9C"/>
    <w:rsid w:val="7F9C2535"/>
    <w:rsid w:val="7FA71013"/>
    <w:rsid w:val="7FF640F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1"/>
      <w:lang w:val="en-US" w:eastAsia="zh-CN" w:bidi="ar-SA"/>
    </w:rPr>
  </w:style>
  <w:style w:type="paragraph" w:styleId="2">
    <w:name w:val="heading 1"/>
    <w:basedOn w:val="3"/>
    <w:next w:val="1"/>
    <w:link w:val="180"/>
    <w:qFormat/>
    <w:uiPriority w:val="9"/>
    <w:pPr>
      <w:keepNext/>
      <w:keepLines/>
      <w:numPr>
        <w:ilvl w:val="0"/>
        <w:numId w:val="1"/>
      </w:numPr>
      <w:spacing w:before="0" w:after="0"/>
      <w:ind w:left="431" w:hanging="431"/>
      <w:jc w:val="left"/>
    </w:pPr>
    <w:rPr>
      <w:rFonts w:ascii="Times New Roman" w:hAnsi="Times New Roman"/>
      <w:bCs w:val="0"/>
      <w:kern w:val="44"/>
      <w:sz w:val="30"/>
      <w:szCs w:val="44"/>
    </w:rPr>
  </w:style>
  <w:style w:type="paragraph" w:styleId="4">
    <w:name w:val="heading 2"/>
    <w:basedOn w:val="3"/>
    <w:next w:val="1"/>
    <w:link w:val="171"/>
    <w:qFormat/>
    <w:uiPriority w:val="9"/>
    <w:pPr>
      <w:keepLines/>
      <w:numPr>
        <w:ilvl w:val="1"/>
        <w:numId w:val="1"/>
      </w:numPr>
      <w:spacing w:before="0" w:after="0" w:line="360" w:lineRule="auto"/>
      <w:jc w:val="left"/>
      <w:outlineLvl w:val="1"/>
    </w:pPr>
    <w:rPr>
      <w:rFonts w:ascii="Times New Roman" w:hAnsi="Times New Roman"/>
      <w:bCs w:val="0"/>
      <w:sz w:val="28"/>
    </w:rPr>
  </w:style>
  <w:style w:type="paragraph" w:styleId="5">
    <w:name w:val="heading 3"/>
    <w:basedOn w:val="3"/>
    <w:next w:val="1"/>
    <w:link w:val="188"/>
    <w:qFormat/>
    <w:uiPriority w:val="9"/>
    <w:pPr>
      <w:keepNext/>
      <w:keepLines/>
      <w:numPr>
        <w:ilvl w:val="2"/>
        <w:numId w:val="1"/>
      </w:numPr>
      <w:adjustRightInd w:val="0"/>
      <w:snapToGrid w:val="0"/>
      <w:spacing w:before="0" w:after="0" w:line="360" w:lineRule="auto"/>
      <w:ind w:left="720"/>
      <w:jc w:val="left"/>
      <w:outlineLvl w:val="2"/>
    </w:pPr>
    <w:rPr>
      <w:rFonts w:ascii="Times New Roman" w:hAnsi="Times New Roman"/>
      <w:bCs w:val="0"/>
      <w:sz w:val="24"/>
    </w:rPr>
  </w:style>
  <w:style w:type="paragraph" w:styleId="6">
    <w:name w:val="heading 4"/>
    <w:basedOn w:val="1"/>
    <w:next w:val="1"/>
    <w:link w:val="158"/>
    <w:qFormat/>
    <w:uiPriority w:val="9"/>
    <w:pPr>
      <w:keepNext/>
      <w:keepLines/>
      <w:numPr>
        <w:ilvl w:val="3"/>
        <w:numId w:val="1"/>
      </w:numPr>
      <w:spacing w:line="360" w:lineRule="auto"/>
      <w:ind w:left="862" w:hanging="862"/>
      <w:outlineLvl w:val="3"/>
    </w:pPr>
    <w:rPr>
      <w:rFonts w:cs="Times New Roman"/>
      <w:b/>
      <w:bCs/>
      <w:szCs w:val="28"/>
    </w:rPr>
  </w:style>
  <w:style w:type="paragraph" w:styleId="7">
    <w:name w:val="heading 5"/>
    <w:basedOn w:val="1"/>
    <w:next w:val="1"/>
    <w:link w:val="155"/>
    <w:qFormat/>
    <w:uiPriority w:val="9"/>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157"/>
    <w:qFormat/>
    <w:uiPriority w:val="9"/>
    <w:pPr>
      <w:keepNext/>
      <w:keepLines/>
      <w:numPr>
        <w:ilvl w:val="5"/>
        <w:numId w:val="1"/>
      </w:numPr>
      <w:spacing w:before="240" w:after="64" w:line="320" w:lineRule="auto"/>
      <w:outlineLvl w:val="5"/>
    </w:pPr>
    <w:rPr>
      <w:rFonts w:ascii="Cambria" w:hAnsi="Cambria" w:eastAsia="宋体" w:cs="Times New Roman"/>
      <w:b/>
      <w:bCs/>
      <w:szCs w:val="24"/>
    </w:rPr>
  </w:style>
  <w:style w:type="paragraph" w:styleId="9">
    <w:name w:val="heading 7"/>
    <w:basedOn w:val="1"/>
    <w:next w:val="1"/>
    <w:link w:val="167"/>
    <w:qFormat/>
    <w:uiPriority w:val="9"/>
    <w:pPr>
      <w:keepNext/>
      <w:keepLines/>
      <w:numPr>
        <w:ilvl w:val="6"/>
        <w:numId w:val="1"/>
      </w:numPr>
      <w:spacing w:before="240" w:after="64" w:line="320" w:lineRule="auto"/>
      <w:outlineLvl w:val="6"/>
    </w:pPr>
    <w:rPr>
      <w:b/>
      <w:bCs/>
      <w:szCs w:val="24"/>
    </w:rPr>
  </w:style>
  <w:style w:type="paragraph" w:styleId="10">
    <w:name w:val="heading 8"/>
    <w:basedOn w:val="1"/>
    <w:next w:val="1"/>
    <w:link w:val="181"/>
    <w:qFormat/>
    <w:uiPriority w:val="9"/>
    <w:pPr>
      <w:keepNext/>
      <w:keepLines/>
      <w:numPr>
        <w:ilvl w:val="7"/>
        <w:numId w:val="1"/>
      </w:numPr>
      <w:spacing w:before="240" w:after="64" w:line="320" w:lineRule="auto"/>
      <w:outlineLvl w:val="7"/>
    </w:pPr>
    <w:rPr>
      <w:rFonts w:ascii="Cambria" w:hAnsi="Cambria" w:eastAsia="宋体" w:cs="Times New Roman"/>
      <w:szCs w:val="24"/>
    </w:rPr>
  </w:style>
  <w:style w:type="paragraph" w:styleId="11">
    <w:name w:val="heading 9"/>
    <w:basedOn w:val="1"/>
    <w:next w:val="1"/>
    <w:link w:val="202"/>
    <w:qFormat/>
    <w:uiPriority w:val="0"/>
    <w:pPr>
      <w:keepNext/>
      <w:keepLines/>
      <w:numPr>
        <w:ilvl w:val="8"/>
        <w:numId w:val="1"/>
      </w:numPr>
      <w:spacing w:before="240" w:after="64" w:line="320" w:lineRule="auto"/>
      <w:outlineLvl w:val="8"/>
    </w:pPr>
    <w:rPr>
      <w:rFonts w:ascii="Cambria" w:hAnsi="Cambria" w:eastAsia="宋体" w:cs="Times New Roman"/>
    </w:rPr>
  </w:style>
  <w:style w:type="character" w:default="1" w:styleId="43">
    <w:name w:val="Default Paragraph Font"/>
    <w:unhideWhenUsed/>
    <w:qFormat/>
    <w:uiPriority w:val="1"/>
  </w:style>
  <w:style w:type="table" w:default="1" w:styleId="41">
    <w:name w:val="Normal Table"/>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Title"/>
    <w:basedOn w:val="1"/>
    <w:next w:val="1"/>
    <w:link w:val="191"/>
    <w:qFormat/>
    <w:uiPriority w:val="0"/>
    <w:pPr>
      <w:spacing w:before="240" w:after="60"/>
      <w:jc w:val="center"/>
      <w:outlineLvl w:val="0"/>
    </w:pPr>
    <w:rPr>
      <w:rFonts w:ascii="Cambria" w:hAnsi="Cambria" w:eastAsia="宋体" w:cs="Times New Roman"/>
      <w:b/>
      <w:bCs/>
      <w:sz w:val="32"/>
      <w:szCs w:val="32"/>
    </w:rPr>
  </w:style>
  <w:style w:type="paragraph" w:styleId="12">
    <w:name w:val="toc 7"/>
    <w:basedOn w:val="1"/>
    <w:next w:val="1"/>
    <w:unhideWhenUsed/>
    <w:qFormat/>
    <w:uiPriority w:val="39"/>
    <w:pPr>
      <w:ind w:left="1440"/>
      <w:jc w:val="left"/>
    </w:pPr>
    <w:rPr>
      <w:rFonts w:ascii="Calibri" w:hAnsi="Calibri"/>
      <w:sz w:val="20"/>
      <w:szCs w:val="20"/>
    </w:rPr>
  </w:style>
  <w:style w:type="paragraph" w:styleId="13">
    <w:name w:val="Normal Indent"/>
    <w:basedOn w:val="1"/>
    <w:link w:val="190"/>
    <w:qFormat/>
    <w:uiPriority w:val="0"/>
    <w:pPr>
      <w:ind w:firstLine="560" w:firstLineChars="200"/>
    </w:pPr>
    <w:rPr>
      <w:rFonts w:ascii="Calibri" w:hAnsi="Calibri" w:eastAsia="宋体"/>
      <w:sz w:val="28"/>
    </w:rPr>
  </w:style>
  <w:style w:type="paragraph" w:styleId="14">
    <w:name w:val="caption"/>
    <w:basedOn w:val="1"/>
    <w:next w:val="1"/>
    <w:link w:val="197"/>
    <w:qFormat/>
    <w:uiPriority w:val="99"/>
    <w:pPr>
      <w:spacing w:line="360" w:lineRule="auto"/>
      <w:jc w:val="center"/>
    </w:pPr>
    <w:rPr>
      <w:rFonts w:eastAsia="宋体" w:cs="Times New Roman"/>
      <w:b/>
      <w:szCs w:val="20"/>
    </w:rPr>
  </w:style>
  <w:style w:type="paragraph" w:styleId="15">
    <w:name w:val="Document Map"/>
    <w:basedOn w:val="1"/>
    <w:link w:val="194"/>
    <w:unhideWhenUsed/>
    <w:qFormat/>
    <w:uiPriority w:val="99"/>
    <w:rPr>
      <w:rFonts w:ascii="宋体" w:eastAsia="宋体"/>
      <w:sz w:val="18"/>
      <w:szCs w:val="18"/>
    </w:rPr>
  </w:style>
  <w:style w:type="paragraph" w:styleId="16">
    <w:name w:val="annotation text"/>
    <w:basedOn w:val="1"/>
    <w:link w:val="154"/>
    <w:unhideWhenUsed/>
    <w:qFormat/>
    <w:uiPriority w:val="99"/>
    <w:pPr>
      <w:jc w:val="left"/>
    </w:pPr>
  </w:style>
  <w:style w:type="paragraph" w:styleId="17">
    <w:name w:val="Body Text"/>
    <w:basedOn w:val="1"/>
    <w:next w:val="18"/>
    <w:link w:val="161"/>
    <w:unhideWhenUsed/>
    <w:qFormat/>
    <w:uiPriority w:val="99"/>
    <w:pPr>
      <w:spacing w:after="120"/>
    </w:pPr>
  </w:style>
  <w:style w:type="paragraph" w:customStyle="1" w:styleId="1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9">
    <w:name w:val="Body Text Indent"/>
    <w:basedOn w:val="1"/>
    <w:next w:val="20"/>
    <w:link w:val="153"/>
    <w:unhideWhenUsed/>
    <w:qFormat/>
    <w:uiPriority w:val="99"/>
    <w:pPr>
      <w:spacing w:line="360" w:lineRule="auto"/>
      <w:ind w:firstLine="480"/>
    </w:pPr>
    <w:rPr>
      <w:rFonts w:ascii="宋体" w:hAnsi="宋体" w:eastAsia="宋体" w:cs="Times New Roman"/>
      <w:color w:val="FF6600"/>
      <w:szCs w:val="24"/>
    </w:rPr>
  </w:style>
  <w:style w:type="paragraph" w:styleId="20">
    <w:name w:val="Body Text First Indent 2"/>
    <w:basedOn w:val="19"/>
    <w:next w:val="1"/>
    <w:link w:val="144"/>
    <w:unhideWhenUsed/>
    <w:qFormat/>
    <w:uiPriority w:val="99"/>
    <w:pPr>
      <w:spacing w:after="120" w:line="240" w:lineRule="auto"/>
      <w:ind w:left="420" w:leftChars="200" w:firstLine="420" w:firstLineChars="200"/>
    </w:pPr>
    <w:rPr>
      <w:rFonts w:ascii="Times New Roman" w:hAnsi="Times New Roman" w:eastAsia="宋体" w:cs="Times New Roman"/>
      <w:color w:val="auto"/>
      <w:szCs w:val="21"/>
    </w:rPr>
  </w:style>
  <w:style w:type="paragraph" w:styleId="21">
    <w:name w:val="List 2"/>
    <w:basedOn w:val="1"/>
    <w:qFormat/>
    <w:uiPriority w:val="0"/>
    <w:pPr>
      <w:adjustRightInd w:val="0"/>
      <w:snapToGrid w:val="0"/>
      <w:spacing w:line="360" w:lineRule="auto"/>
      <w:ind w:left="100" w:leftChars="200" w:hanging="200" w:hangingChars="200"/>
    </w:pPr>
    <w:rPr>
      <w:rFonts w:eastAsia="宋体" w:cs="Times New Roman"/>
      <w:szCs w:val="24"/>
    </w:rPr>
  </w:style>
  <w:style w:type="paragraph" w:styleId="22">
    <w:name w:val="toc 5"/>
    <w:basedOn w:val="1"/>
    <w:next w:val="1"/>
    <w:unhideWhenUsed/>
    <w:qFormat/>
    <w:uiPriority w:val="39"/>
    <w:pPr>
      <w:ind w:left="960"/>
      <w:jc w:val="left"/>
    </w:pPr>
    <w:rPr>
      <w:rFonts w:ascii="Calibri" w:hAnsi="Calibri"/>
      <w:sz w:val="20"/>
      <w:szCs w:val="20"/>
    </w:rPr>
  </w:style>
  <w:style w:type="paragraph" w:styleId="23">
    <w:name w:val="toc 3"/>
    <w:basedOn w:val="1"/>
    <w:next w:val="1"/>
    <w:unhideWhenUsed/>
    <w:qFormat/>
    <w:uiPriority w:val="39"/>
    <w:pPr>
      <w:ind w:left="480"/>
      <w:jc w:val="left"/>
    </w:pPr>
    <w:rPr>
      <w:rFonts w:ascii="Calibri" w:hAnsi="Calibri"/>
      <w:sz w:val="20"/>
      <w:szCs w:val="20"/>
    </w:rPr>
  </w:style>
  <w:style w:type="paragraph" w:styleId="24">
    <w:name w:val="Plain Text"/>
    <w:basedOn w:val="1"/>
    <w:link w:val="189"/>
    <w:unhideWhenUsed/>
    <w:qFormat/>
    <w:uiPriority w:val="0"/>
    <w:rPr>
      <w:rFonts w:ascii="宋体" w:hAnsi="Courier New" w:eastAsia="宋体" w:cs="Times New Roman"/>
      <w:sz w:val="21"/>
      <w:szCs w:val="20"/>
    </w:rPr>
  </w:style>
  <w:style w:type="paragraph" w:styleId="25">
    <w:name w:val="toc 8"/>
    <w:basedOn w:val="1"/>
    <w:next w:val="1"/>
    <w:unhideWhenUsed/>
    <w:qFormat/>
    <w:uiPriority w:val="39"/>
    <w:pPr>
      <w:ind w:left="1680"/>
      <w:jc w:val="left"/>
    </w:pPr>
    <w:rPr>
      <w:rFonts w:ascii="Calibri" w:hAnsi="Calibri"/>
      <w:sz w:val="20"/>
      <w:szCs w:val="20"/>
    </w:rPr>
  </w:style>
  <w:style w:type="paragraph" w:styleId="26">
    <w:name w:val="Date"/>
    <w:basedOn w:val="1"/>
    <w:next w:val="1"/>
    <w:qFormat/>
    <w:uiPriority w:val="0"/>
    <w:pPr>
      <w:ind w:left="100" w:leftChars="2500"/>
    </w:pPr>
  </w:style>
  <w:style w:type="paragraph" w:styleId="27">
    <w:name w:val="Body Text Indent 2"/>
    <w:basedOn w:val="1"/>
    <w:link w:val="174"/>
    <w:qFormat/>
    <w:uiPriority w:val="0"/>
    <w:pPr>
      <w:spacing w:after="120" w:line="480" w:lineRule="auto"/>
      <w:ind w:left="420" w:leftChars="200"/>
    </w:pPr>
    <w:rPr>
      <w:rFonts w:ascii="Calibri" w:hAnsi="Calibri" w:eastAsia="宋体" w:cs="Times New Roman"/>
      <w:sz w:val="21"/>
      <w:szCs w:val="20"/>
    </w:rPr>
  </w:style>
  <w:style w:type="paragraph" w:styleId="28">
    <w:name w:val="Balloon Text"/>
    <w:basedOn w:val="1"/>
    <w:link w:val="186"/>
    <w:unhideWhenUsed/>
    <w:qFormat/>
    <w:uiPriority w:val="99"/>
    <w:rPr>
      <w:sz w:val="18"/>
      <w:szCs w:val="18"/>
    </w:rPr>
  </w:style>
  <w:style w:type="paragraph" w:styleId="29">
    <w:name w:val="footer"/>
    <w:basedOn w:val="1"/>
    <w:link w:val="148"/>
    <w:unhideWhenUsed/>
    <w:qFormat/>
    <w:uiPriority w:val="0"/>
    <w:pPr>
      <w:tabs>
        <w:tab w:val="center" w:pos="4153"/>
        <w:tab w:val="right" w:pos="8306"/>
      </w:tabs>
      <w:snapToGrid w:val="0"/>
      <w:jc w:val="left"/>
    </w:pPr>
    <w:rPr>
      <w:sz w:val="18"/>
      <w:szCs w:val="18"/>
    </w:rPr>
  </w:style>
  <w:style w:type="paragraph" w:styleId="30">
    <w:name w:val="header"/>
    <w:basedOn w:val="1"/>
    <w:link w:val="176"/>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unhideWhenUsed/>
    <w:qFormat/>
    <w:uiPriority w:val="39"/>
    <w:pPr>
      <w:spacing w:before="240" w:after="120"/>
      <w:jc w:val="left"/>
    </w:pPr>
    <w:rPr>
      <w:rFonts w:ascii="Calibri" w:hAnsi="Calibri"/>
      <w:b/>
      <w:bCs/>
      <w:sz w:val="20"/>
      <w:szCs w:val="20"/>
    </w:rPr>
  </w:style>
  <w:style w:type="paragraph" w:styleId="32">
    <w:name w:val="toc 4"/>
    <w:basedOn w:val="1"/>
    <w:next w:val="1"/>
    <w:unhideWhenUsed/>
    <w:qFormat/>
    <w:uiPriority w:val="39"/>
    <w:pPr>
      <w:ind w:left="720"/>
      <w:jc w:val="left"/>
    </w:pPr>
    <w:rPr>
      <w:rFonts w:ascii="Calibri" w:hAnsi="Calibri"/>
      <w:sz w:val="20"/>
      <w:szCs w:val="20"/>
    </w:rPr>
  </w:style>
  <w:style w:type="paragraph" w:styleId="33">
    <w:name w:val="toc 6"/>
    <w:basedOn w:val="1"/>
    <w:next w:val="1"/>
    <w:unhideWhenUsed/>
    <w:qFormat/>
    <w:uiPriority w:val="39"/>
    <w:pPr>
      <w:ind w:left="1200"/>
      <w:jc w:val="left"/>
    </w:pPr>
    <w:rPr>
      <w:rFonts w:ascii="Calibri" w:hAnsi="Calibri"/>
      <w:sz w:val="20"/>
      <w:szCs w:val="20"/>
    </w:rPr>
  </w:style>
  <w:style w:type="paragraph" w:styleId="34">
    <w:name w:val="toc 2"/>
    <w:basedOn w:val="1"/>
    <w:next w:val="1"/>
    <w:unhideWhenUsed/>
    <w:qFormat/>
    <w:uiPriority w:val="39"/>
    <w:pPr>
      <w:spacing w:before="120"/>
      <w:ind w:left="240"/>
      <w:jc w:val="left"/>
    </w:pPr>
    <w:rPr>
      <w:rFonts w:ascii="Calibri" w:hAnsi="Calibri"/>
      <w:i/>
      <w:iCs/>
      <w:sz w:val="20"/>
      <w:szCs w:val="20"/>
    </w:rPr>
  </w:style>
  <w:style w:type="paragraph" w:styleId="35">
    <w:name w:val="toc 9"/>
    <w:basedOn w:val="1"/>
    <w:next w:val="1"/>
    <w:unhideWhenUsed/>
    <w:qFormat/>
    <w:uiPriority w:val="39"/>
    <w:pPr>
      <w:ind w:left="1920"/>
      <w:jc w:val="left"/>
    </w:pPr>
    <w:rPr>
      <w:rFonts w:ascii="Calibri" w:hAnsi="Calibri"/>
      <w:sz w:val="20"/>
      <w:szCs w:val="20"/>
    </w:rPr>
  </w:style>
  <w:style w:type="paragraph" w:styleId="36">
    <w:name w:val="Body Text 2"/>
    <w:basedOn w:val="1"/>
    <w:link w:val="149"/>
    <w:qFormat/>
    <w:uiPriority w:val="0"/>
    <w:pPr>
      <w:adjustRightInd w:val="0"/>
      <w:snapToGrid w:val="0"/>
      <w:spacing w:after="120" w:line="480" w:lineRule="auto"/>
      <w:ind w:firstLine="200" w:firstLineChars="200"/>
    </w:pPr>
    <w:rPr>
      <w:rFonts w:eastAsia="宋体" w:cs="Times New Roman"/>
      <w:szCs w:val="24"/>
    </w:rPr>
  </w:style>
  <w:style w:type="paragraph" w:styleId="37">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38">
    <w:name w:val="index 1"/>
    <w:basedOn w:val="1"/>
    <w:next w:val="1"/>
    <w:qFormat/>
    <w:uiPriority w:val="0"/>
    <w:rPr>
      <w:rFonts w:eastAsia="宋体" w:cs="Times New Roman"/>
      <w:sz w:val="21"/>
      <w:szCs w:val="24"/>
    </w:rPr>
  </w:style>
  <w:style w:type="paragraph" w:styleId="39">
    <w:name w:val="annotation subject"/>
    <w:basedOn w:val="16"/>
    <w:next w:val="16"/>
    <w:link w:val="137"/>
    <w:unhideWhenUsed/>
    <w:qFormat/>
    <w:uiPriority w:val="99"/>
    <w:rPr>
      <w:b/>
      <w:bCs/>
    </w:rPr>
  </w:style>
  <w:style w:type="paragraph" w:styleId="40">
    <w:name w:val="Body Text First Indent"/>
    <w:basedOn w:val="17"/>
    <w:link w:val="170"/>
    <w:unhideWhenUsed/>
    <w:qFormat/>
    <w:uiPriority w:val="99"/>
    <w:pPr>
      <w:ind w:firstLine="420" w:firstLineChars="100"/>
    </w:pPr>
  </w:style>
  <w:style w:type="table" w:styleId="42">
    <w:name w:val="Table Grid"/>
    <w:basedOn w:val="41"/>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Hyperlink"/>
    <w:unhideWhenUsed/>
    <w:qFormat/>
    <w:uiPriority w:val="99"/>
    <w:rPr>
      <w:color w:val="0000FF"/>
      <w:u w:val="single"/>
    </w:rPr>
  </w:style>
  <w:style w:type="character" w:styleId="45">
    <w:name w:val="annotation reference"/>
    <w:unhideWhenUsed/>
    <w:qFormat/>
    <w:uiPriority w:val="0"/>
    <w:rPr>
      <w:sz w:val="21"/>
      <w:szCs w:val="21"/>
    </w:rPr>
  </w:style>
  <w:style w:type="paragraph" w:customStyle="1" w:styleId="46">
    <w:name w:val="表文"/>
    <w:basedOn w:val="1"/>
    <w:link w:val="164"/>
    <w:qFormat/>
    <w:uiPriority w:val="0"/>
    <w:pPr>
      <w:tabs>
        <w:tab w:val="left" w:pos="1021"/>
      </w:tabs>
      <w:jc w:val="center"/>
    </w:pPr>
    <w:rPr>
      <w:rFonts w:eastAsia="宋体" w:cs="Times New Roman"/>
      <w:position w:val="-24"/>
      <w:sz w:val="21"/>
    </w:rPr>
  </w:style>
  <w:style w:type="paragraph" w:customStyle="1" w:styleId="47">
    <w:name w:val="正文5"/>
    <w:qFormat/>
    <w:uiPriority w:val="0"/>
    <w:pPr>
      <w:jc w:val="both"/>
    </w:pPr>
    <w:rPr>
      <w:rFonts w:ascii="Times New Roman" w:hAnsi="Times New Roman" w:eastAsia="宋体" w:cs="Times New Roman"/>
      <w:kern w:val="2"/>
      <w:sz w:val="21"/>
      <w:szCs w:val="21"/>
      <w:lang w:val="en-US" w:eastAsia="zh-CN" w:bidi="ar-SA"/>
    </w:rPr>
  </w:style>
  <w:style w:type="paragraph" w:customStyle="1" w:styleId="48">
    <w:name w:val="表头"/>
    <w:next w:val="1"/>
    <w:link w:val="198"/>
    <w:qFormat/>
    <w:uiPriority w:val="0"/>
    <w:pPr>
      <w:widowControl w:val="0"/>
      <w:adjustRightInd w:val="0"/>
      <w:snapToGrid w:val="0"/>
      <w:spacing w:line="480" w:lineRule="exact"/>
      <w:ind w:firstLine="2048" w:firstLineChars="850"/>
      <w:jc w:val="both"/>
    </w:pPr>
    <w:rPr>
      <w:rFonts w:ascii="宋体" w:hAnsi="宋体" w:eastAsia="Times New Roman" w:cs="Times New Roman"/>
      <w:b/>
      <w:color w:val="000000"/>
      <w:kern w:val="2"/>
      <w:sz w:val="24"/>
      <w:szCs w:val="24"/>
      <w:lang w:val="en-US" w:eastAsia="zh-CN" w:bidi="ar-SA"/>
    </w:rPr>
  </w:style>
  <w:style w:type="paragraph" w:customStyle="1" w:styleId="49">
    <w:name w:val="列出段落4"/>
    <w:basedOn w:val="1"/>
    <w:qFormat/>
    <w:uiPriority w:val="0"/>
    <w:pPr>
      <w:autoSpaceDE w:val="0"/>
      <w:autoSpaceDN w:val="0"/>
      <w:spacing w:before="43"/>
      <w:ind w:left="1557" w:hanging="605"/>
      <w:jc w:val="left"/>
    </w:pPr>
    <w:rPr>
      <w:rFonts w:ascii="宋体" w:hAnsi="宋体" w:eastAsia="宋体" w:cs="宋体"/>
      <w:kern w:val="0"/>
      <w:sz w:val="22"/>
      <w:szCs w:val="22"/>
    </w:rPr>
  </w:style>
  <w:style w:type="paragraph" w:customStyle="1" w:styleId="50">
    <w:name w:val="表文字"/>
    <w:basedOn w:val="1"/>
    <w:link w:val="179"/>
    <w:qFormat/>
    <w:uiPriority w:val="0"/>
    <w:pPr>
      <w:overflowPunct w:val="0"/>
      <w:autoSpaceDE w:val="0"/>
      <w:autoSpaceDN w:val="0"/>
      <w:adjustRightInd w:val="0"/>
      <w:jc w:val="center"/>
    </w:pPr>
    <w:rPr>
      <w:rFonts w:eastAsia="宋体" w:cs="Times New Roman"/>
      <w:kern w:val="0"/>
      <w:szCs w:val="20"/>
    </w:rPr>
  </w:style>
  <w:style w:type="paragraph" w:customStyle="1" w:styleId="51">
    <w:name w:val="正文11"/>
    <w:qFormat/>
    <w:uiPriority w:val="0"/>
    <w:pPr>
      <w:jc w:val="both"/>
    </w:pPr>
    <w:rPr>
      <w:rFonts w:ascii="Calibri" w:hAnsi="Calibri" w:eastAsia="宋体" w:cs="宋体"/>
      <w:kern w:val="2"/>
      <w:sz w:val="21"/>
      <w:szCs w:val="21"/>
      <w:lang w:val="en-US" w:eastAsia="zh-CN" w:bidi="ar-SA"/>
    </w:rPr>
  </w:style>
  <w:style w:type="paragraph" w:customStyle="1" w:styleId="52">
    <w:name w:val="表标题"/>
    <w:basedOn w:val="1"/>
    <w:link w:val="172"/>
    <w:qFormat/>
    <w:uiPriority w:val="0"/>
    <w:pPr>
      <w:jc w:val="center"/>
    </w:pPr>
    <w:rPr>
      <w:rFonts w:eastAsia="宋体"/>
      <w:b/>
      <w:kern w:val="0"/>
      <w:sz w:val="21"/>
      <w:szCs w:val="20"/>
    </w:rPr>
  </w:style>
  <w:style w:type="paragraph" w:customStyle="1" w:styleId="53">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54">
    <w:name w:val="正文3"/>
    <w:qFormat/>
    <w:uiPriority w:val="0"/>
    <w:pPr>
      <w:jc w:val="both"/>
    </w:pPr>
    <w:rPr>
      <w:rFonts w:ascii="Calibri" w:hAnsi="Calibri" w:eastAsia="宋体" w:cs="Calibri"/>
      <w:kern w:val="2"/>
      <w:sz w:val="21"/>
      <w:szCs w:val="21"/>
      <w:lang w:val="en-US" w:eastAsia="zh-CN" w:bidi="ar-SA"/>
    </w:rPr>
  </w:style>
  <w:style w:type="paragraph" w:customStyle="1" w:styleId="55">
    <w:name w:val="正文2"/>
    <w:qFormat/>
    <w:uiPriority w:val="0"/>
    <w:pPr>
      <w:jc w:val="both"/>
    </w:pPr>
    <w:rPr>
      <w:rFonts w:ascii="Calibri" w:hAnsi="Calibri" w:eastAsia="宋体" w:cs="Calibri"/>
      <w:kern w:val="2"/>
      <w:sz w:val="21"/>
      <w:szCs w:val="21"/>
      <w:lang w:val="en-US" w:eastAsia="zh-CN" w:bidi="ar-SA"/>
    </w:rPr>
  </w:style>
  <w:style w:type="paragraph" w:customStyle="1" w:styleId="56">
    <w:name w:val="表头-丽"/>
    <w:basedOn w:val="1"/>
    <w:qFormat/>
    <w:uiPriority w:val="0"/>
    <w:pPr>
      <w:spacing w:before="120" w:after="120"/>
      <w:jc w:val="center"/>
    </w:pPr>
    <w:rPr>
      <w:rFonts w:ascii="黑体" w:hAnsi="黑体" w:eastAsia="黑体" w:cs="黑体"/>
      <w:b/>
      <w:bCs/>
      <w:sz w:val="21"/>
    </w:rPr>
  </w:style>
  <w:style w:type="paragraph" w:customStyle="1" w:styleId="57">
    <w:name w:val="样式 标题 3 + 黑色"/>
    <w:basedOn w:val="5"/>
    <w:link w:val="200"/>
    <w:qFormat/>
    <w:uiPriority w:val="0"/>
    <w:pPr>
      <w:numPr>
        <w:ilvl w:val="0"/>
        <w:numId w:val="0"/>
      </w:numPr>
      <w:adjustRightInd/>
      <w:snapToGrid/>
      <w:spacing w:before="130" w:after="130" w:line="415" w:lineRule="auto"/>
      <w:jc w:val="both"/>
    </w:pPr>
    <w:rPr>
      <w:rFonts w:eastAsia="黑体" w:cs="Times New Roman"/>
      <w:b w:val="0"/>
      <w:bCs/>
      <w:color w:val="000000"/>
    </w:rPr>
  </w:style>
  <w:style w:type="paragraph" w:customStyle="1" w:styleId="58">
    <w:name w:val="文章正文样式"/>
    <w:basedOn w:val="1"/>
    <w:link w:val="156"/>
    <w:qFormat/>
    <w:uiPriority w:val="0"/>
    <w:pPr>
      <w:spacing w:line="520" w:lineRule="exact"/>
      <w:ind w:firstLine="480" w:firstLineChars="200"/>
      <w:jc w:val="left"/>
    </w:pPr>
    <w:rPr>
      <w:rFonts w:ascii="宋体" w:hAnsi="宋体" w:eastAsia="宋体" w:cs="宋体"/>
      <w:szCs w:val="24"/>
    </w:rPr>
  </w:style>
  <w:style w:type="paragraph" w:customStyle="1" w:styleId="59">
    <w:name w:val="列出段落1"/>
    <w:basedOn w:val="1"/>
    <w:semiHidden/>
    <w:qFormat/>
    <w:uiPriority w:val="34"/>
    <w:pPr>
      <w:ind w:firstLine="420" w:firstLineChars="200"/>
    </w:pPr>
  </w:style>
  <w:style w:type="paragraph" w:customStyle="1" w:styleId="60">
    <w:name w:val="Char2"/>
    <w:basedOn w:val="1"/>
    <w:qFormat/>
    <w:uiPriority w:val="0"/>
    <w:rPr>
      <w:rFonts w:eastAsia="宋体" w:cs="Times New Roman"/>
      <w:sz w:val="21"/>
      <w:szCs w:val="24"/>
    </w:rPr>
  </w:style>
  <w:style w:type="paragraph" w:customStyle="1" w:styleId="61">
    <w:name w:val="表格内容样式"/>
    <w:basedOn w:val="1"/>
    <w:link w:val="147"/>
    <w:qFormat/>
    <w:uiPriority w:val="0"/>
    <w:pPr>
      <w:jc w:val="center"/>
    </w:pPr>
    <w:rPr>
      <w:sz w:val="21"/>
      <w:szCs w:val="22"/>
    </w:rPr>
  </w:style>
  <w:style w:type="paragraph" w:customStyle="1" w:styleId="62">
    <w:name w:val="正文12"/>
    <w:qFormat/>
    <w:uiPriority w:val="0"/>
    <w:pPr>
      <w:jc w:val="both"/>
    </w:pPr>
    <w:rPr>
      <w:rFonts w:ascii="Calibri" w:hAnsi="Calibri" w:eastAsia="宋体" w:cs="宋体"/>
      <w:kern w:val="2"/>
      <w:sz w:val="21"/>
      <w:szCs w:val="21"/>
      <w:lang w:val="en-US" w:eastAsia="zh-CN" w:bidi="ar-SA"/>
    </w:rPr>
  </w:style>
  <w:style w:type="paragraph" w:customStyle="1" w:styleId="63">
    <w:name w:val="报告文本"/>
    <w:link w:val="183"/>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64">
    <w:name w:val="正文1"/>
    <w:basedOn w:val="1"/>
    <w:link w:val="199"/>
    <w:qFormat/>
    <w:uiPriority w:val="0"/>
    <w:pPr>
      <w:adjustRightInd w:val="0"/>
      <w:snapToGrid w:val="0"/>
      <w:spacing w:before="60" w:line="460" w:lineRule="exact"/>
      <w:ind w:firstLine="200" w:firstLineChars="200"/>
    </w:pPr>
    <w:rPr>
      <w:rFonts w:eastAsia="宋体" w:cs="Times New Roman"/>
      <w:szCs w:val="20"/>
    </w:rPr>
  </w:style>
  <w:style w:type="paragraph" w:customStyle="1" w:styleId="65">
    <w:name w:val="样式 表格内文字 + (中文) 楷体_GB2312 五号 两端对齐 行距: 固定值 12 磅"/>
    <w:basedOn w:val="1"/>
    <w:qFormat/>
    <w:uiPriority w:val="0"/>
    <w:pPr>
      <w:spacing w:line="240" w:lineRule="exact"/>
    </w:pPr>
    <w:rPr>
      <w:rFonts w:eastAsia="楷体_GB2312" w:cs="楷体_GB2312"/>
      <w:sz w:val="21"/>
    </w:rPr>
  </w:style>
  <w:style w:type="paragraph" w:customStyle="1" w:styleId="66">
    <w:name w:val="列出段落2"/>
    <w:basedOn w:val="1"/>
    <w:qFormat/>
    <w:uiPriority w:val="0"/>
    <w:pPr>
      <w:autoSpaceDE w:val="0"/>
      <w:autoSpaceDN w:val="0"/>
      <w:ind w:left="1546" w:hanging="602"/>
      <w:jc w:val="left"/>
    </w:pPr>
    <w:rPr>
      <w:rFonts w:ascii="宋体" w:hAnsi="宋体" w:eastAsia="宋体" w:cs="宋体"/>
      <w:kern w:val="0"/>
      <w:sz w:val="22"/>
      <w:szCs w:val="22"/>
    </w:rPr>
  </w:style>
  <w:style w:type="paragraph" w:customStyle="1" w:styleId="67">
    <w:name w:val="正文19"/>
    <w:qFormat/>
    <w:uiPriority w:val="0"/>
    <w:pPr>
      <w:jc w:val="both"/>
    </w:pPr>
    <w:rPr>
      <w:rFonts w:ascii="Calibri" w:hAnsi="Calibri" w:eastAsia="宋体" w:cs="宋体"/>
      <w:kern w:val="2"/>
      <w:sz w:val="21"/>
      <w:szCs w:val="21"/>
      <w:lang w:val="en-US" w:eastAsia="zh-CN" w:bidi="ar-SA"/>
    </w:rPr>
  </w:style>
  <w:style w:type="paragraph" w:styleId="68">
    <w:name w:val="No Spacing"/>
    <w:link w:val="193"/>
    <w:qFormat/>
    <w:uiPriority w:val="99"/>
    <w:pPr>
      <w:widowControl w:val="0"/>
      <w:jc w:val="both"/>
    </w:pPr>
    <w:rPr>
      <w:rFonts w:ascii="宋体" w:hAnsi="Calibri" w:eastAsia="宋体" w:cs="Times New Roman"/>
      <w:kern w:val="2"/>
      <w:sz w:val="22"/>
      <w:szCs w:val="28"/>
      <w:lang w:val="en-US" w:eastAsia="zh-CN" w:bidi="ar-SA"/>
    </w:rPr>
  </w:style>
  <w:style w:type="paragraph" w:customStyle="1" w:styleId="69">
    <w:name w:val="本文正文"/>
    <w:basedOn w:val="1"/>
    <w:qFormat/>
    <w:uiPriority w:val="0"/>
    <w:pPr>
      <w:spacing w:before="156" w:after="156" w:line="360" w:lineRule="auto"/>
      <w:ind w:firstLine="480" w:firstLineChars="200"/>
    </w:pPr>
    <w:rPr>
      <w:rFonts w:ascii="宋体" w:hAnsi="宋体" w:eastAsia="宋体" w:cs="宋体"/>
      <w:szCs w:val="20"/>
    </w:rPr>
  </w:style>
  <w:style w:type="paragraph" w:customStyle="1" w:styleId="70">
    <w:name w:val="环科院正文"/>
    <w:basedOn w:val="1"/>
    <w:link w:val="146"/>
    <w:qFormat/>
    <w:uiPriority w:val="0"/>
    <w:pPr>
      <w:tabs>
        <w:tab w:val="left" w:pos="5760"/>
      </w:tabs>
      <w:spacing w:line="500" w:lineRule="exact"/>
      <w:ind w:firstLine="480" w:firstLineChars="200"/>
    </w:pPr>
    <w:rPr>
      <w:rFonts w:ascii="Calibri" w:hAnsi="宋体"/>
      <w:bCs/>
      <w:kern w:val="0"/>
      <w:szCs w:val="24"/>
      <w:lang w:val="zh-CN"/>
    </w:rPr>
  </w:style>
  <w:style w:type="paragraph" w:customStyle="1" w:styleId="71">
    <w:name w:val="正文6"/>
    <w:qFormat/>
    <w:uiPriority w:val="0"/>
    <w:pPr>
      <w:jc w:val="both"/>
    </w:pPr>
    <w:rPr>
      <w:rFonts w:ascii="Calibri" w:hAnsi="Calibri" w:eastAsia="宋体" w:cs="宋体"/>
      <w:kern w:val="2"/>
      <w:sz w:val="21"/>
      <w:szCs w:val="21"/>
      <w:lang w:val="en-US" w:eastAsia="zh-CN" w:bidi="ar-SA"/>
    </w:rPr>
  </w:style>
  <w:style w:type="paragraph" w:customStyle="1" w:styleId="72">
    <w:name w:val="Char"/>
    <w:basedOn w:val="1"/>
    <w:qFormat/>
    <w:uiPriority w:val="0"/>
    <w:rPr>
      <w:rFonts w:eastAsia="宋体" w:cs="Times New Roman"/>
      <w:sz w:val="21"/>
      <w:szCs w:val="24"/>
    </w:rPr>
  </w:style>
  <w:style w:type="paragraph" w:customStyle="1" w:styleId="73">
    <w:name w:val="表字体"/>
    <w:basedOn w:val="1"/>
    <w:next w:val="1"/>
    <w:link w:val="145"/>
    <w:qFormat/>
    <w:uiPriority w:val="0"/>
    <w:pPr>
      <w:jc w:val="center"/>
    </w:pPr>
    <w:rPr>
      <w:rFonts w:eastAsia="宋体"/>
      <w:kern w:val="0"/>
      <w:sz w:val="21"/>
      <w:szCs w:val="20"/>
    </w:rPr>
  </w:style>
  <w:style w:type="paragraph" w:customStyle="1" w:styleId="74">
    <w:name w:val="TOC 标题1"/>
    <w:basedOn w:val="2"/>
    <w:next w:val="1"/>
    <w:unhideWhenUsed/>
    <w:qFormat/>
    <w:uiPriority w:val="39"/>
    <w:pPr>
      <w:widowControl/>
      <w:numPr>
        <w:ilvl w:val="0"/>
        <w:numId w:val="0"/>
      </w:numPr>
      <w:spacing w:before="480" w:line="276" w:lineRule="auto"/>
      <w:outlineLvl w:val="9"/>
    </w:pPr>
    <w:rPr>
      <w:rFonts w:ascii="Cambria" w:hAnsi="Cambria" w:eastAsia="宋体"/>
      <w:bCs/>
      <w:color w:val="366091"/>
      <w:kern w:val="0"/>
      <w:szCs w:val="28"/>
    </w:rPr>
  </w:style>
  <w:style w:type="paragraph" w:customStyle="1" w:styleId="75">
    <w:name w:val="正文13"/>
    <w:qFormat/>
    <w:uiPriority w:val="0"/>
    <w:pPr>
      <w:jc w:val="both"/>
    </w:pPr>
    <w:rPr>
      <w:rFonts w:ascii="Calibri" w:hAnsi="Calibri" w:eastAsia="宋体" w:cs="宋体"/>
      <w:kern w:val="2"/>
      <w:sz w:val="21"/>
      <w:szCs w:val="21"/>
      <w:lang w:val="en-US" w:eastAsia="zh-CN" w:bidi="ar-SA"/>
    </w:rPr>
  </w:style>
  <w:style w:type="paragraph" w:customStyle="1" w:styleId="76">
    <w:name w:val="固定表格"/>
    <w:basedOn w:val="1"/>
    <w:qFormat/>
    <w:uiPriority w:val="0"/>
    <w:pPr>
      <w:spacing w:line="360" w:lineRule="exact"/>
      <w:jc w:val="center"/>
    </w:pPr>
    <w:rPr>
      <w:rFonts w:eastAsia="宋体" w:cs="Times New Roman"/>
      <w:sz w:val="21"/>
    </w:rPr>
  </w:style>
  <w:style w:type="paragraph" w:customStyle="1" w:styleId="77">
    <w:name w:val="正文7"/>
    <w:qFormat/>
    <w:uiPriority w:val="0"/>
    <w:pPr>
      <w:jc w:val="both"/>
    </w:pPr>
    <w:rPr>
      <w:rFonts w:ascii="Calibri" w:hAnsi="Calibri" w:eastAsia="宋体" w:cs="宋体"/>
      <w:kern w:val="2"/>
      <w:sz w:val="21"/>
      <w:szCs w:val="21"/>
      <w:lang w:val="en-US" w:eastAsia="zh-CN" w:bidi="ar-SA"/>
    </w:rPr>
  </w:style>
  <w:style w:type="paragraph" w:customStyle="1" w:styleId="78">
    <w:name w:val="修订1"/>
    <w:semiHidden/>
    <w:qFormat/>
    <w:uiPriority w:val="99"/>
    <w:rPr>
      <w:rFonts w:ascii="Times New Roman" w:hAnsi="Times New Roman" w:eastAsia="宋体" w:cs="Times New Roman"/>
      <w:kern w:val="2"/>
      <w:sz w:val="24"/>
      <w:szCs w:val="21"/>
      <w:lang w:val="en-US" w:eastAsia="zh-CN" w:bidi="ar-SA"/>
    </w:rPr>
  </w:style>
  <w:style w:type="paragraph" w:customStyle="1" w:styleId="79">
    <w:name w:val="RJL表格"/>
    <w:basedOn w:val="1"/>
    <w:link w:val="169"/>
    <w:qFormat/>
    <w:uiPriority w:val="0"/>
    <w:pPr>
      <w:jc w:val="center"/>
    </w:pPr>
    <w:rPr>
      <w:rFonts w:eastAsia="宋体" w:cs="Times New Roman"/>
      <w:sz w:val="21"/>
      <w:szCs w:val="22"/>
    </w:rPr>
  </w:style>
  <w:style w:type="paragraph" w:customStyle="1" w:styleId="80">
    <w:name w:val="正文（源通）"/>
    <w:basedOn w:val="1"/>
    <w:qFormat/>
    <w:uiPriority w:val="0"/>
    <w:pPr>
      <w:widowControl/>
      <w:spacing w:line="360" w:lineRule="auto"/>
      <w:ind w:firstLine="480" w:firstLineChars="200"/>
    </w:pPr>
    <w:rPr>
      <w:rFonts w:eastAsia="Times New Roman" w:cs="宋体"/>
      <w:color w:val="FF0000"/>
      <w:kern w:val="0"/>
      <w:sz w:val="20"/>
      <w:szCs w:val="20"/>
    </w:rPr>
  </w:style>
  <w:style w:type="paragraph" w:customStyle="1" w:styleId="81">
    <w:name w:val="7表格文字"/>
    <w:basedOn w:val="1"/>
    <w:link w:val="139"/>
    <w:qFormat/>
    <w:uiPriority w:val="0"/>
    <w:pPr>
      <w:jc w:val="center"/>
    </w:pPr>
    <w:rPr>
      <w:rFonts w:eastAsia="宋体" w:cs="Times New Roman"/>
      <w:sz w:val="21"/>
      <w:szCs w:val="24"/>
    </w:rPr>
  </w:style>
  <w:style w:type="paragraph" w:customStyle="1" w:styleId="82">
    <w:name w:val="样式1"/>
    <w:basedOn w:val="1"/>
    <w:qFormat/>
    <w:uiPriority w:val="0"/>
    <w:pPr>
      <w:adjustRightInd w:val="0"/>
      <w:spacing w:line="480" w:lineRule="atLeast"/>
      <w:ind w:firstLine="539"/>
    </w:pPr>
    <w:rPr>
      <w:rFonts w:ascii="Calibri" w:hAnsi="Calibri" w:eastAsia="仿宋_GB2312" w:cs="宋体"/>
      <w:kern w:val="0"/>
      <w:sz w:val="28"/>
      <w:szCs w:val="28"/>
    </w:rPr>
  </w:style>
  <w:style w:type="paragraph" w:customStyle="1" w:styleId="83">
    <w:name w:val="正文15"/>
    <w:qFormat/>
    <w:uiPriority w:val="0"/>
    <w:pPr>
      <w:jc w:val="both"/>
    </w:pPr>
    <w:rPr>
      <w:rFonts w:ascii="Calibri" w:hAnsi="Calibri" w:eastAsia="宋体" w:cs="宋体"/>
      <w:kern w:val="2"/>
      <w:sz w:val="21"/>
      <w:szCs w:val="21"/>
      <w:lang w:val="en-US" w:eastAsia="zh-CN" w:bidi="ar-SA"/>
    </w:rPr>
  </w:style>
  <w:style w:type="paragraph" w:customStyle="1" w:styleId="84">
    <w:name w:val="表格"/>
    <w:basedOn w:val="1"/>
    <w:next w:val="1"/>
    <w:link w:val="187"/>
    <w:qFormat/>
    <w:uiPriority w:val="0"/>
    <w:pPr>
      <w:adjustRightInd w:val="0"/>
      <w:spacing w:before="40" w:after="40"/>
      <w:textAlignment w:val="baseline"/>
    </w:pPr>
    <w:rPr>
      <w:rFonts w:ascii="昆仑仿宋" w:eastAsia="昆仑仿宋" w:cs="Times New Roman"/>
      <w:kern w:val="0"/>
      <w:szCs w:val="20"/>
    </w:rPr>
  </w:style>
  <w:style w:type="paragraph" w:customStyle="1" w:styleId="85">
    <w:name w:val="表格内"/>
    <w:basedOn w:val="1"/>
    <w:next w:val="1"/>
    <w:qFormat/>
    <w:uiPriority w:val="0"/>
    <w:pPr>
      <w:widowControl/>
      <w:jc w:val="center"/>
    </w:pPr>
    <w:rPr>
      <w:rFonts w:ascii="宋体" w:hAnsi="宋体" w:eastAsia="宋体" w:cs="Times New Roman"/>
      <w:sz w:val="21"/>
      <w:szCs w:val="24"/>
    </w:rPr>
  </w:style>
  <w:style w:type="paragraph" w:customStyle="1" w:styleId="86">
    <w:name w:val="正文01"/>
    <w:basedOn w:val="13"/>
    <w:link w:val="152"/>
    <w:qFormat/>
    <w:uiPriority w:val="0"/>
    <w:pPr>
      <w:spacing w:line="360" w:lineRule="auto"/>
      <w:ind w:firstLine="480"/>
    </w:pPr>
    <w:rPr>
      <w:sz w:val="24"/>
    </w:rPr>
  </w:style>
  <w:style w:type="paragraph" w:customStyle="1" w:styleId="87">
    <w:name w:val="文本框 Char Char Char Char Char Char"/>
    <w:basedOn w:val="1"/>
    <w:qFormat/>
    <w:uiPriority w:val="0"/>
    <w:pPr>
      <w:adjustRightInd w:val="0"/>
      <w:snapToGrid w:val="0"/>
      <w:spacing w:line="300" w:lineRule="exact"/>
      <w:jc w:val="center"/>
    </w:pPr>
    <w:rPr>
      <w:rFonts w:eastAsia="宋体" w:cs="Times New Roman"/>
      <w:szCs w:val="24"/>
    </w:rPr>
  </w:style>
  <w:style w:type="paragraph" w:customStyle="1" w:styleId="88">
    <w:name w:val="正文 A"/>
    <w:basedOn w:val="1"/>
    <w:qFormat/>
    <w:uiPriority w:val="0"/>
    <w:rPr>
      <w:rFonts w:ascii="Calibri" w:hAnsi="Calibri" w:eastAsia="Arial Unicode MS" w:cs="Arial Unicode MS"/>
      <w:color w:val="000000"/>
      <w:sz w:val="21"/>
    </w:rPr>
  </w:style>
  <w:style w:type="paragraph" w:customStyle="1" w:styleId="89">
    <w:name w:val="p0"/>
    <w:basedOn w:val="1"/>
    <w:qFormat/>
    <w:uiPriority w:val="0"/>
    <w:pPr>
      <w:widowControl/>
      <w:spacing w:before="100" w:beforeAutospacing="1" w:after="100" w:afterAutospacing="1"/>
      <w:jc w:val="left"/>
    </w:pPr>
    <w:rPr>
      <w:rFonts w:ascii="宋体" w:hAnsi="宋体" w:eastAsia="宋体" w:cs="宋体"/>
      <w:kern w:val="0"/>
      <w:szCs w:val="24"/>
    </w:rPr>
  </w:style>
  <w:style w:type="paragraph" w:customStyle="1" w:styleId="90">
    <w:name w:val="表 头"/>
    <w:basedOn w:val="1"/>
    <w:link w:val="178"/>
    <w:qFormat/>
    <w:uiPriority w:val="0"/>
    <w:pPr>
      <w:tabs>
        <w:tab w:val="left" w:pos="0"/>
      </w:tabs>
      <w:adjustRightInd w:val="0"/>
      <w:snapToGrid w:val="0"/>
      <w:spacing w:line="520" w:lineRule="exact"/>
      <w:ind w:firstLine="470" w:firstLineChars="196"/>
    </w:pPr>
    <w:rPr>
      <w:rFonts w:ascii="黑体" w:hAnsi="宋体" w:eastAsia="黑体" w:cs="Arial"/>
      <w:kern w:val="24"/>
      <w:szCs w:val="24"/>
      <w:lang w:val="zh-CN"/>
    </w:rPr>
  </w:style>
  <w:style w:type="paragraph" w:customStyle="1" w:styleId="91">
    <w:name w:val="p15"/>
    <w:basedOn w:val="1"/>
    <w:qFormat/>
    <w:uiPriority w:val="0"/>
    <w:pPr>
      <w:widowControl/>
      <w:spacing w:line="360" w:lineRule="auto"/>
      <w:ind w:firstLine="420"/>
    </w:pPr>
    <w:rPr>
      <w:rFonts w:eastAsia="宋体" w:cs="Times New Roman"/>
      <w:kern w:val="0"/>
      <w:szCs w:val="24"/>
    </w:rPr>
  </w:style>
  <w:style w:type="paragraph" w:customStyle="1" w:styleId="92">
    <w:name w:val="列表段落1"/>
    <w:basedOn w:val="1"/>
    <w:qFormat/>
    <w:uiPriority w:val="0"/>
    <w:pPr>
      <w:widowControl/>
      <w:spacing w:line="360" w:lineRule="auto"/>
      <w:ind w:firstLine="420" w:firstLineChars="200"/>
    </w:pPr>
    <w:rPr>
      <w:rFonts w:ascii="Calibri" w:hAnsi="Calibri" w:eastAsia="宋体" w:cs="宋体"/>
      <w:kern w:val="0"/>
      <w:szCs w:val="24"/>
    </w:rPr>
  </w:style>
  <w:style w:type="paragraph" w:customStyle="1" w:styleId="93">
    <w:name w:val="标题4"/>
    <w:basedOn w:val="6"/>
    <w:qFormat/>
    <w:uiPriority w:val="0"/>
  </w:style>
  <w:style w:type="paragraph" w:customStyle="1" w:styleId="94">
    <w:name w:val="正本文字"/>
    <w:basedOn w:val="1"/>
    <w:qFormat/>
    <w:uiPriority w:val="0"/>
    <w:pPr>
      <w:adjustRightInd w:val="0"/>
      <w:snapToGrid w:val="0"/>
      <w:spacing w:line="360" w:lineRule="auto"/>
      <w:ind w:firstLine="480" w:firstLineChars="200"/>
      <w:jc w:val="left"/>
    </w:pPr>
    <w:rPr>
      <w:rFonts w:eastAsia="宋体" w:cs="宋体"/>
      <w:kern w:val="18"/>
      <w:szCs w:val="24"/>
    </w:rPr>
  </w:style>
  <w:style w:type="paragraph" w:customStyle="1" w:styleId="95">
    <w:name w:val="HJ-表格内容"/>
    <w:basedOn w:val="1"/>
    <w:link w:val="204"/>
    <w:qFormat/>
    <w:uiPriority w:val="0"/>
    <w:pPr>
      <w:widowControl/>
      <w:adjustRightInd w:val="0"/>
      <w:snapToGrid w:val="0"/>
      <w:jc w:val="center"/>
    </w:pPr>
    <w:rPr>
      <w:rFonts w:eastAsia="宋体" w:cs="Times New Roman"/>
      <w:color w:val="000000"/>
      <w:kern w:val="0"/>
      <w:sz w:val="21"/>
    </w:rPr>
  </w:style>
  <w:style w:type="paragraph" w:customStyle="1" w:styleId="96">
    <w:name w:val="表格内容"/>
    <w:basedOn w:val="1"/>
    <w:qFormat/>
    <w:uiPriority w:val="0"/>
    <w:pPr>
      <w:adjustRightInd w:val="0"/>
      <w:snapToGrid w:val="0"/>
      <w:spacing w:line="240" w:lineRule="atLeast"/>
      <w:jc w:val="center"/>
    </w:pPr>
    <w:rPr>
      <w:rFonts w:eastAsia="宋体" w:cs="Times New Roman"/>
      <w:snapToGrid w:val="0"/>
      <w:kern w:val="0"/>
      <w:sz w:val="21"/>
      <w:szCs w:val="24"/>
    </w:rPr>
  </w:style>
  <w:style w:type="paragraph" w:customStyle="1" w:styleId="97">
    <w:name w:val="ZH正文"/>
    <w:basedOn w:val="1"/>
    <w:qFormat/>
    <w:uiPriority w:val="0"/>
    <w:pPr>
      <w:spacing w:line="360" w:lineRule="auto"/>
      <w:ind w:firstLine="200" w:firstLineChars="200"/>
    </w:pPr>
    <w:rPr>
      <w:rFonts w:eastAsia="宋体" w:cs="Times New Roman"/>
      <w:szCs w:val="24"/>
    </w:rPr>
  </w:style>
  <w:style w:type="paragraph" w:customStyle="1" w:styleId="98">
    <w:name w:val="正文001"/>
    <w:basedOn w:val="1"/>
    <w:link w:val="185"/>
    <w:qFormat/>
    <w:uiPriority w:val="0"/>
    <w:pPr>
      <w:adjustRightInd w:val="0"/>
      <w:snapToGrid w:val="0"/>
      <w:spacing w:before="60" w:line="420" w:lineRule="exact"/>
      <w:ind w:firstLine="482" w:firstLineChars="200"/>
    </w:pPr>
    <w:rPr>
      <w:rFonts w:ascii="Calibri" w:hAnsi="Calibri"/>
    </w:rPr>
  </w:style>
  <w:style w:type="paragraph" w:customStyle="1" w:styleId="99">
    <w:name w:val="Char3"/>
    <w:basedOn w:val="1"/>
    <w:qFormat/>
    <w:uiPriority w:val="0"/>
    <w:rPr>
      <w:rFonts w:eastAsia="黑体" w:cs="Times New Roman"/>
      <w:b/>
      <w:bCs/>
      <w:snapToGrid w:val="0"/>
      <w:kern w:val="0"/>
      <w:szCs w:val="24"/>
    </w:rPr>
  </w:style>
  <w:style w:type="paragraph" w:customStyle="1" w:styleId="100">
    <w:name w:val="修订2"/>
    <w:semiHidden/>
    <w:qFormat/>
    <w:uiPriority w:val="99"/>
    <w:rPr>
      <w:rFonts w:ascii="Times New Roman" w:hAnsi="Times New Roman" w:eastAsia="宋体" w:cs="Times New Roman"/>
      <w:kern w:val="2"/>
      <w:sz w:val="24"/>
      <w:szCs w:val="21"/>
      <w:lang w:val="en-US" w:eastAsia="zh-CN" w:bidi="ar-SA"/>
    </w:rPr>
  </w:style>
  <w:style w:type="paragraph" w:styleId="101">
    <w:name w:val="List Paragraph"/>
    <w:basedOn w:val="1"/>
    <w:qFormat/>
    <w:uiPriority w:val="1"/>
    <w:pPr>
      <w:ind w:firstLine="420" w:firstLineChars="200"/>
    </w:pPr>
  </w:style>
  <w:style w:type="paragraph" w:customStyle="1" w:styleId="102">
    <w:name w:val="正文9"/>
    <w:qFormat/>
    <w:uiPriority w:val="0"/>
    <w:pPr>
      <w:jc w:val="both"/>
    </w:pPr>
    <w:rPr>
      <w:rFonts w:ascii="Calibri" w:hAnsi="Calibri" w:eastAsia="宋体" w:cs="宋体"/>
      <w:kern w:val="2"/>
      <w:sz w:val="21"/>
      <w:szCs w:val="21"/>
      <w:lang w:val="en-US" w:eastAsia="zh-CN" w:bidi="ar-SA"/>
    </w:rPr>
  </w:style>
  <w:style w:type="paragraph" w:customStyle="1" w:styleId="103">
    <w:name w:val="样式 宋体 小四 行距: 固定值 26 磅1"/>
    <w:basedOn w:val="1"/>
    <w:qFormat/>
    <w:uiPriority w:val="0"/>
    <w:pPr>
      <w:spacing w:line="460" w:lineRule="exact"/>
      <w:ind w:firstLine="480" w:firstLineChars="200"/>
    </w:pPr>
    <w:rPr>
      <w:rFonts w:ascii="宋体" w:hAnsi="宋体" w:eastAsia="宋体" w:cs="宋体"/>
      <w:szCs w:val="24"/>
    </w:rPr>
  </w:style>
  <w:style w:type="paragraph" w:customStyle="1" w:styleId="104">
    <w:name w:val="_Style 5"/>
    <w:basedOn w:val="1"/>
    <w:qFormat/>
    <w:uiPriority w:val="0"/>
    <w:pPr>
      <w:widowControl/>
      <w:jc w:val="left"/>
    </w:pPr>
    <w:rPr>
      <w:rFonts w:ascii="宋体" w:hAnsi="宋体" w:eastAsia="宋体" w:cs="宋体"/>
      <w:kern w:val="0"/>
      <w:szCs w:val="24"/>
    </w:rPr>
  </w:style>
  <w:style w:type="paragraph" w:customStyle="1" w:styleId="105">
    <w:name w:val="列出段落3"/>
    <w:basedOn w:val="1"/>
    <w:qFormat/>
    <w:uiPriority w:val="0"/>
    <w:pPr>
      <w:autoSpaceDE w:val="0"/>
      <w:autoSpaceDN w:val="0"/>
      <w:ind w:left="1347" w:hanging="602"/>
      <w:jc w:val="left"/>
    </w:pPr>
    <w:rPr>
      <w:rFonts w:ascii="宋体" w:hAnsi="宋体" w:eastAsia="宋体" w:cs="宋体"/>
      <w:kern w:val="0"/>
      <w:sz w:val="22"/>
      <w:szCs w:val="22"/>
    </w:rPr>
  </w:style>
  <w:style w:type="paragraph" w:customStyle="1" w:styleId="106">
    <w:name w:val="正文16"/>
    <w:qFormat/>
    <w:uiPriority w:val="0"/>
    <w:pPr>
      <w:jc w:val="both"/>
    </w:pPr>
    <w:rPr>
      <w:rFonts w:ascii="Times New Roman" w:hAnsi="Times New Roman" w:eastAsia="宋体" w:cs="Times New Roman"/>
      <w:kern w:val="2"/>
      <w:sz w:val="21"/>
      <w:szCs w:val="21"/>
      <w:lang w:val="en-US" w:eastAsia="zh-CN" w:bidi="ar-SA"/>
    </w:rPr>
  </w:style>
  <w:style w:type="paragraph" w:customStyle="1" w:styleId="107">
    <w:name w:val="无间隔2"/>
    <w:qFormat/>
    <w:uiPriority w:val="1"/>
    <w:pPr>
      <w:jc w:val="center"/>
    </w:pPr>
    <w:rPr>
      <w:rFonts w:ascii="Times New Roman" w:hAnsi="Times New Roman" w:eastAsia="宋体" w:cs="Times New Roman"/>
      <w:sz w:val="21"/>
      <w:szCs w:val="22"/>
      <w:lang w:val="en-US" w:eastAsia="zh-CN" w:bidi="ar-SA"/>
    </w:rPr>
  </w:style>
  <w:style w:type="paragraph" w:customStyle="1" w:styleId="108">
    <w:name w:val="报告书正文 Char Char Char"/>
    <w:basedOn w:val="1"/>
    <w:qFormat/>
    <w:uiPriority w:val="0"/>
    <w:pPr>
      <w:spacing w:line="300" w:lineRule="auto"/>
      <w:ind w:firstLine="480" w:firstLineChars="200"/>
    </w:pPr>
    <w:rPr>
      <w:rFonts w:ascii="宋体" w:hAnsi="宋体" w:eastAsia="宋体" w:cs="Times New Roman"/>
      <w:szCs w:val="20"/>
    </w:rPr>
  </w:style>
  <w:style w:type="paragraph" w:customStyle="1" w:styleId="109">
    <w:name w:val="本文格式"/>
    <w:basedOn w:val="1"/>
    <w:qFormat/>
    <w:uiPriority w:val="0"/>
    <w:pPr>
      <w:spacing w:line="360" w:lineRule="exact"/>
      <w:ind w:firstLine="476"/>
    </w:pPr>
    <w:rPr>
      <w:rFonts w:ascii="Arial Unicode MS" w:hAnsi="Arial Unicode MS" w:eastAsia="Arial Unicode MS" w:cs="Arial Unicode MS"/>
      <w:color w:val="000000"/>
      <w:kern w:val="0"/>
      <w:szCs w:val="24"/>
    </w:rPr>
  </w:style>
  <w:style w:type="paragraph" w:customStyle="1" w:styleId="110">
    <w:name w:val="我的正文"/>
    <w:basedOn w:val="1"/>
    <w:qFormat/>
    <w:uiPriority w:val="0"/>
    <w:pPr>
      <w:widowControl/>
      <w:spacing w:line="360" w:lineRule="auto"/>
      <w:ind w:firstLine="200" w:firstLineChars="200"/>
    </w:pPr>
    <w:rPr>
      <w:rFonts w:eastAsia="宋体" w:cs="Times New Roman"/>
      <w:kern w:val="0"/>
      <w:szCs w:val="22"/>
      <w:lang w:val="en-GB"/>
    </w:rPr>
  </w:style>
  <w:style w:type="paragraph" w:customStyle="1" w:styleId="111">
    <w:name w:val="样式 样式 样式 首行缩进:  2 字符 + 居中 + 行距: 固定值 17 磅"/>
    <w:basedOn w:val="1"/>
    <w:link w:val="165"/>
    <w:qFormat/>
    <w:uiPriority w:val="0"/>
    <w:pPr>
      <w:adjustRightInd w:val="0"/>
      <w:snapToGrid w:val="0"/>
      <w:spacing w:line="340" w:lineRule="exact"/>
      <w:jc w:val="center"/>
    </w:pPr>
    <w:rPr>
      <w:rFonts w:ascii="Calibri" w:hAnsi="Calibri" w:eastAsia="宋体" w:cs="宋体"/>
      <w:color w:val="000000"/>
      <w:sz w:val="21"/>
      <w:szCs w:val="20"/>
    </w:rPr>
  </w:style>
  <w:style w:type="paragraph" w:customStyle="1" w:styleId="112">
    <w:name w:val="Table Paragraph"/>
    <w:basedOn w:val="1"/>
    <w:qFormat/>
    <w:uiPriority w:val="1"/>
    <w:pPr>
      <w:autoSpaceDE w:val="0"/>
      <w:autoSpaceDN w:val="0"/>
      <w:jc w:val="center"/>
    </w:pPr>
    <w:rPr>
      <w:rFonts w:ascii="宋体" w:hAnsi="宋体" w:eastAsia="宋体" w:cs="宋体"/>
      <w:kern w:val="0"/>
      <w:sz w:val="22"/>
      <w:szCs w:val="22"/>
    </w:rPr>
  </w:style>
  <w:style w:type="paragraph" w:customStyle="1" w:styleId="113">
    <w:name w:val="HJ-正文"/>
    <w:basedOn w:val="1"/>
    <w:qFormat/>
    <w:uiPriority w:val="0"/>
    <w:pPr>
      <w:adjustRightInd w:val="0"/>
      <w:snapToGrid w:val="0"/>
      <w:spacing w:line="360" w:lineRule="auto"/>
      <w:ind w:firstLine="200" w:firstLineChars="200"/>
    </w:pPr>
    <w:rPr>
      <w:rFonts w:eastAsia="宋体" w:cs="Calibri"/>
      <w:szCs w:val="24"/>
    </w:rPr>
  </w:style>
  <w:style w:type="paragraph" w:customStyle="1" w:styleId="114">
    <w:name w:val="表格文字"/>
    <w:basedOn w:val="40"/>
    <w:next w:val="1"/>
    <w:link w:val="162"/>
    <w:qFormat/>
    <w:uiPriority w:val="0"/>
    <w:pPr>
      <w:adjustRightInd w:val="0"/>
      <w:snapToGrid w:val="0"/>
      <w:spacing w:after="0" w:line="360" w:lineRule="auto"/>
      <w:ind w:firstLine="0" w:firstLineChars="0"/>
      <w:jc w:val="center"/>
    </w:pPr>
    <w:rPr>
      <w:rFonts w:ascii="Calibri" w:hAnsi="Calibri" w:eastAsia="宋体"/>
      <w:sz w:val="21"/>
    </w:rPr>
  </w:style>
  <w:style w:type="paragraph" w:customStyle="1" w:styleId="115">
    <w:name w:val="表格1"/>
    <w:basedOn w:val="1"/>
    <w:qFormat/>
    <w:uiPriority w:val="0"/>
    <w:pPr>
      <w:adjustRightInd w:val="0"/>
      <w:jc w:val="center"/>
      <w:textAlignment w:val="baseline"/>
    </w:pPr>
    <w:rPr>
      <w:rFonts w:ascii="宋体" w:eastAsia="宋体" w:cs="Times New Roman"/>
      <w:kern w:val="0"/>
      <w:sz w:val="20"/>
      <w:szCs w:val="20"/>
    </w:rPr>
  </w:style>
  <w:style w:type="paragraph" w:customStyle="1" w:styleId="116">
    <w:name w:val="表格中文字"/>
    <w:basedOn w:val="1"/>
    <w:qFormat/>
    <w:uiPriority w:val="0"/>
    <w:pPr>
      <w:adjustRightInd w:val="0"/>
      <w:snapToGrid w:val="0"/>
      <w:jc w:val="center"/>
    </w:pPr>
    <w:rPr>
      <w:rFonts w:eastAsia="宋体" w:cs="Times New Roman"/>
      <w:kern w:val="18"/>
      <w:sz w:val="21"/>
    </w:rPr>
  </w:style>
  <w:style w:type="paragraph" w:customStyle="1" w:styleId="117">
    <w:name w:val="Date1"/>
    <w:basedOn w:val="1"/>
    <w:next w:val="1"/>
    <w:qFormat/>
    <w:uiPriority w:val="0"/>
    <w:pPr>
      <w:adjustRightInd w:val="0"/>
      <w:textAlignment w:val="baseline"/>
    </w:pPr>
    <w:rPr>
      <w:rFonts w:eastAsia="宋体" w:cs="Times New Roman"/>
      <w:sz w:val="21"/>
    </w:rPr>
  </w:style>
  <w:style w:type="paragraph" w:customStyle="1" w:styleId="118">
    <w:name w:val="文本"/>
    <w:basedOn w:val="1"/>
    <w:qFormat/>
    <w:uiPriority w:val="0"/>
    <w:pPr>
      <w:adjustRightInd w:val="0"/>
      <w:snapToGrid w:val="0"/>
      <w:spacing w:line="360" w:lineRule="auto"/>
      <w:ind w:firstLine="200" w:firstLineChars="200"/>
    </w:pPr>
    <w:rPr>
      <w:rFonts w:eastAsia="仿宋_GB2312" w:cs="Times New Roman"/>
      <w:sz w:val="28"/>
      <w:szCs w:val="24"/>
    </w:rPr>
  </w:style>
  <w:style w:type="paragraph" w:customStyle="1" w:styleId="1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0">
    <w:name w:val="acee正文"/>
    <w:basedOn w:val="1"/>
    <w:qFormat/>
    <w:uiPriority w:val="0"/>
    <w:pPr>
      <w:adjustRightInd w:val="0"/>
      <w:snapToGrid w:val="0"/>
      <w:spacing w:line="480" w:lineRule="exact"/>
      <w:ind w:firstLine="640"/>
    </w:pPr>
    <w:rPr>
      <w:rFonts w:ascii="仿宋_GB2312" w:hAnsi="宋体" w:eastAsia="仿宋_GB2312" w:cs="Times New Roman"/>
      <w:sz w:val="32"/>
    </w:rPr>
  </w:style>
  <w:style w:type="paragraph" w:customStyle="1" w:styleId="121">
    <w:name w:val="表内文字小21"/>
    <w:qFormat/>
    <w:uiPriority w:val="0"/>
    <w:pPr>
      <w:widowControl w:val="0"/>
      <w:adjustRightInd w:val="0"/>
      <w:snapToGrid w:val="0"/>
      <w:spacing w:line="360" w:lineRule="auto"/>
      <w:jc w:val="center"/>
    </w:pPr>
    <w:rPr>
      <w:rFonts w:ascii="宋体" w:hAnsi="Times" w:eastAsia="宋体" w:cs="Times New Roman"/>
      <w:bCs/>
      <w:color w:val="000000"/>
      <w:kern w:val="2"/>
      <w:sz w:val="24"/>
      <w:szCs w:val="20"/>
      <w:lang w:val="en-US" w:eastAsia="zh-CN" w:bidi="ar-SA"/>
    </w:rPr>
  </w:style>
  <w:style w:type="paragraph" w:customStyle="1" w:styleId="122">
    <w:name w:val="正文8"/>
    <w:qFormat/>
    <w:uiPriority w:val="0"/>
    <w:pPr>
      <w:jc w:val="both"/>
    </w:pPr>
    <w:rPr>
      <w:rFonts w:ascii="Calibri" w:hAnsi="Calibri" w:eastAsia="宋体" w:cs="宋体"/>
      <w:kern w:val="2"/>
      <w:sz w:val="21"/>
      <w:szCs w:val="21"/>
      <w:lang w:val="en-US" w:eastAsia="zh-CN" w:bidi="ar-SA"/>
    </w:rPr>
  </w:style>
  <w:style w:type="paragraph" w:customStyle="1" w:styleId="123">
    <w:name w:val="报告"/>
    <w:basedOn w:val="1"/>
    <w:link w:val="173"/>
    <w:qFormat/>
    <w:uiPriority w:val="0"/>
    <w:pPr>
      <w:overflowPunct w:val="0"/>
      <w:autoSpaceDE w:val="0"/>
      <w:autoSpaceDN w:val="0"/>
      <w:adjustRightInd w:val="0"/>
      <w:snapToGrid w:val="0"/>
      <w:spacing w:beforeLines="30" w:afterLines="30" w:line="400" w:lineRule="atLeast"/>
      <w:ind w:left="-25" w:leftChars="-12" w:firstLine="480" w:firstLineChars="200"/>
      <w:textAlignment w:val="baseline"/>
    </w:pPr>
    <w:rPr>
      <w:rFonts w:ascii="Calibri" w:hAnsi="Calibri" w:eastAsia="宋体"/>
    </w:rPr>
  </w:style>
  <w:style w:type="paragraph" w:customStyle="1" w:styleId="124">
    <w:name w:val="表中文字"/>
    <w:basedOn w:val="1"/>
    <w:qFormat/>
    <w:uiPriority w:val="0"/>
    <w:pPr>
      <w:adjustRightInd w:val="0"/>
      <w:ind w:left="-2" w:leftChars="-1"/>
      <w:jc w:val="center"/>
    </w:pPr>
    <w:rPr>
      <w:rFonts w:eastAsia="宋体" w:cs="Times New Roman"/>
      <w:kern w:val="0"/>
      <w:sz w:val="20"/>
      <w:szCs w:val="20"/>
    </w:rPr>
  </w:style>
  <w:style w:type="paragraph" w:customStyle="1" w:styleId="125">
    <w:name w:val="默认 A"/>
    <w:basedOn w:val="1"/>
    <w:qFormat/>
    <w:uiPriority w:val="0"/>
    <w:pPr>
      <w:widowControl/>
      <w:jc w:val="left"/>
    </w:pPr>
    <w:rPr>
      <w:rFonts w:ascii="Helvetica" w:hAnsi="Helvetica" w:eastAsia="Arial Unicode MS" w:cs="Arial Unicode MS"/>
      <w:color w:val="000000"/>
      <w:kern w:val="0"/>
      <w:sz w:val="22"/>
      <w:szCs w:val="22"/>
    </w:rPr>
  </w:style>
  <w:style w:type="paragraph" w:customStyle="1" w:styleId="126">
    <w:name w:val="正文18"/>
    <w:qFormat/>
    <w:uiPriority w:val="0"/>
    <w:pPr>
      <w:jc w:val="both"/>
    </w:pPr>
    <w:rPr>
      <w:rFonts w:ascii="Calibri" w:hAnsi="Calibri" w:eastAsia="宋体" w:cs="宋体"/>
      <w:kern w:val="2"/>
      <w:sz w:val="21"/>
      <w:szCs w:val="21"/>
      <w:lang w:val="en-US" w:eastAsia="zh-CN" w:bidi="ar-SA"/>
    </w:rPr>
  </w:style>
  <w:style w:type="paragraph" w:customStyle="1" w:styleId="127">
    <w:name w:val="正文10"/>
    <w:qFormat/>
    <w:uiPriority w:val="0"/>
    <w:pPr>
      <w:jc w:val="both"/>
    </w:pPr>
    <w:rPr>
      <w:rFonts w:ascii="Calibri" w:hAnsi="Calibri" w:eastAsia="宋体" w:cs="宋体"/>
      <w:kern w:val="2"/>
      <w:sz w:val="21"/>
      <w:szCs w:val="21"/>
      <w:lang w:val="en-US" w:eastAsia="zh-CN" w:bidi="ar-SA"/>
    </w:rPr>
  </w:style>
  <w:style w:type="paragraph" w:customStyle="1" w:styleId="128">
    <w:name w:val="表格标题"/>
    <w:basedOn w:val="14"/>
    <w:semiHidden/>
    <w:qFormat/>
    <w:uiPriority w:val="0"/>
    <w:pPr>
      <w:spacing w:line="240" w:lineRule="auto"/>
    </w:pPr>
    <w:rPr>
      <w:rFonts w:ascii="宋体" w:hAnsi="宋体" w:cs="宋体"/>
      <w:b w:val="0"/>
      <w:sz w:val="21"/>
      <w:szCs w:val="21"/>
    </w:rPr>
  </w:style>
  <w:style w:type="paragraph" w:customStyle="1" w:styleId="129">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Times New Roman"/>
      <w:kern w:val="0"/>
      <w:sz w:val="21"/>
      <w:szCs w:val="20"/>
    </w:rPr>
  </w:style>
  <w:style w:type="paragraph" w:customStyle="1" w:styleId="130">
    <w:name w:val="样式 列表 2 + 华文仿宋 居中"/>
    <w:basedOn w:val="21"/>
    <w:qFormat/>
    <w:uiPriority w:val="0"/>
    <w:pPr>
      <w:spacing w:line="240" w:lineRule="exact"/>
      <w:ind w:left="0" w:leftChars="0" w:firstLine="0" w:firstLineChars="0"/>
    </w:pPr>
    <w:rPr>
      <w:rFonts w:ascii="宋体" w:hAnsi="宋体"/>
      <w:color w:val="000000"/>
      <w:sz w:val="18"/>
      <w:szCs w:val="18"/>
    </w:rPr>
  </w:style>
  <w:style w:type="paragraph" w:customStyle="1" w:styleId="131">
    <w:name w:val="正文14"/>
    <w:qFormat/>
    <w:uiPriority w:val="0"/>
    <w:pPr>
      <w:jc w:val="both"/>
    </w:pPr>
    <w:rPr>
      <w:rFonts w:ascii="Calibri" w:hAnsi="Calibri" w:eastAsia="宋体" w:cs="宋体"/>
      <w:kern w:val="2"/>
      <w:sz w:val="21"/>
      <w:szCs w:val="21"/>
      <w:lang w:val="en-US" w:eastAsia="zh-CN" w:bidi="ar-SA"/>
    </w:rPr>
  </w:style>
  <w:style w:type="paragraph" w:customStyle="1" w:styleId="132">
    <w:name w:val="正文-游"/>
    <w:basedOn w:val="17"/>
    <w:link w:val="175"/>
    <w:qFormat/>
    <w:uiPriority w:val="0"/>
    <w:pPr>
      <w:adjustRightInd w:val="0"/>
      <w:snapToGrid w:val="0"/>
      <w:spacing w:after="0" w:line="360" w:lineRule="auto"/>
      <w:ind w:firstLine="482"/>
    </w:pPr>
    <w:rPr>
      <w:rFonts w:eastAsia="宋体" w:cs="Times New Roman"/>
      <w:bCs/>
      <w:color w:val="FF0000"/>
      <w:szCs w:val="24"/>
    </w:rPr>
  </w:style>
  <w:style w:type="paragraph" w:customStyle="1" w:styleId="133">
    <w:name w:val="Char1"/>
    <w:basedOn w:val="1"/>
    <w:qFormat/>
    <w:uiPriority w:val="0"/>
    <w:rPr>
      <w:rFonts w:eastAsia="宋体" w:cs="Times New Roman"/>
      <w:sz w:val="21"/>
      <w:szCs w:val="24"/>
    </w:rPr>
  </w:style>
  <w:style w:type="paragraph" w:customStyle="1" w:styleId="134">
    <w:name w:val="报告正文"/>
    <w:basedOn w:val="1"/>
    <w:qFormat/>
    <w:uiPriority w:val="0"/>
    <w:pPr>
      <w:snapToGrid/>
      <w:ind w:firstLine="480" w:firstLineChars="200"/>
      <w:jc w:val="both"/>
    </w:pPr>
    <w:rPr>
      <w:bCs/>
      <w:szCs w:val="24"/>
    </w:rPr>
  </w:style>
  <w:style w:type="paragraph" w:customStyle="1" w:styleId="135">
    <w:name w:val="环评正文"/>
    <w:basedOn w:val="1"/>
    <w:semiHidden/>
    <w:qFormat/>
    <w:uiPriority w:val="0"/>
    <w:pPr>
      <w:adjustRightInd w:val="0"/>
      <w:ind w:firstLine="480" w:firstLineChars="200"/>
    </w:pPr>
    <w:rPr>
      <w:rFonts w:eastAsia="宋体" w:cs="Times New Roman"/>
      <w:szCs w:val="24"/>
    </w:rPr>
  </w:style>
  <w:style w:type="paragraph" w:customStyle="1" w:styleId="136">
    <w:name w:val="正文17"/>
    <w:qFormat/>
    <w:uiPriority w:val="0"/>
    <w:pPr>
      <w:jc w:val="both"/>
    </w:pPr>
    <w:rPr>
      <w:rFonts w:ascii="Calibri" w:hAnsi="Calibri" w:eastAsia="宋体" w:cs="宋体"/>
      <w:kern w:val="2"/>
      <w:sz w:val="21"/>
      <w:szCs w:val="21"/>
      <w:lang w:val="en-US" w:eastAsia="zh-CN" w:bidi="ar-SA"/>
    </w:rPr>
  </w:style>
  <w:style w:type="character" w:customStyle="1" w:styleId="137">
    <w:name w:val="批注主题 Char"/>
    <w:link w:val="39"/>
    <w:semiHidden/>
    <w:qFormat/>
    <w:uiPriority w:val="99"/>
    <w:rPr>
      <w:rFonts w:ascii="Times New Roman" w:hAnsi="Times New Roman"/>
      <w:b/>
      <w:bCs/>
      <w:sz w:val="24"/>
    </w:rPr>
  </w:style>
  <w:style w:type="character" w:customStyle="1" w:styleId="138">
    <w:name w:val="不明显强调2"/>
    <w:qFormat/>
    <w:uiPriority w:val="0"/>
    <w:rPr>
      <w:rFonts w:hAnsi="Times New Roman"/>
      <w:b/>
      <w:bCs/>
      <w:color w:val="000000"/>
      <w:sz w:val="28"/>
      <w:szCs w:val="28"/>
    </w:rPr>
  </w:style>
  <w:style w:type="character" w:customStyle="1" w:styleId="139">
    <w:name w:val="7表格文字 Char"/>
    <w:link w:val="81"/>
    <w:qFormat/>
    <w:uiPriority w:val="0"/>
    <w:rPr>
      <w:rFonts w:hint="default" w:ascii="Times New Roman" w:hAnsi="Times New Roman" w:eastAsia="宋体" w:cs="Times New Roman"/>
      <w:kern w:val="2"/>
      <w:sz w:val="21"/>
      <w:szCs w:val="24"/>
    </w:rPr>
  </w:style>
  <w:style w:type="character" w:customStyle="1" w:styleId="140">
    <w:name w:val="表头 Char Char"/>
    <w:qFormat/>
    <w:uiPriority w:val="0"/>
    <w:rPr>
      <w:rFonts w:eastAsia="黑体"/>
      <w:kern w:val="2"/>
      <w:sz w:val="24"/>
      <w:szCs w:val="24"/>
      <w:lang w:val="en-US" w:eastAsia="zh-CN"/>
    </w:rPr>
  </w:style>
  <w:style w:type="character" w:customStyle="1" w:styleId="141">
    <w:name w:val="样式2 Char"/>
    <w:qFormat/>
    <w:uiPriority w:val="0"/>
    <w:rPr>
      <w:rFonts w:eastAsia="宋体"/>
      <w:kern w:val="2"/>
      <w:sz w:val="24"/>
      <w:szCs w:val="24"/>
      <w:lang w:val="en-US" w:eastAsia="zh-CN" w:bidi="ar-SA"/>
    </w:rPr>
  </w:style>
  <w:style w:type="character" w:customStyle="1" w:styleId="142">
    <w:name w:val="fontstyle01"/>
    <w:qFormat/>
    <w:uiPriority w:val="0"/>
    <w:rPr>
      <w:rFonts w:hint="eastAsia" w:ascii="宋体" w:hAnsi="宋体" w:eastAsia="宋体"/>
      <w:color w:val="000000"/>
      <w:sz w:val="24"/>
      <w:szCs w:val="24"/>
    </w:rPr>
  </w:style>
  <w:style w:type="character" w:customStyle="1" w:styleId="143">
    <w:name w:val="fontstyle21"/>
    <w:qFormat/>
    <w:uiPriority w:val="0"/>
    <w:rPr>
      <w:rFonts w:hint="default" w:ascii="TimesNewRomanPSMT" w:hAnsi="TimesNewRomanPSMT"/>
      <w:color w:val="000000"/>
      <w:sz w:val="24"/>
      <w:szCs w:val="24"/>
    </w:rPr>
  </w:style>
  <w:style w:type="character" w:customStyle="1" w:styleId="144">
    <w:name w:val="正文首行缩进 2 Char"/>
    <w:link w:val="20"/>
    <w:qFormat/>
    <w:uiPriority w:val="0"/>
    <w:rPr>
      <w:rFonts w:hint="eastAsia" w:ascii="宋体" w:hAnsi="宋体" w:eastAsia="宋体" w:cs="宋体"/>
      <w:sz w:val="24"/>
      <w:szCs w:val="24"/>
    </w:rPr>
  </w:style>
  <w:style w:type="character" w:customStyle="1" w:styleId="145">
    <w:name w:val="表字体 Char"/>
    <w:link w:val="73"/>
    <w:qFormat/>
    <w:uiPriority w:val="0"/>
    <w:rPr>
      <w:rFonts w:ascii="Times New Roman" w:hAnsi="Times New Roman" w:eastAsia="宋体"/>
      <w:sz w:val="21"/>
    </w:rPr>
  </w:style>
  <w:style w:type="character" w:customStyle="1" w:styleId="146">
    <w:name w:val="环科院正文 Char"/>
    <w:link w:val="70"/>
    <w:qFormat/>
    <w:uiPriority w:val="0"/>
    <w:rPr>
      <w:rFonts w:hAnsi="宋体"/>
      <w:bCs/>
      <w:sz w:val="24"/>
      <w:szCs w:val="24"/>
      <w:lang w:val="zh-CN"/>
    </w:rPr>
  </w:style>
  <w:style w:type="character" w:customStyle="1" w:styleId="147">
    <w:name w:val="表格内容样式 Char"/>
    <w:link w:val="61"/>
    <w:qFormat/>
    <w:uiPriority w:val="0"/>
    <w:rPr>
      <w:rFonts w:ascii="Times New Roman" w:hAnsi="Times New Roman"/>
      <w:szCs w:val="22"/>
    </w:rPr>
  </w:style>
  <w:style w:type="character" w:customStyle="1" w:styleId="148">
    <w:name w:val="页脚 Char"/>
    <w:link w:val="29"/>
    <w:qFormat/>
    <w:uiPriority w:val="99"/>
    <w:rPr>
      <w:sz w:val="18"/>
      <w:szCs w:val="18"/>
    </w:rPr>
  </w:style>
  <w:style w:type="character" w:customStyle="1" w:styleId="149">
    <w:name w:val="正文文本 2 Char"/>
    <w:link w:val="36"/>
    <w:qFormat/>
    <w:uiPriority w:val="0"/>
    <w:rPr>
      <w:rFonts w:ascii="Times New Roman" w:hAnsi="Times New Roman" w:eastAsia="宋体" w:cs="Times New Roman"/>
      <w:sz w:val="24"/>
      <w:szCs w:val="24"/>
    </w:rPr>
  </w:style>
  <w:style w:type="character" w:customStyle="1" w:styleId="150">
    <w:name w:val="text1"/>
    <w:qFormat/>
    <w:uiPriority w:val="0"/>
    <w:rPr>
      <w:rFonts w:hint="eastAsia" w:ascii="宋体" w:hAnsi="宋体" w:eastAsia="宋体"/>
      <w:color w:val="999999"/>
      <w:sz w:val="18"/>
      <w:szCs w:val="18"/>
      <w:u w:val="none"/>
    </w:rPr>
  </w:style>
  <w:style w:type="character" w:customStyle="1" w:styleId="151">
    <w:name w:val="15"/>
    <w:qFormat/>
    <w:uiPriority w:val="0"/>
    <w:rPr>
      <w:rFonts w:hint="default" w:ascii="Calibri" w:hAnsi="Calibri"/>
      <w:color w:val="0000FF"/>
      <w:u w:val="single"/>
    </w:rPr>
  </w:style>
  <w:style w:type="character" w:customStyle="1" w:styleId="152">
    <w:name w:val="正文01 Char Char"/>
    <w:link w:val="86"/>
    <w:qFormat/>
    <w:uiPriority w:val="0"/>
    <w:rPr>
      <w:rFonts w:eastAsia="宋体"/>
      <w:sz w:val="24"/>
    </w:rPr>
  </w:style>
  <w:style w:type="character" w:customStyle="1" w:styleId="153">
    <w:name w:val="正文文本缩进 Char"/>
    <w:link w:val="19"/>
    <w:qFormat/>
    <w:uiPriority w:val="0"/>
    <w:rPr>
      <w:rFonts w:hint="eastAsia" w:ascii="宋体" w:hAnsi="宋体" w:eastAsia="宋体" w:cs="宋体"/>
      <w:sz w:val="24"/>
      <w:szCs w:val="24"/>
    </w:rPr>
  </w:style>
  <w:style w:type="character" w:customStyle="1" w:styleId="154">
    <w:name w:val="批注文字 Char"/>
    <w:link w:val="16"/>
    <w:qFormat/>
    <w:uiPriority w:val="99"/>
    <w:rPr>
      <w:rFonts w:ascii="Times New Roman" w:hAnsi="Times New Roman"/>
      <w:sz w:val="24"/>
    </w:rPr>
  </w:style>
  <w:style w:type="character" w:customStyle="1" w:styleId="155">
    <w:name w:val="标题 5 Char"/>
    <w:link w:val="7"/>
    <w:semiHidden/>
    <w:qFormat/>
    <w:uiPriority w:val="9"/>
    <w:rPr>
      <w:rFonts w:ascii="Times New Roman" w:hAnsi="Times New Roman"/>
      <w:b/>
      <w:bCs/>
      <w:sz w:val="28"/>
      <w:szCs w:val="28"/>
    </w:rPr>
  </w:style>
  <w:style w:type="character" w:customStyle="1" w:styleId="156">
    <w:name w:val="文章正文样式 Char"/>
    <w:link w:val="58"/>
    <w:qFormat/>
    <w:uiPriority w:val="0"/>
    <w:rPr>
      <w:rFonts w:ascii="宋体" w:hAnsi="宋体" w:eastAsia="宋体" w:cs="宋体"/>
      <w:kern w:val="2"/>
      <w:sz w:val="24"/>
      <w:szCs w:val="24"/>
    </w:rPr>
  </w:style>
  <w:style w:type="character" w:customStyle="1" w:styleId="157">
    <w:name w:val="标题 6 Char"/>
    <w:link w:val="8"/>
    <w:qFormat/>
    <w:uiPriority w:val="9"/>
    <w:rPr>
      <w:rFonts w:ascii="Cambria" w:hAnsi="Cambria" w:eastAsia="宋体" w:cs="Times New Roman"/>
      <w:b/>
      <w:bCs/>
      <w:sz w:val="24"/>
      <w:szCs w:val="24"/>
    </w:rPr>
  </w:style>
  <w:style w:type="character" w:customStyle="1" w:styleId="158">
    <w:name w:val="标题 4 Char"/>
    <w:link w:val="6"/>
    <w:qFormat/>
    <w:uiPriority w:val="9"/>
    <w:rPr>
      <w:rFonts w:ascii="Times New Roman" w:hAnsi="Times New Roman" w:eastAsia="宋体" w:cs="Times New Roman"/>
      <w:b/>
      <w:bCs/>
      <w:kern w:val="2"/>
      <w:sz w:val="24"/>
      <w:szCs w:val="28"/>
    </w:rPr>
  </w:style>
  <w:style w:type="character" w:customStyle="1" w:styleId="159">
    <w:name w:val="big"/>
    <w:basedOn w:val="43"/>
    <w:qFormat/>
    <w:uiPriority w:val="0"/>
  </w:style>
  <w:style w:type="character" w:customStyle="1" w:styleId="160">
    <w:name w:val="正文文本首行缩进 2 字符"/>
    <w:qFormat/>
    <w:uiPriority w:val="99"/>
    <w:rPr>
      <w:rFonts w:ascii="Times New Roman" w:hAnsi="Times New Roman" w:eastAsia="宋体" w:cs="Times New Roman"/>
      <w:color w:val="FF6600"/>
      <w:kern w:val="2"/>
      <w:sz w:val="24"/>
      <w:szCs w:val="21"/>
    </w:rPr>
  </w:style>
  <w:style w:type="character" w:customStyle="1" w:styleId="161">
    <w:name w:val="正文文本 Char"/>
    <w:link w:val="17"/>
    <w:qFormat/>
    <w:uiPriority w:val="99"/>
    <w:rPr>
      <w:rFonts w:ascii="Times New Roman" w:hAnsi="Times New Roman"/>
      <w:sz w:val="24"/>
    </w:rPr>
  </w:style>
  <w:style w:type="character" w:customStyle="1" w:styleId="162">
    <w:name w:val="表格文字 Char Char"/>
    <w:link w:val="114"/>
    <w:qFormat/>
    <w:uiPriority w:val="0"/>
    <w:rPr>
      <w:rFonts w:eastAsia="宋体"/>
    </w:rPr>
  </w:style>
  <w:style w:type="character" w:customStyle="1" w:styleId="163">
    <w:name w:val="表格文字 Char"/>
    <w:qFormat/>
    <w:uiPriority w:val="0"/>
    <w:rPr>
      <w:rFonts w:ascii="宋体"/>
      <w:color w:val="000000"/>
      <w:sz w:val="24"/>
      <w:lang w:val="en-US" w:eastAsia="zh-CN" w:bidi="ar-SA"/>
    </w:rPr>
  </w:style>
  <w:style w:type="character" w:customStyle="1" w:styleId="164">
    <w:name w:val="表文 Char"/>
    <w:link w:val="46"/>
    <w:qFormat/>
    <w:uiPriority w:val="0"/>
    <w:rPr>
      <w:rFonts w:ascii="Times New Roman" w:hAnsi="Times New Roman" w:eastAsia="宋体" w:cs="Times New Roman"/>
      <w:kern w:val="2"/>
      <w:position w:val="-24"/>
      <w:sz w:val="21"/>
      <w:szCs w:val="21"/>
    </w:rPr>
  </w:style>
  <w:style w:type="character" w:customStyle="1" w:styleId="165">
    <w:name w:val="样式 样式 样式 首行缩进:  2 字符 + 居中 + 行距: 固定值 17 磅 Char"/>
    <w:link w:val="111"/>
    <w:qFormat/>
    <w:uiPriority w:val="0"/>
    <w:rPr>
      <w:rFonts w:eastAsia="宋体" w:cs="宋体"/>
      <w:color w:val="000000"/>
      <w:kern w:val="2"/>
      <w:sz w:val="21"/>
    </w:rPr>
  </w:style>
  <w:style w:type="character" w:customStyle="1" w:styleId="166">
    <w:name w:val="HJ-正文 Char"/>
    <w:qFormat/>
    <w:uiPriority w:val="0"/>
    <w:rPr>
      <w:rFonts w:hint="default" w:ascii="Times New Roman" w:hAnsi="Times New Roman" w:eastAsia="宋体" w:cs="Calibri"/>
      <w:kern w:val="2"/>
      <w:sz w:val="24"/>
      <w:szCs w:val="24"/>
    </w:rPr>
  </w:style>
  <w:style w:type="character" w:customStyle="1" w:styleId="167">
    <w:name w:val="标题 7 Char"/>
    <w:link w:val="9"/>
    <w:qFormat/>
    <w:uiPriority w:val="9"/>
    <w:rPr>
      <w:rFonts w:ascii="Times New Roman" w:hAnsi="Times New Roman"/>
      <w:b/>
      <w:bCs/>
      <w:sz w:val="24"/>
      <w:szCs w:val="24"/>
    </w:rPr>
  </w:style>
  <w:style w:type="character" w:customStyle="1" w:styleId="168">
    <w:name w:val="页脚 字符"/>
    <w:qFormat/>
    <w:uiPriority w:val="0"/>
    <w:rPr>
      <w:rFonts w:eastAsia="宋体"/>
      <w:kern w:val="2"/>
      <w:sz w:val="18"/>
      <w:szCs w:val="18"/>
      <w:lang w:val="en-US" w:eastAsia="zh-CN" w:bidi="ar-SA"/>
    </w:rPr>
  </w:style>
  <w:style w:type="character" w:customStyle="1" w:styleId="169">
    <w:name w:val="RJL表格 字符"/>
    <w:link w:val="79"/>
    <w:qFormat/>
    <w:uiPriority w:val="0"/>
    <w:rPr>
      <w:rFonts w:ascii="Times New Roman" w:hAnsi="Times New Roman" w:eastAsia="宋体" w:cs="Times New Roman"/>
      <w:kern w:val="2"/>
      <w:sz w:val="21"/>
      <w:szCs w:val="22"/>
    </w:rPr>
  </w:style>
  <w:style w:type="character" w:customStyle="1" w:styleId="170">
    <w:name w:val="正文首行缩进 Char"/>
    <w:link w:val="40"/>
    <w:qFormat/>
    <w:uiPriority w:val="99"/>
    <w:rPr>
      <w:rFonts w:ascii="Times New Roman" w:hAnsi="Times New Roman"/>
      <w:sz w:val="24"/>
    </w:rPr>
  </w:style>
  <w:style w:type="character" w:customStyle="1" w:styleId="171">
    <w:name w:val="标题 2 Char"/>
    <w:link w:val="4"/>
    <w:qFormat/>
    <w:uiPriority w:val="9"/>
    <w:rPr>
      <w:rFonts w:ascii="Times New Roman" w:hAnsi="Times New Roman" w:eastAsia="宋体" w:cs="Times New Roman"/>
      <w:b/>
      <w:sz w:val="28"/>
      <w:szCs w:val="32"/>
    </w:rPr>
  </w:style>
  <w:style w:type="character" w:customStyle="1" w:styleId="172">
    <w:name w:val="表标题 Char"/>
    <w:link w:val="52"/>
    <w:qFormat/>
    <w:uiPriority w:val="0"/>
    <w:rPr>
      <w:rFonts w:ascii="Times New Roman" w:hAnsi="Times New Roman" w:eastAsia="宋体"/>
      <w:b/>
      <w:sz w:val="21"/>
    </w:rPr>
  </w:style>
  <w:style w:type="character" w:customStyle="1" w:styleId="173">
    <w:name w:val="报告 Char Char"/>
    <w:link w:val="123"/>
    <w:qFormat/>
    <w:uiPriority w:val="0"/>
    <w:rPr>
      <w:rFonts w:eastAsia="宋体"/>
      <w:sz w:val="24"/>
    </w:rPr>
  </w:style>
  <w:style w:type="character" w:customStyle="1" w:styleId="174">
    <w:name w:val="正文文本缩进 2 Char1"/>
    <w:link w:val="27"/>
    <w:semiHidden/>
    <w:qFormat/>
    <w:uiPriority w:val="99"/>
    <w:rPr>
      <w:rFonts w:ascii="Times New Roman" w:hAnsi="Times New Roman" w:eastAsia="宋体" w:cs="Times New Roman"/>
      <w:kern w:val="2"/>
      <w:sz w:val="24"/>
      <w:szCs w:val="21"/>
    </w:rPr>
  </w:style>
  <w:style w:type="character" w:customStyle="1" w:styleId="175">
    <w:name w:val="正文-游 字符"/>
    <w:link w:val="132"/>
    <w:qFormat/>
    <w:uiPriority w:val="0"/>
    <w:rPr>
      <w:rFonts w:ascii="Times New Roman" w:hAnsi="Times New Roman" w:eastAsia="宋体" w:cs="Times New Roman"/>
      <w:bCs/>
      <w:color w:val="FF0000"/>
      <w:sz w:val="24"/>
      <w:szCs w:val="24"/>
    </w:rPr>
  </w:style>
  <w:style w:type="character" w:customStyle="1" w:styleId="176">
    <w:name w:val="页眉 Char"/>
    <w:link w:val="30"/>
    <w:qFormat/>
    <w:uiPriority w:val="99"/>
    <w:rPr>
      <w:sz w:val="18"/>
      <w:szCs w:val="18"/>
    </w:rPr>
  </w:style>
  <w:style w:type="character" w:customStyle="1" w:styleId="177">
    <w:name w:val="font01"/>
    <w:qFormat/>
    <w:uiPriority w:val="0"/>
    <w:rPr>
      <w:rFonts w:hint="default" w:ascii="楷体" w:hAnsi="楷体"/>
      <w:color w:val="000000"/>
      <w:sz w:val="22"/>
      <w:szCs w:val="22"/>
      <w:u w:val="none"/>
    </w:rPr>
  </w:style>
  <w:style w:type="character" w:customStyle="1" w:styleId="178">
    <w:name w:val="表 头 Char Char"/>
    <w:link w:val="90"/>
    <w:qFormat/>
    <w:uiPriority w:val="0"/>
    <w:rPr>
      <w:rFonts w:ascii="黑体" w:hAnsi="宋体" w:eastAsia="黑体" w:cs="Arial"/>
      <w:kern w:val="24"/>
      <w:sz w:val="24"/>
      <w:szCs w:val="24"/>
      <w:lang w:val="zh-CN"/>
    </w:rPr>
  </w:style>
  <w:style w:type="character" w:customStyle="1" w:styleId="179">
    <w:name w:val="表文字 Char"/>
    <w:link w:val="50"/>
    <w:qFormat/>
    <w:uiPriority w:val="0"/>
    <w:rPr>
      <w:rFonts w:ascii="Times New Roman" w:hAnsi="Times New Roman" w:eastAsia="宋体" w:cs="Times New Roman"/>
      <w:sz w:val="24"/>
    </w:rPr>
  </w:style>
  <w:style w:type="character" w:customStyle="1" w:styleId="180">
    <w:name w:val="标题 1 Char"/>
    <w:link w:val="2"/>
    <w:qFormat/>
    <w:uiPriority w:val="9"/>
    <w:rPr>
      <w:rFonts w:ascii="Times New Roman" w:hAnsi="Times New Roman" w:eastAsia="宋体" w:cs="Times New Roman"/>
      <w:b/>
      <w:kern w:val="44"/>
      <w:sz w:val="30"/>
      <w:szCs w:val="44"/>
    </w:rPr>
  </w:style>
  <w:style w:type="character" w:customStyle="1" w:styleId="181">
    <w:name w:val="标题 8 Char"/>
    <w:link w:val="10"/>
    <w:qFormat/>
    <w:uiPriority w:val="9"/>
    <w:rPr>
      <w:rFonts w:ascii="Cambria" w:hAnsi="Cambria" w:eastAsia="宋体" w:cs="Times New Roman"/>
      <w:sz w:val="24"/>
      <w:szCs w:val="24"/>
    </w:rPr>
  </w:style>
  <w:style w:type="character" w:customStyle="1" w:styleId="182">
    <w:name w:val="fontstyle11"/>
    <w:qFormat/>
    <w:uiPriority w:val="0"/>
    <w:rPr>
      <w:rFonts w:ascii="宋体" w:hAnsi="宋体" w:eastAsia="宋体" w:cs="宋体"/>
      <w:color w:val="000000"/>
      <w:sz w:val="24"/>
      <w:szCs w:val="24"/>
    </w:rPr>
  </w:style>
  <w:style w:type="character" w:customStyle="1" w:styleId="183">
    <w:name w:val="报告文本 Char"/>
    <w:link w:val="63"/>
    <w:qFormat/>
    <w:uiPriority w:val="0"/>
    <w:rPr>
      <w:sz w:val="24"/>
      <w:szCs w:val="22"/>
    </w:rPr>
  </w:style>
  <w:style w:type="character" w:customStyle="1" w:styleId="184">
    <w:name w:val="font11"/>
    <w:qFormat/>
    <w:uiPriority w:val="0"/>
    <w:rPr>
      <w:rFonts w:hint="default" w:ascii="Times New Roman" w:hAnsi="Times New Roman" w:cs="Times New Roman"/>
      <w:color w:val="000000"/>
      <w:sz w:val="22"/>
      <w:szCs w:val="22"/>
      <w:u w:val="none"/>
    </w:rPr>
  </w:style>
  <w:style w:type="character" w:customStyle="1" w:styleId="185">
    <w:name w:val="正文001 Char Char"/>
    <w:link w:val="98"/>
    <w:qFormat/>
    <w:uiPriority w:val="0"/>
    <w:rPr>
      <w:sz w:val="24"/>
    </w:rPr>
  </w:style>
  <w:style w:type="character" w:customStyle="1" w:styleId="186">
    <w:name w:val="批注框文本 Char"/>
    <w:link w:val="28"/>
    <w:semiHidden/>
    <w:qFormat/>
    <w:uiPriority w:val="99"/>
    <w:rPr>
      <w:rFonts w:ascii="Times New Roman" w:hAnsi="Times New Roman"/>
      <w:sz w:val="18"/>
      <w:szCs w:val="18"/>
    </w:rPr>
  </w:style>
  <w:style w:type="character" w:customStyle="1" w:styleId="187">
    <w:name w:val="表格 Char"/>
    <w:link w:val="84"/>
    <w:qFormat/>
    <w:uiPriority w:val="0"/>
    <w:rPr>
      <w:rFonts w:ascii="昆仑仿宋" w:hAnsi="Times New Roman" w:eastAsia="昆仑仿宋"/>
      <w:sz w:val="24"/>
    </w:rPr>
  </w:style>
  <w:style w:type="character" w:customStyle="1" w:styleId="188">
    <w:name w:val="标题 3 Char"/>
    <w:link w:val="5"/>
    <w:qFormat/>
    <w:uiPriority w:val="9"/>
    <w:rPr>
      <w:rFonts w:ascii="Times New Roman" w:hAnsi="Times New Roman" w:eastAsia="宋体" w:cs="Times New Roman"/>
      <w:b/>
      <w:kern w:val="2"/>
      <w:sz w:val="24"/>
      <w:szCs w:val="32"/>
    </w:rPr>
  </w:style>
  <w:style w:type="character" w:customStyle="1" w:styleId="189">
    <w:name w:val="纯文本 Char"/>
    <w:link w:val="24"/>
    <w:qFormat/>
    <w:uiPriority w:val="0"/>
    <w:rPr>
      <w:rFonts w:ascii="宋体" w:hAnsi="Courier New" w:eastAsia="宋体" w:cs="Times New Roman"/>
      <w:szCs w:val="20"/>
    </w:rPr>
  </w:style>
  <w:style w:type="character" w:customStyle="1" w:styleId="190">
    <w:name w:val="正文缩进 Char"/>
    <w:link w:val="13"/>
    <w:qFormat/>
    <w:uiPriority w:val="0"/>
    <w:rPr>
      <w:rFonts w:eastAsia="宋体"/>
      <w:sz w:val="28"/>
    </w:rPr>
  </w:style>
  <w:style w:type="character" w:customStyle="1" w:styleId="191">
    <w:name w:val="标题 Char"/>
    <w:link w:val="3"/>
    <w:semiHidden/>
    <w:qFormat/>
    <w:uiPriority w:val="0"/>
    <w:rPr>
      <w:rFonts w:ascii="Cambria" w:hAnsi="Cambria" w:eastAsia="宋体" w:cs="Times New Roman"/>
      <w:b/>
      <w:bCs/>
      <w:sz w:val="32"/>
      <w:szCs w:val="32"/>
    </w:rPr>
  </w:style>
  <w:style w:type="character" w:customStyle="1" w:styleId="192">
    <w:name w:val="apple-style-span"/>
    <w:qFormat/>
    <w:uiPriority w:val="0"/>
    <w:rPr>
      <w:rFonts w:eastAsia="黑体"/>
      <w:b/>
      <w:bCs/>
      <w:snapToGrid w:val="0"/>
      <w:sz w:val="24"/>
      <w:szCs w:val="24"/>
    </w:rPr>
  </w:style>
  <w:style w:type="character" w:customStyle="1" w:styleId="193">
    <w:name w:val="无间隔 Char"/>
    <w:link w:val="68"/>
    <w:qFormat/>
    <w:uiPriority w:val="1"/>
    <w:rPr>
      <w:rFonts w:ascii="宋体"/>
      <w:kern w:val="2"/>
      <w:sz w:val="22"/>
      <w:szCs w:val="28"/>
    </w:rPr>
  </w:style>
  <w:style w:type="character" w:customStyle="1" w:styleId="194">
    <w:name w:val="文档结构图 Char"/>
    <w:link w:val="15"/>
    <w:semiHidden/>
    <w:qFormat/>
    <w:uiPriority w:val="99"/>
    <w:rPr>
      <w:rFonts w:ascii="宋体" w:hAnsi="Times New Roman" w:eastAsia="宋体"/>
      <w:sz w:val="18"/>
      <w:szCs w:val="18"/>
    </w:rPr>
  </w:style>
  <w:style w:type="character" w:customStyle="1" w:styleId="195">
    <w:name w:val="正文文本缩进 字符"/>
    <w:qFormat/>
    <w:uiPriority w:val="99"/>
    <w:rPr>
      <w:rFonts w:ascii="宋体" w:hAnsi="宋体" w:eastAsia="宋体" w:cs="Times New Roman"/>
      <w:color w:val="FF6600"/>
      <w:sz w:val="24"/>
      <w:szCs w:val="24"/>
    </w:rPr>
  </w:style>
  <w:style w:type="character" w:customStyle="1" w:styleId="196">
    <w:name w:val="style31"/>
    <w:semiHidden/>
    <w:qFormat/>
    <w:uiPriority w:val="0"/>
    <w:rPr>
      <w:rFonts w:hint="default" w:ascii="Arial" w:hAnsi="Arial" w:cs="Arial"/>
      <w:sz w:val="18"/>
      <w:szCs w:val="18"/>
    </w:rPr>
  </w:style>
  <w:style w:type="character" w:customStyle="1" w:styleId="197">
    <w:name w:val="题注 Char"/>
    <w:link w:val="14"/>
    <w:qFormat/>
    <w:uiPriority w:val="99"/>
    <w:rPr>
      <w:rFonts w:ascii="Times New Roman" w:hAnsi="Times New Roman" w:eastAsia="宋体" w:cs="Times New Roman"/>
      <w:b/>
      <w:sz w:val="24"/>
      <w:szCs w:val="20"/>
    </w:rPr>
  </w:style>
  <w:style w:type="character" w:customStyle="1" w:styleId="198">
    <w:name w:val="表头 Char1"/>
    <w:link w:val="48"/>
    <w:qFormat/>
    <w:uiPriority w:val="0"/>
    <w:rPr>
      <w:rFonts w:ascii="宋体" w:hAnsi="宋体" w:eastAsia="Times New Roman"/>
      <w:b/>
      <w:color w:val="000000"/>
      <w:sz w:val="24"/>
      <w:szCs w:val="24"/>
    </w:rPr>
  </w:style>
  <w:style w:type="character" w:customStyle="1" w:styleId="199">
    <w:name w:val="正文1 Char"/>
    <w:link w:val="64"/>
    <w:qFormat/>
    <w:uiPriority w:val="0"/>
    <w:rPr>
      <w:rFonts w:ascii="Times New Roman" w:hAnsi="Times New Roman" w:eastAsia="宋体" w:cs="Times New Roman"/>
      <w:kern w:val="2"/>
      <w:sz w:val="24"/>
    </w:rPr>
  </w:style>
  <w:style w:type="character" w:customStyle="1" w:styleId="200">
    <w:name w:val="样式 标题 3 + 黑色 Char"/>
    <w:link w:val="57"/>
    <w:qFormat/>
    <w:uiPriority w:val="0"/>
    <w:rPr>
      <w:rFonts w:ascii="Times New Roman" w:hAnsi="Times New Roman" w:eastAsia="黑体" w:cs="Times New Roman"/>
      <w:bCs/>
      <w:color w:val="000000"/>
      <w:kern w:val="2"/>
      <w:sz w:val="24"/>
      <w:szCs w:val="32"/>
    </w:rPr>
  </w:style>
  <w:style w:type="character" w:customStyle="1" w:styleId="201">
    <w:name w:val="正文文本缩进 2 Char"/>
    <w:qFormat/>
    <w:uiPriority w:val="0"/>
    <w:rPr>
      <w:kern w:val="2"/>
      <w:sz w:val="21"/>
    </w:rPr>
  </w:style>
  <w:style w:type="character" w:customStyle="1" w:styleId="202">
    <w:name w:val="标题 9 Char"/>
    <w:link w:val="11"/>
    <w:qFormat/>
    <w:uiPriority w:val="9"/>
    <w:rPr>
      <w:rFonts w:ascii="Cambria" w:hAnsi="Cambria" w:eastAsia="宋体" w:cs="Times New Roman"/>
      <w:sz w:val="24"/>
    </w:rPr>
  </w:style>
  <w:style w:type="character" w:styleId="203">
    <w:name w:val="Placeholder Text"/>
    <w:unhideWhenUsed/>
    <w:qFormat/>
    <w:uiPriority w:val="99"/>
    <w:rPr>
      <w:color w:val="808080"/>
    </w:rPr>
  </w:style>
  <w:style w:type="character" w:customStyle="1" w:styleId="204">
    <w:name w:val="HJ-表格内容 Char"/>
    <w:link w:val="95"/>
    <w:qFormat/>
    <w:uiPriority w:val="0"/>
    <w:rPr>
      <w:rFonts w:hint="default" w:ascii="Times New Roman" w:hAnsi="Times New Roman" w:cs="Times New Roman"/>
      <w:color w:val="000000"/>
      <w:sz w:val="21"/>
      <w:szCs w:val="21"/>
    </w:rPr>
  </w:style>
  <w:style w:type="table" w:customStyle="1" w:styleId="205">
    <w:name w:val="网格型5"/>
    <w:basedOn w:val="41"/>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6">
    <w:name w:val="网格型4"/>
    <w:basedOn w:val="41"/>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7">
    <w:name w:val="网格型3"/>
    <w:basedOn w:val="41"/>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8">
    <w:name w:val="网格型6"/>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
    <w:name w:val="yp格式"/>
    <w:basedOn w:val="41"/>
    <w:qFormat/>
    <w:uiPriority w:val="0"/>
    <w:pPr>
      <w:adjustRightInd w:val="0"/>
      <w:snapToGrid w:val="0"/>
      <w:jc w:val="center"/>
    </w:pPr>
    <w:rPr>
      <w:sz w:val="21"/>
    </w:r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table" w:customStyle="1" w:styleId="210">
    <w:name w:val="网格型2"/>
    <w:basedOn w:val="41"/>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
    <w:name w:val="网格型1"/>
    <w:basedOn w:val="41"/>
    <w:qFormat/>
    <w:uiPriority w:val="0"/>
    <w:pPr>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
    <w:name w:val="yeti"/>
    <w:basedOn w:val="41"/>
    <w:qFormat/>
    <w:uiPriority w:val="0"/>
    <w:pPr>
      <w:spacing w:line="360" w:lineRule="exact"/>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1" Type="http://schemas.microsoft.com/office/2011/relationships/people" Target="people.xml"/><Relationship Id="rId80" Type="http://schemas.openxmlformats.org/officeDocument/2006/relationships/fontTable" Target="fontTable.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52.png"/><Relationship Id="rId76" Type="http://schemas.openxmlformats.org/officeDocument/2006/relationships/image" Target="media/image51.jpeg"/><Relationship Id="rId75" Type="http://schemas.openxmlformats.org/officeDocument/2006/relationships/image" Target="media/image50.jpeg"/><Relationship Id="rId74" Type="http://schemas.openxmlformats.org/officeDocument/2006/relationships/image" Target="media/image49.jpeg"/><Relationship Id="rId73" Type="http://schemas.openxmlformats.org/officeDocument/2006/relationships/image" Target="media/image48.jpeg"/><Relationship Id="rId72" Type="http://schemas.openxmlformats.org/officeDocument/2006/relationships/image" Target="media/image47.jpeg"/><Relationship Id="rId71" Type="http://schemas.openxmlformats.org/officeDocument/2006/relationships/image" Target="media/image46.jpeg"/><Relationship Id="rId70" Type="http://schemas.openxmlformats.org/officeDocument/2006/relationships/image" Target="media/image45.jpeg"/><Relationship Id="rId7" Type="http://schemas.openxmlformats.org/officeDocument/2006/relationships/footer" Target="footer4.xml"/><Relationship Id="rId69" Type="http://schemas.openxmlformats.org/officeDocument/2006/relationships/image" Target="media/image44.jpeg"/><Relationship Id="rId68" Type="http://schemas.openxmlformats.org/officeDocument/2006/relationships/image" Target="media/image43.jpe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wmf"/><Relationship Id="rId62" Type="http://schemas.openxmlformats.org/officeDocument/2006/relationships/oleObject" Target="embeddings/oleObject16.bin"/><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footer" Target="footer3.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wmf"/><Relationship Id="rId55" Type="http://schemas.openxmlformats.org/officeDocument/2006/relationships/oleObject" Target="embeddings/oleObject15.bin"/><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emf"/><Relationship Id="rId51" Type="http://schemas.openxmlformats.org/officeDocument/2006/relationships/oleObject" Target="embeddings/oleObject14.bin"/><Relationship Id="rId50" Type="http://schemas.openxmlformats.org/officeDocument/2006/relationships/image" Target="media/image28.emf"/><Relationship Id="rId5" Type="http://schemas.openxmlformats.org/officeDocument/2006/relationships/footer" Target="footer2.xml"/><Relationship Id="rId49" Type="http://schemas.openxmlformats.org/officeDocument/2006/relationships/oleObject" Target="embeddings/oleObject13.bin"/><Relationship Id="rId48" Type="http://schemas.openxmlformats.org/officeDocument/2006/relationships/image" Target="media/image27.emf"/><Relationship Id="rId47" Type="http://schemas.openxmlformats.org/officeDocument/2006/relationships/oleObject" Target="embeddings/oleObject12.bin"/><Relationship Id="rId46" Type="http://schemas.openxmlformats.org/officeDocument/2006/relationships/chart" Target="charts/chart1.xml"/><Relationship Id="rId45" Type="http://schemas.openxmlformats.org/officeDocument/2006/relationships/image" Target="media/image26.wmf"/><Relationship Id="rId44" Type="http://schemas.openxmlformats.org/officeDocument/2006/relationships/image" Target="media/image25.png"/><Relationship Id="rId43" Type="http://schemas.openxmlformats.org/officeDocument/2006/relationships/oleObject" Target="embeddings/oleObject11.bin"/><Relationship Id="rId42" Type="http://schemas.openxmlformats.org/officeDocument/2006/relationships/image" Target="media/image24.pn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footer" Target="footer1.xml"/><Relationship Id="rId39" Type="http://schemas.openxmlformats.org/officeDocument/2006/relationships/image" Target="media/image21.jpeg"/><Relationship Id="rId38" Type="http://schemas.openxmlformats.org/officeDocument/2006/relationships/image" Target="media/image20.wmf"/><Relationship Id="rId37" Type="http://schemas.openxmlformats.org/officeDocument/2006/relationships/oleObject" Target="embeddings/oleObject10.bin"/><Relationship Id="rId36" Type="http://schemas.openxmlformats.org/officeDocument/2006/relationships/image" Target="media/image19.png"/><Relationship Id="rId35" Type="http://schemas.openxmlformats.org/officeDocument/2006/relationships/image" Target="media/image18.wmf"/><Relationship Id="rId34" Type="http://schemas.openxmlformats.org/officeDocument/2006/relationships/oleObject" Target="embeddings/oleObject9.bin"/><Relationship Id="rId33" Type="http://schemas.openxmlformats.org/officeDocument/2006/relationships/image" Target="media/image17.emf"/><Relationship Id="rId32" Type="http://schemas.openxmlformats.org/officeDocument/2006/relationships/oleObject" Target="embeddings/oleObject8.bin"/><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emf"/><Relationship Id="rId23" Type="http://schemas.openxmlformats.org/officeDocument/2006/relationships/oleObject" Target="embeddings/oleObject7.bin"/><Relationship Id="rId22" Type="http://schemas.openxmlformats.org/officeDocument/2006/relationships/image" Target="media/image8.emf"/><Relationship Id="rId21" Type="http://schemas.openxmlformats.org/officeDocument/2006/relationships/oleObject" Target="embeddings/oleObject6.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32852;&#21512;&#27888;&#27901;M2020.11.2\&#22320;&#19979;&#27700;&#39044;&#27979;&#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"100d"</c:f>
              <c:strCache>
                <c:ptCount val="1"/>
                <c:pt idx="0">
                  <c:v>100d</c:v>
                </c:pt>
              </c:strCache>
            </c:strRef>
          </c:tx>
          <c:spPr>
            <a:ln w="19050" cap="rnd" cmpd="sng" algn="ctr">
              <a:solidFill>
                <a:srgbClr val="4F81BD"/>
              </a:solidFill>
              <a:prstDash val="solid"/>
              <a:round/>
            </a:ln>
            <a:effectLst/>
          </c:spPr>
          <c:marker>
            <c:symbol val="none"/>
          </c:marker>
          <c:dLbls>
            <c:delete val="1"/>
          </c:dLbls>
          <c:xVal>
            <c:numRef>
              <c:f>[地下水预测表格.xlsx]一维稳定流动一维水动力弥散!$H$44:$H$243</c:f>
              <c:numCache>
                <c:formatCode>General</c:formatCode>
                <c:ptCount val="2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numCache>
            </c:numRef>
          </c:xVal>
          <c:yVal>
            <c:numRef>
              <c:f>[地下水预测表格.xlsx]一维稳定流动一维水动力弥散!$L$44:$L$243</c:f>
              <c:numCache>
                <c:formatCode>0.000_ </c:formatCode>
                <c:ptCount val="200"/>
                <c:pt idx="0">
                  <c:v>0.644992280257557</c:v>
                </c:pt>
                <c:pt idx="1">
                  <c:v>0.303349364435674</c:v>
                </c:pt>
                <c:pt idx="2">
                  <c:v>0.111955467938603</c:v>
                </c:pt>
                <c:pt idx="3">
                  <c:v>0.0319354542362554</c:v>
                </c:pt>
                <c:pt idx="4">
                  <c:v>0.00696746813292295</c:v>
                </c:pt>
                <c:pt idx="5">
                  <c:v>0.00115417217281104</c:v>
                </c:pt>
                <c:pt idx="6">
                  <c:v>0.00014440998990324</c:v>
                </c:pt>
                <c:pt idx="7">
                  <c:v>1.35960207381313e-5</c:v>
                </c:pt>
                <c:pt idx="8">
                  <c:v>9.60497421679327e-7</c:v>
                </c:pt>
                <c:pt idx="9">
                  <c:v>5.08076614811704e-8</c:v>
                </c:pt>
                <c:pt idx="10">
                  <c:v>2.00909849537495e-9</c:v>
                </c:pt>
                <c:pt idx="11">
                  <c:v>5.93138813494305e-11</c:v>
                </c:pt>
                <c:pt idx="12">
                  <c:v>1.30602737565141e-12</c:v>
                </c:pt>
                <c:pt idx="13">
                  <c:v>2.14304976971792e-14</c:v>
                </c:pt>
                <c:pt idx="14">
                  <c:v>2.61881500718944e-16</c:v>
                </c:pt>
                <c:pt idx="15">
                  <c:v>2.38193090909068e-18</c:v>
                </c:pt>
                <c:pt idx="16">
                  <c:v>1.61177436344969e-20</c:v>
                </c:pt>
                <c:pt idx="17">
                  <c:v>8.11074360037311e-23</c:v>
                </c:pt>
                <c:pt idx="18">
                  <c:v>3.03427179467017e-25</c:v>
                </c:pt>
                <c:pt idx="19">
                  <c:v>8.43650093111859e-28</c:v>
                </c:pt>
                <c:pt idx="20">
                  <c:v>1.74292195667044e-30</c:v>
                </c:pt>
                <c:pt idx="21">
                  <c:v>2.67490812788021e-33</c:v>
                </c:pt>
                <c:pt idx="22">
                  <c:v>3.04911968961753e-36</c:v>
                </c:pt>
                <c:pt idx="23">
                  <c:v>2.58109437841109e-39</c:v>
                </c:pt>
                <c:pt idx="24">
                  <c:v>1.62231261127696e-42</c:v>
                </c:pt>
                <c:pt idx="25">
                  <c:v>7.57026269106863e-46</c:v>
                </c:pt>
                <c:pt idx="26">
                  <c:v>2.62230769389872e-49</c:v>
                </c:pt>
                <c:pt idx="27">
                  <c:v>6.74230501694536e-53</c:v>
                </c:pt>
                <c:pt idx="28">
                  <c:v>1.28660563620941e-56</c:v>
                </c:pt>
                <c:pt idx="29">
                  <c:v>1.82204453856468e-60</c:v>
                </c:pt>
                <c:pt idx="30">
                  <c:v>1.9147700011011e-64</c:v>
                </c:pt>
                <c:pt idx="31">
                  <c:v>1.49310012485253e-68</c:v>
                </c:pt>
                <c:pt idx="32">
                  <c:v>8.6387158568931e-73</c:v>
                </c:pt>
                <c:pt idx="33">
                  <c:v>3.70828390559045e-77</c:v>
                </c:pt>
                <c:pt idx="34">
                  <c:v>1.18096752614155e-81</c:v>
                </c:pt>
                <c:pt idx="35">
                  <c:v>2.79012486289592e-86</c:v>
                </c:pt>
                <c:pt idx="36">
                  <c:v>4.89002622508197e-91</c:v>
                </c:pt>
                <c:pt idx="37">
                  <c:v>6.35745424397047e-96</c:v>
                </c:pt>
                <c:pt idx="38">
                  <c:v>6.13089350439145e-101</c:v>
                </c:pt>
                <c:pt idx="39">
                  <c:v>4.38548814293718e-106</c:v>
                </c:pt>
                <c:pt idx="40">
                  <c:v>2.3267621785869e-111</c:v>
                </c:pt>
                <c:pt idx="41">
                  <c:v>9.1561555318334e-117</c:v>
                </c:pt>
                <c:pt idx="42">
                  <c:v>2.67232670171883e-122</c:v>
                </c:pt>
                <c:pt idx="43">
                  <c:v>5.78455676310687e-128</c:v>
                </c:pt>
                <c:pt idx="44">
                  <c:v>9.28633673257372e-134</c:v>
                </c:pt>
                <c:pt idx="45">
                  <c:v>1.1056124082655e-139</c:v>
                </c:pt>
                <c:pt idx="46">
                  <c:v>9.76194742356463e-146</c:v>
                </c:pt>
                <c:pt idx="47">
                  <c:v>6.39199785491786e-152</c:v>
                </c:pt>
                <c:pt idx="48">
                  <c:v>3.10381197619221e-158</c:v>
                </c:pt>
                <c:pt idx="49">
                  <c:v>1.11764872093818e-164</c:v>
                </c:pt>
                <c:pt idx="50">
                  <c:v>2.98441581549752e-171</c:v>
                </c:pt>
                <c:pt idx="51">
                  <c:v>5.90950062294467e-178</c:v>
                </c:pt>
                <c:pt idx="52">
                  <c:v>8.67707612124622e-185</c:v>
                </c:pt>
                <c:pt idx="53">
                  <c:v>9.44759542039197e-192</c:v>
                </c:pt>
                <c:pt idx="54">
                  <c:v>7.62761606340153e-199</c:v>
                </c:pt>
                <c:pt idx="55">
                  <c:v>4.56636606120933e-206</c:v>
                </c:pt>
                <c:pt idx="56">
                  <c:v>2.02703835232755e-213</c:v>
                </c:pt>
                <c:pt idx="57">
                  <c:v>6.67202696529378e-221</c:v>
                </c:pt>
                <c:pt idx="58">
                  <c:v>1.62837223463219e-228</c:v>
                </c:pt>
                <c:pt idx="59">
                  <c:v>2.94676404969836e-236</c:v>
                </c:pt>
                <c:pt idx="60">
                  <c:v>3.95392781672157e-244</c:v>
                </c:pt>
                <c:pt idx="61">
                  <c:v>3.93368815614723e-252</c:v>
                </c:pt>
                <c:pt idx="62">
                  <c:v>2.90171825117274e-260</c:v>
                </c:pt>
                <c:pt idx="63">
                  <c:v>1.5870519868605e-268</c:v>
                </c:pt>
                <c:pt idx="64">
                  <c:v>6.43582613898621e-277</c:v>
                </c:pt>
                <c:pt idx="65">
                  <c:v>1.93504685182603e-285</c:v>
                </c:pt>
                <c:pt idx="66">
                  <c:v>4.31369697583196e-294</c:v>
                </c:pt>
                <c:pt idx="67">
                  <c:v>7.12977497189238e-303</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yVal>
          <c:smooth val="1"/>
        </c:ser>
        <c:ser>
          <c:idx val="1"/>
          <c:order val="1"/>
          <c:tx>
            <c:strRef>
              <c:f>"365d"</c:f>
              <c:strCache>
                <c:ptCount val="1"/>
                <c:pt idx="0">
                  <c:v>365d</c:v>
                </c:pt>
              </c:strCache>
            </c:strRef>
          </c:tx>
          <c:spPr>
            <a:ln w="19050" cap="rnd" cmpd="sng" algn="ctr">
              <a:solidFill>
                <a:srgbClr val="C0504D"/>
              </a:solidFill>
              <a:prstDash val="solid"/>
              <a:round/>
            </a:ln>
            <a:effectLst/>
          </c:spPr>
          <c:marker>
            <c:symbol val="none"/>
          </c:marker>
          <c:dLbls>
            <c:delete val="1"/>
          </c:dLbls>
          <c:xVal>
            <c:numRef>
              <c:f>[地下水预测表格.xlsx]一维稳定流动一维水动力弥散!$H$44:$H$243</c:f>
              <c:numCache>
                <c:formatCode>General</c:formatCode>
                <c:ptCount val="2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numCache>
            </c:numRef>
          </c:xVal>
          <c:yVal>
            <c:numRef>
              <c:f>[地下水预测表格.xlsx]一维稳定流动一维水动力弥散!$M$44:$M$243</c:f>
              <c:numCache>
                <c:formatCode>0.000_ </c:formatCode>
                <c:ptCount val="200"/>
                <c:pt idx="0">
                  <c:v>0.855078025324476</c:v>
                </c:pt>
                <c:pt idx="1">
                  <c:v>0.627929357817748</c:v>
                </c:pt>
                <c:pt idx="2">
                  <c:v>0.433879762581175</c:v>
                </c:pt>
                <c:pt idx="3">
                  <c:v>0.281147092080879</c:v>
                </c:pt>
                <c:pt idx="4">
                  <c:v>0.170375447433938</c:v>
                </c:pt>
                <c:pt idx="5">
                  <c:v>0.0963395977317173</c:v>
                </c:pt>
                <c:pt idx="6">
                  <c:v>0.0507360770026949</c:v>
                </c:pt>
                <c:pt idx="7">
                  <c:v>0.0248470900442362</c:v>
                </c:pt>
                <c:pt idx="8">
                  <c:v>0.0113013094236478</c:v>
                </c:pt>
                <c:pt idx="9">
                  <c:v>0.00476889937804</c:v>
                </c:pt>
                <c:pt idx="10">
                  <c:v>0.00186535319340062</c:v>
                </c:pt>
                <c:pt idx="11">
                  <c:v>0.000675828294756123</c:v>
                </c:pt>
                <c:pt idx="12">
                  <c:v>0.000226659004240077</c:v>
                </c:pt>
                <c:pt idx="13">
                  <c:v>7.03300255036733e-5</c:v>
                </c:pt>
                <c:pt idx="14">
                  <c:v>2.01810285874028e-5</c:v>
                </c:pt>
                <c:pt idx="15">
                  <c:v>5.35318030895971e-6</c:v>
                </c:pt>
                <c:pt idx="16">
                  <c:v>1.31220263550092e-6</c:v>
                </c:pt>
                <c:pt idx="17">
                  <c:v>2.97155708038452e-7</c:v>
                </c:pt>
                <c:pt idx="18">
                  <c:v>6.21514459413887e-8</c:v>
                </c:pt>
                <c:pt idx="19">
                  <c:v>1.20034443277542e-8</c:v>
                </c:pt>
                <c:pt idx="20">
                  <c:v>2.14024299346253e-9</c:v>
                </c:pt>
                <c:pt idx="21">
                  <c:v>3.52247382235748e-10</c:v>
                </c:pt>
                <c:pt idx="22">
                  <c:v>5.35048724482734e-11</c:v>
                </c:pt>
                <c:pt idx="23">
                  <c:v>7.49963982354125e-12</c:v>
                </c:pt>
                <c:pt idx="24">
                  <c:v>9.69920012463861e-13</c:v>
                </c:pt>
                <c:pt idx="25">
                  <c:v>1.15726348233017e-13</c:v>
                </c:pt>
                <c:pt idx="26">
                  <c:v>1.27375680138343e-14</c:v>
                </c:pt>
                <c:pt idx="27">
                  <c:v>1.29318303116343e-15</c:v>
                </c:pt>
                <c:pt idx="28">
                  <c:v>1.2109260326255e-16</c:v>
                </c:pt>
                <c:pt idx="29">
                  <c:v>1.04574911928334e-17</c:v>
                </c:pt>
                <c:pt idx="30">
                  <c:v>8.32838223026697e-19</c:v>
                </c:pt>
                <c:pt idx="31">
                  <c:v>6.11632474332542e-20</c:v>
                </c:pt>
                <c:pt idx="32">
                  <c:v>4.14183607822043e-21</c:v>
                </c:pt>
                <c:pt idx="33">
                  <c:v>2.58610110310141e-22</c:v>
                </c:pt>
                <c:pt idx="34">
                  <c:v>1.48877080218569e-23</c:v>
                </c:pt>
                <c:pt idx="35">
                  <c:v>7.90170972781048e-25</c:v>
                </c:pt>
                <c:pt idx="36">
                  <c:v>3.86640876327387e-26</c:v>
                </c:pt>
                <c:pt idx="37">
                  <c:v>1.74410172288871e-27</c:v>
                </c:pt>
                <c:pt idx="38">
                  <c:v>7.25267585661474e-29</c:v>
                </c:pt>
                <c:pt idx="39">
                  <c:v>2.78018225785863e-30</c:v>
                </c:pt>
                <c:pt idx="40">
                  <c:v>9.82389947338425e-32</c:v>
                </c:pt>
                <c:pt idx="41">
                  <c:v>3.19976569135124e-33</c:v>
                </c:pt>
                <c:pt idx="42">
                  <c:v>9.60649272695415e-35</c:v>
                </c:pt>
                <c:pt idx="43">
                  <c:v>2.65835805071354e-36</c:v>
                </c:pt>
                <c:pt idx="44">
                  <c:v>6.78038296322118e-38</c:v>
                </c:pt>
                <c:pt idx="45">
                  <c:v>1.59396183365465e-39</c:v>
                </c:pt>
                <c:pt idx="46">
                  <c:v>3.45363103635726e-41</c:v>
                </c:pt>
                <c:pt idx="47">
                  <c:v>6.89668176611876e-43</c:v>
                </c:pt>
                <c:pt idx="48">
                  <c:v>1.26929639413862e-44</c:v>
                </c:pt>
                <c:pt idx="49">
                  <c:v>2.15296685580403e-46</c:v>
                </c:pt>
                <c:pt idx="50">
                  <c:v>3.3655520961006e-48</c:v>
                </c:pt>
                <c:pt idx="51">
                  <c:v>4.84856903854171e-50</c:v>
                </c:pt>
                <c:pt idx="52">
                  <c:v>6.43729056732165e-52</c:v>
                </c:pt>
                <c:pt idx="53">
                  <c:v>7.87624470712406e-54</c:v>
                </c:pt>
                <c:pt idx="54">
                  <c:v>8.88088912777164e-56</c:v>
                </c:pt>
                <c:pt idx="55">
                  <c:v>9.22804573852664e-58</c:v>
                </c:pt>
                <c:pt idx="56">
                  <c:v>8.83637662882056e-60</c:v>
                </c:pt>
                <c:pt idx="57">
                  <c:v>7.79731861443035e-62</c:v>
                </c:pt>
                <c:pt idx="58">
                  <c:v>6.34042760569598e-64</c:v>
                </c:pt>
                <c:pt idx="59">
                  <c:v>4.75105281118435e-66</c:v>
                </c:pt>
                <c:pt idx="60">
                  <c:v>3.28061486384648e-68</c:v>
                </c:pt>
                <c:pt idx="61">
                  <c:v>2.08742531443661e-70</c:v>
                </c:pt>
                <c:pt idx="62">
                  <c:v>1.22392090902642e-72</c:v>
                </c:pt>
                <c:pt idx="63">
                  <c:v>6.61270337949222e-75</c:v>
                </c:pt>
                <c:pt idx="64">
                  <c:v>3.29218881863757e-77</c:v>
                </c:pt>
                <c:pt idx="65">
                  <c:v>1.51031419986238e-79</c:v>
                </c:pt>
                <c:pt idx="66">
                  <c:v>6.38445400165626e-82</c:v>
                </c:pt>
                <c:pt idx="67">
                  <c:v>2.48685947718979e-84</c:v>
                </c:pt>
                <c:pt idx="68">
                  <c:v>8.92579726319849e-87</c:v>
                </c:pt>
                <c:pt idx="69">
                  <c:v>2.95194633867631e-89</c:v>
                </c:pt>
                <c:pt idx="70">
                  <c:v>8.99566045153119e-92</c:v>
                </c:pt>
                <c:pt idx="71">
                  <c:v>2.52591305099259e-94</c:v>
                </c:pt>
                <c:pt idx="72">
                  <c:v>6.53524954141002e-97</c:v>
                </c:pt>
                <c:pt idx="73">
                  <c:v>1.55798105148351e-99</c:v>
                </c:pt>
                <c:pt idx="74">
                  <c:v>3.4222856372032e-102</c:v>
                </c:pt>
                <c:pt idx="75">
                  <c:v>6.92663619156468e-105</c:v>
                </c:pt>
                <c:pt idx="76">
                  <c:v>1.29175030410493e-107</c:v>
                </c:pt>
                <c:pt idx="77">
                  <c:v>2.21964205884133e-110</c:v>
                </c:pt>
                <c:pt idx="78">
                  <c:v>3.51425826236339e-113</c:v>
                </c:pt>
                <c:pt idx="79">
                  <c:v>5.12659495097471e-116</c:v>
                </c:pt>
                <c:pt idx="80">
                  <c:v>6.89076196880726e-119</c:v>
                </c:pt>
                <c:pt idx="81">
                  <c:v>8.53388475803628e-122</c:v>
                </c:pt>
                <c:pt idx="82">
                  <c:v>9.73791573859221e-125</c:v>
                </c:pt>
                <c:pt idx="83">
                  <c:v>1.02381962228697e-127</c:v>
                </c:pt>
                <c:pt idx="84">
                  <c:v>9.9178519704789e-131</c:v>
                </c:pt>
                <c:pt idx="85">
                  <c:v>8.85211648944857e-134</c:v>
                </c:pt>
                <c:pt idx="86">
                  <c:v>7.27965138001908e-137</c:v>
                </c:pt>
                <c:pt idx="87">
                  <c:v>5.51577686525371e-140</c:v>
                </c:pt>
                <c:pt idx="88">
                  <c:v>3.85065110094953e-143</c:v>
                </c:pt>
                <c:pt idx="89">
                  <c:v>2.47680487715902e-146</c:v>
                </c:pt>
                <c:pt idx="90">
                  <c:v>1.46783882783611e-149</c:v>
                </c:pt>
                <c:pt idx="91">
                  <c:v>8.01480113091339e-153</c:v>
                </c:pt>
                <c:pt idx="92">
                  <c:v>4.03212342026688e-156</c:v>
                </c:pt>
                <c:pt idx="93">
                  <c:v>1.86896208574088e-159</c:v>
                </c:pt>
                <c:pt idx="94">
                  <c:v>7.98163250798781e-163</c:v>
                </c:pt>
                <c:pt idx="95">
                  <c:v>3.14055580286496e-166</c:v>
                </c:pt>
                <c:pt idx="96">
                  <c:v>1.1385284021525e-169</c:v>
                </c:pt>
                <c:pt idx="97">
                  <c:v>3.80279435060786e-173</c:v>
                </c:pt>
                <c:pt idx="98">
                  <c:v>1.17026038602353e-176</c:v>
                </c:pt>
                <c:pt idx="99">
                  <c:v>3.31804266404976e-180</c:v>
                </c:pt>
                <c:pt idx="100">
                  <c:v>8.66762984719938e-184</c:v>
                </c:pt>
                <c:pt idx="101">
                  <c:v>2.08610820820881e-187</c:v>
                </c:pt>
                <c:pt idx="102">
                  <c:v>4.62583963892823e-191</c:v>
                </c:pt>
                <c:pt idx="103">
                  <c:v>9.45063053182058e-195</c:v>
                </c:pt>
                <c:pt idx="104">
                  <c:v>1.77888017025255e-198</c:v>
                </c:pt>
                <c:pt idx="105">
                  <c:v>3.08494587660868e-202</c:v>
                </c:pt>
                <c:pt idx="106">
                  <c:v>4.92904314929149e-206</c:v>
                </c:pt>
                <c:pt idx="107">
                  <c:v>7.255898467001e-210</c:v>
                </c:pt>
                <c:pt idx="108">
                  <c:v>9.84084948207161e-214</c:v>
                </c:pt>
                <c:pt idx="109">
                  <c:v>1.22966305554454e-217</c:v>
                </c:pt>
                <c:pt idx="110">
                  <c:v>1.41563454173199e-221</c:v>
                </c:pt>
                <c:pt idx="111">
                  <c:v>1.50150585658756e-225</c:v>
                </c:pt>
                <c:pt idx="112">
                  <c:v>1.46728049491796e-229</c:v>
                </c:pt>
                <c:pt idx="113">
                  <c:v>1.32101846870586e-233</c:v>
                </c:pt>
                <c:pt idx="114">
                  <c:v>1.09575554772326e-237</c:v>
                </c:pt>
                <c:pt idx="115">
                  <c:v>8.37388395757931e-242</c:v>
                </c:pt>
                <c:pt idx="116">
                  <c:v>5.8958728934871e-246</c:v>
                </c:pt>
                <c:pt idx="117">
                  <c:v>3.82451753347058e-250</c:v>
                </c:pt>
                <c:pt idx="118">
                  <c:v>2.28566217186752e-254</c:v>
                </c:pt>
                <c:pt idx="119">
                  <c:v>1.25850153261912e-258</c:v>
                </c:pt>
                <c:pt idx="120">
                  <c:v>6.38412345345725e-263</c:v>
                </c:pt>
                <c:pt idx="121">
                  <c:v>2.98369298162632e-267</c:v>
                </c:pt>
                <c:pt idx="122">
                  <c:v>1.28472991707811e-271</c:v>
                </c:pt>
                <c:pt idx="123">
                  <c:v>5.09652223152851e-276</c:v>
                </c:pt>
                <c:pt idx="124">
                  <c:v>1.86268720933276e-280</c:v>
                </c:pt>
                <c:pt idx="125">
                  <c:v>6.27204866982216e-285</c:v>
                </c:pt>
                <c:pt idx="126">
                  <c:v>1.94572719793075e-289</c:v>
                </c:pt>
                <c:pt idx="127">
                  <c:v>5.56105380262267e-294</c:v>
                </c:pt>
                <c:pt idx="128">
                  <c:v>1.46431478027379e-298</c:v>
                </c:pt>
                <c:pt idx="129">
                  <c:v>3.55233235387795e-303</c:v>
                </c:pt>
                <c:pt idx="130">
                  <c:v>3.97108440128093e-308</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numCache>
            </c:numRef>
          </c:yVal>
          <c:smooth val="1"/>
        </c:ser>
        <c:ser>
          <c:idx val="2"/>
          <c:order val="2"/>
          <c:tx>
            <c:strRef>
              <c:f>"1000d"</c:f>
              <c:strCache>
                <c:ptCount val="1"/>
                <c:pt idx="0">
                  <c:v>1000d</c:v>
                </c:pt>
              </c:strCache>
            </c:strRef>
          </c:tx>
          <c:spPr>
            <a:ln w="19050" cap="rnd" cmpd="sng" algn="ctr">
              <a:solidFill>
                <a:srgbClr val="9BBB59"/>
              </a:solidFill>
              <a:prstDash val="solid"/>
              <a:round/>
            </a:ln>
            <a:effectLst/>
          </c:spPr>
          <c:marker>
            <c:symbol val="none"/>
          </c:marker>
          <c:dLbls>
            <c:delete val="1"/>
          </c:dLbls>
          <c:xVal>
            <c:numRef>
              <c:f>[地下水预测表格.xlsx]一维稳定流动一维水动力弥散!$H$44:$H$243</c:f>
              <c:numCache>
                <c:formatCode>General</c:formatCode>
                <c:ptCount val="2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numCache>
            </c:numRef>
          </c:xVal>
          <c:yVal>
            <c:numRef>
              <c:f>[地下水预测表格.xlsx]一维稳定流动一维水动力弥散!$N$44:$N$243</c:f>
              <c:numCache>
                <c:formatCode>0.000_ </c:formatCode>
                <c:ptCount val="200"/>
                <c:pt idx="0">
                  <c:v>0.952277878500136</c:v>
                </c:pt>
                <c:pt idx="1">
                  <c:v>0.807967847261679</c:v>
                </c:pt>
                <c:pt idx="2">
                  <c:v>0.671211374325549</c:v>
                </c:pt>
                <c:pt idx="3">
                  <c:v>0.545477888835621</c:v>
                </c:pt>
                <c:pt idx="4">
                  <c:v>0.433316390403149</c:v>
                </c:pt>
                <c:pt idx="5">
                  <c:v>0.336230730750937</c:v>
                </c:pt>
                <c:pt idx="6">
                  <c:v>0.254683988118833</c:v>
                </c:pt>
                <c:pt idx="7">
                  <c:v>0.1882155924454</c:v>
                </c:pt>
                <c:pt idx="8">
                  <c:v>0.135638823412417</c:v>
                </c:pt>
                <c:pt idx="9">
                  <c:v>0.0952786534551758</c:v>
                </c:pt>
                <c:pt idx="10">
                  <c:v>0.0652109246105825</c:v>
                </c:pt>
                <c:pt idx="11">
                  <c:v>0.0434717358406404</c:v>
                </c:pt>
                <c:pt idx="12">
                  <c:v>0.028217643357107</c:v>
                </c:pt>
                <c:pt idx="13">
                  <c:v>0.0178295934595212</c:v>
                </c:pt>
                <c:pt idx="14">
                  <c:v>0.0109638149206354</c:v>
                </c:pt>
                <c:pt idx="15">
                  <c:v>0.00655972121455727</c:v>
                </c:pt>
                <c:pt idx="16">
                  <c:v>0.00381791537085136</c:v>
                </c:pt>
                <c:pt idx="17">
                  <c:v>0.00216125980851552</c:v>
                </c:pt>
                <c:pt idx="18">
                  <c:v>0.00118975535787853</c:v>
                </c:pt>
                <c:pt idx="19">
                  <c:v>0.000636818150306286</c:v>
                </c:pt>
                <c:pt idx="20">
                  <c:v>0.000331377758186446</c:v>
                </c:pt>
                <c:pt idx="21">
                  <c:v>0.000167621555535237</c:v>
                </c:pt>
                <c:pt idx="22">
                  <c:v>8.24115608130192e-5</c:v>
                </c:pt>
                <c:pt idx="23">
                  <c:v>3.93781734174676e-5</c:v>
                </c:pt>
                <c:pt idx="24">
                  <c:v>1.82849300974661e-5</c:v>
                </c:pt>
                <c:pt idx="25">
                  <c:v>8.25022635356132e-6</c:v>
                </c:pt>
                <c:pt idx="26">
                  <c:v>3.61693550418735e-6</c:v>
                </c:pt>
                <c:pt idx="27">
                  <c:v>1.54059406020207e-6</c:v>
                </c:pt>
                <c:pt idx="28">
                  <c:v>6.37500985509499e-7</c:v>
                </c:pt>
                <c:pt idx="29">
                  <c:v>2.56267481156222e-7</c:v>
                </c:pt>
                <c:pt idx="30">
                  <c:v>1.00069772887312e-7</c:v>
                </c:pt>
                <c:pt idx="31">
                  <c:v>3.79566305326063e-8</c:v>
                </c:pt>
                <c:pt idx="32">
                  <c:v>1.39838859070835e-8</c:v>
                </c:pt>
                <c:pt idx="33">
                  <c:v>5.00386040731211e-9</c:v>
                </c:pt>
                <c:pt idx="34">
                  <c:v>1.73901180432303e-9</c:v>
                </c:pt>
                <c:pt idx="35">
                  <c:v>5.86953971038213e-10</c:v>
                </c:pt>
                <c:pt idx="36">
                  <c:v>1.92395526220564e-10</c:v>
                </c:pt>
                <c:pt idx="37">
                  <c:v>6.12437171234501e-11</c:v>
                </c:pt>
                <c:pt idx="38">
                  <c:v>1.89317569313783e-11</c:v>
                </c:pt>
                <c:pt idx="39">
                  <c:v>5.68291419856858e-12</c:v>
                </c:pt>
                <c:pt idx="40">
                  <c:v>1.65649773256431e-12</c:v>
                </c:pt>
                <c:pt idx="41">
                  <c:v>4.68856168120564e-13</c:v>
                </c:pt>
                <c:pt idx="42">
                  <c:v>1.28856873096987e-13</c:v>
                </c:pt>
                <c:pt idx="43">
                  <c:v>3.4386298939967e-14</c:v>
                </c:pt>
                <c:pt idx="44">
                  <c:v>8.90972810276238e-15</c:v>
                </c:pt>
                <c:pt idx="45">
                  <c:v>2.24148805204868e-15</c:v>
                </c:pt>
                <c:pt idx="46">
                  <c:v>5.47511984979969e-16</c:v>
                </c:pt>
                <c:pt idx="47">
                  <c:v>1.29846054990958e-16</c:v>
                </c:pt>
                <c:pt idx="48">
                  <c:v>2.98975034457522e-17</c:v>
                </c:pt>
                <c:pt idx="49">
                  <c:v>6.6835255560202e-18</c:v>
                </c:pt>
                <c:pt idx="50">
                  <c:v>1.45055654431841e-18</c:v>
                </c:pt>
                <c:pt idx="51">
                  <c:v>3.05644256371324e-19</c:v>
                </c:pt>
                <c:pt idx="52">
                  <c:v>6.25237203041347e-20</c:v>
                </c:pt>
                <c:pt idx="53">
                  <c:v>1.24169557896476e-20</c:v>
                </c:pt>
                <c:pt idx="54">
                  <c:v>2.39398942821798e-21</c:v>
                </c:pt>
                <c:pt idx="55">
                  <c:v>4.4808598423986e-22</c:v>
                </c:pt>
                <c:pt idx="56">
                  <c:v>8.14194247213819e-23</c:v>
                </c:pt>
                <c:pt idx="57">
                  <c:v>1.43621002945507e-23</c:v>
                </c:pt>
                <c:pt idx="58">
                  <c:v>2.45938805066349e-24</c:v>
                </c:pt>
                <c:pt idx="59">
                  <c:v>4.08838186262829e-25</c:v>
                </c:pt>
                <c:pt idx="60">
                  <c:v>6.59762202359371e-26</c:v>
                </c:pt>
                <c:pt idx="61">
                  <c:v>1.03354991543362e-26</c:v>
                </c:pt>
                <c:pt idx="62">
                  <c:v>1.57173798007062e-27</c:v>
                </c:pt>
                <c:pt idx="63">
                  <c:v>2.32022594255329e-28</c:v>
                </c:pt>
                <c:pt idx="64">
                  <c:v>3.32490131712374e-29</c:v>
                </c:pt>
                <c:pt idx="65">
                  <c:v>4.62511609406944e-30</c:v>
                </c:pt>
                <c:pt idx="66">
                  <c:v>6.245383116304e-31</c:v>
                </c:pt>
                <c:pt idx="67">
                  <c:v>8.18625728303502e-32</c:v>
                </c:pt>
                <c:pt idx="68">
                  <c:v>1.04159516646467e-32</c:v>
                </c:pt>
                <c:pt idx="69">
                  <c:v>1.28646297644639e-33</c:v>
                </c:pt>
                <c:pt idx="70">
                  <c:v>1.54233249191976e-34</c:v>
                </c:pt>
                <c:pt idx="71">
                  <c:v>1.79489401065561e-35</c:v>
                </c:pt>
                <c:pt idx="72">
                  <c:v>2.02757762037892e-36</c:v>
                </c:pt>
                <c:pt idx="73">
                  <c:v>2.22326858257278e-37</c:v>
                </c:pt>
                <c:pt idx="74">
                  <c:v>2.36635608361858e-38</c:v>
                </c:pt>
                <c:pt idx="75">
                  <c:v>2.44478136539672e-39</c:v>
                </c:pt>
                <c:pt idx="76">
                  <c:v>2.45171415205121e-40</c:v>
                </c:pt>
                <c:pt idx="77">
                  <c:v>2.3865344190882e-41</c:v>
                </c:pt>
                <c:pt idx="78">
                  <c:v>2.25492385743345e-42</c:v>
                </c:pt>
                <c:pt idx="79">
                  <c:v>2.06804833633084e-43</c:v>
                </c:pt>
                <c:pt idx="80">
                  <c:v>1.84099448391369e-44</c:v>
                </c:pt>
                <c:pt idx="81">
                  <c:v>1.5907638709555e-45</c:v>
                </c:pt>
                <c:pt idx="82">
                  <c:v>1.3341936406806e-46</c:v>
                </c:pt>
                <c:pt idx="83">
                  <c:v>1.08615165500918e-47</c:v>
                </c:pt>
                <c:pt idx="84">
                  <c:v>8.58260476651988e-49</c:v>
                </c:pt>
                <c:pt idx="85">
                  <c:v>6.58269053249235e-50</c:v>
                </c:pt>
                <c:pt idx="86">
                  <c:v>4.90051953860919e-51</c:v>
                </c:pt>
                <c:pt idx="87">
                  <c:v>3.54106500524577e-52</c:v>
                </c:pt>
                <c:pt idx="88">
                  <c:v>2.48357642623135e-53</c:v>
                </c:pt>
                <c:pt idx="89">
                  <c:v>1.69072051048902e-54</c:v>
                </c:pt>
                <c:pt idx="90">
                  <c:v>1.11716062954369e-55</c:v>
                </c:pt>
                <c:pt idx="91">
                  <c:v>7.16486173762825e-57</c:v>
                </c:pt>
                <c:pt idx="92">
                  <c:v>4.46012792133172e-58</c:v>
                </c:pt>
                <c:pt idx="93">
                  <c:v>2.69484056396598e-59</c:v>
                </c:pt>
                <c:pt idx="94">
                  <c:v>1.58038930061574e-60</c:v>
                </c:pt>
                <c:pt idx="95">
                  <c:v>8.99579073906758e-62</c:v>
                </c:pt>
                <c:pt idx="96">
                  <c:v>4.9700174190081e-63</c:v>
                </c:pt>
                <c:pt idx="97">
                  <c:v>2.66513279644991e-64</c:v>
                </c:pt>
                <c:pt idx="98">
                  <c:v>1.38714312318372e-65</c:v>
                </c:pt>
                <c:pt idx="99">
                  <c:v>7.0075192021434e-67</c:v>
                </c:pt>
                <c:pt idx="100">
                  <c:v>3.43595190345779e-68</c:v>
                </c:pt>
                <c:pt idx="101">
                  <c:v>1.63519213020612e-69</c:v>
                </c:pt>
                <c:pt idx="102">
                  <c:v>7.55315911913763e-71</c:v>
                </c:pt>
                <c:pt idx="103">
                  <c:v>3.38630315780696e-72</c:v>
                </c:pt>
                <c:pt idx="104">
                  <c:v>1.47353222553564e-73</c:v>
                </c:pt>
                <c:pt idx="105">
                  <c:v>6.22342280761303e-75</c:v>
                </c:pt>
                <c:pt idx="106">
                  <c:v>2.55113903817977e-76</c:v>
                </c:pt>
                <c:pt idx="107">
                  <c:v>1.01501721376919e-77</c:v>
                </c:pt>
                <c:pt idx="108">
                  <c:v>3.91964259428691e-79</c:v>
                </c:pt>
                <c:pt idx="109">
                  <c:v>1.46910437959191e-80</c:v>
                </c:pt>
                <c:pt idx="110">
                  <c:v>5.34430606831031e-82</c:v>
                </c:pt>
                <c:pt idx="111">
                  <c:v>1.88695633884759e-83</c:v>
                </c:pt>
                <c:pt idx="112">
                  <c:v>6.46641590284679e-85</c:v>
                </c:pt>
                <c:pt idx="113">
                  <c:v>2.15078043986063e-86</c:v>
                </c:pt>
                <c:pt idx="114">
                  <c:v>6.94318293742131e-88</c:v>
                </c:pt>
                <c:pt idx="115">
                  <c:v>2.17545779476683e-89</c:v>
                </c:pt>
                <c:pt idx="116">
                  <c:v>6.61563738710351e-91</c:v>
                </c:pt>
                <c:pt idx="117">
                  <c:v>1.952635436671e-92</c:v>
                </c:pt>
                <c:pt idx="118">
                  <c:v>5.59369217492714e-94</c:v>
                </c:pt>
                <c:pt idx="119">
                  <c:v>1.55526133305891e-95</c:v>
                </c:pt>
                <c:pt idx="120">
                  <c:v>4.19696266787957e-97</c:v>
                </c:pt>
                <c:pt idx="121">
                  <c:v>1.09924190072814e-98</c:v>
                </c:pt>
                <c:pt idx="122">
                  <c:v>2.79432816298453e-100</c:v>
                </c:pt>
                <c:pt idx="123">
                  <c:v>6.8942502936366e-102</c:v>
                </c:pt>
                <c:pt idx="124">
                  <c:v>1.65090369779869e-103</c:v>
                </c:pt>
                <c:pt idx="125">
                  <c:v>3.83690504129941e-105</c:v>
                </c:pt>
                <c:pt idx="126">
                  <c:v>8.65494973651577e-107</c:v>
                </c:pt>
                <c:pt idx="127">
                  <c:v>1.89483683464235e-108</c:v>
                </c:pt>
                <c:pt idx="128">
                  <c:v>4.026265851425e-110</c:v>
                </c:pt>
                <c:pt idx="129">
                  <c:v>8.30340148752793e-112</c:v>
                </c:pt>
                <c:pt idx="130">
                  <c:v>1.66200450839623e-113</c:v>
                </c:pt>
                <c:pt idx="131">
                  <c:v>3.22872120365158e-115</c:v>
                </c:pt>
                <c:pt idx="132">
                  <c:v>6.08766448830581e-117</c:v>
                </c:pt>
                <c:pt idx="133">
                  <c:v>1.11401829207845e-118</c:v>
                </c:pt>
                <c:pt idx="134">
                  <c:v>1.9785864368597e-120</c:v>
                </c:pt>
                <c:pt idx="135">
                  <c:v>3.4106603845838e-122</c:v>
                </c:pt>
                <c:pt idx="136">
                  <c:v>5.70613874977183e-124</c:v>
                </c:pt>
                <c:pt idx="137">
                  <c:v>9.26544422182007e-126</c:v>
                </c:pt>
                <c:pt idx="138">
                  <c:v>1.46019179689175e-127</c:v>
                </c:pt>
                <c:pt idx="139">
                  <c:v>2.23343327674536e-129</c:v>
                </c:pt>
                <c:pt idx="140">
                  <c:v>3.31554683545516e-131</c:v>
                </c:pt>
                <c:pt idx="141">
                  <c:v>4.77701000724719e-133</c:v>
                </c:pt>
                <c:pt idx="142">
                  <c:v>6.67998725365638e-135</c:v>
                </c:pt>
                <c:pt idx="143">
                  <c:v>9.06595002777383e-137</c:v>
                </c:pt>
                <c:pt idx="144">
                  <c:v>1.19417760935684e-138</c:v>
                </c:pt>
                <c:pt idx="145">
                  <c:v>1.52665941581304e-140</c:v>
                </c:pt>
                <c:pt idx="146">
                  <c:v>1.89423018983546e-142</c:v>
                </c:pt>
                <c:pt idx="147">
                  <c:v>2.28107956017871e-144</c:v>
                </c:pt>
                <c:pt idx="148">
                  <c:v>2.66602938393256e-146</c:v>
                </c:pt>
                <c:pt idx="149">
                  <c:v>3.02416852969989e-148</c:v>
                </c:pt>
                <c:pt idx="150">
                  <c:v>3.3293798863145e-150</c:v>
                </c:pt>
                <c:pt idx="151">
                  <c:v>3.5574333060764e-152</c:v>
                </c:pt>
                <c:pt idx="152">
                  <c:v>3.68914724838818e-154</c:v>
                </c:pt>
                <c:pt idx="153">
                  <c:v>3.71304985322446e-156</c:v>
                </c:pt>
                <c:pt idx="154">
                  <c:v>3.62702794470613e-158</c:v>
                </c:pt>
                <c:pt idx="155">
                  <c:v>3.43863534053463e-160</c:v>
                </c:pt>
                <c:pt idx="156">
                  <c:v>3.16399810764607e-162</c:v>
                </c:pt>
                <c:pt idx="157">
                  <c:v>2.82553672838448e-164</c:v>
                </c:pt>
                <c:pt idx="158">
                  <c:v>2.44895118904016e-166</c:v>
                </c:pt>
                <c:pt idx="159">
                  <c:v>2.06002986666118e-168</c:v>
                </c:pt>
                <c:pt idx="160">
                  <c:v>1.68182540890258e-170</c:v>
                </c:pt>
                <c:pt idx="161">
                  <c:v>1.33260703008663e-172</c:v>
                </c:pt>
                <c:pt idx="162">
                  <c:v>1.02479473483295e-174</c:v>
                </c:pt>
                <c:pt idx="163">
                  <c:v>7.6486548977154e-177</c:v>
                </c:pt>
                <c:pt idx="164">
                  <c:v>5.54046794768239e-179</c:v>
                </c:pt>
                <c:pt idx="165">
                  <c:v>3.89511993490851e-181</c:v>
                </c:pt>
                <c:pt idx="166">
                  <c:v>2.65771275644305e-183</c:v>
                </c:pt>
                <c:pt idx="167">
                  <c:v>1.75998059817598e-185</c:v>
                </c:pt>
                <c:pt idx="168">
                  <c:v>1.13114992296491e-187</c:v>
                </c:pt>
                <c:pt idx="169">
                  <c:v>7.05577514258421e-190</c:v>
                </c:pt>
                <c:pt idx="170">
                  <c:v>4.27150962715817e-192</c:v>
                </c:pt>
                <c:pt idx="171">
                  <c:v>2.5097471511732e-194</c:v>
                </c:pt>
                <c:pt idx="172">
                  <c:v>1.43116696606022e-196</c:v>
                </c:pt>
                <c:pt idx="173">
                  <c:v>7.92067553052042e-199</c:v>
                </c:pt>
                <c:pt idx="174">
                  <c:v>4.25447096579018e-201</c:v>
                </c:pt>
                <c:pt idx="175">
                  <c:v>2.21789083416804e-203</c:v>
                </c:pt>
                <c:pt idx="176">
                  <c:v>1.12213696755616e-205</c:v>
                </c:pt>
                <c:pt idx="177">
                  <c:v>5.51013855754461e-208</c:v>
                </c:pt>
                <c:pt idx="178">
                  <c:v>2.62597122028315e-210</c:v>
                </c:pt>
                <c:pt idx="179">
                  <c:v>1.21458537142703e-212</c:v>
                </c:pt>
                <c:pt idx="180">
                  <c:v>5.4522608272157e-215</c:v>
                </c:pt>
                <c:pt idx="181">
                  <c:v>2.37539341679217e-217</c:v>
                </c:pt>
                <c:pt idx="182">
                  <c:v>1.00439531295257e-219</c:v>
                </c:pt>
                <c:pt idx="183">
                  <c:v>4.12177109199138e-222</c:v>
                </c:pt>
                <c:pt idx="184">
                  <c:v>1.6416213225587e-224</c:v>
                </c:pt>
                <c:pt idx="185">
                  <c:v>6.34558822886126e-227</c:v>
                </c:pt>
                <c:pt idx="186">
                  <c:v>2.38056718084237e-229</c:v>
                </c:pt>
                <c:pt idx="187">
                  <c:v>8.66759314232812e-232</c:v>
                </c:pt>
                <c:pt idx="188">
                  <c:v>3.06285179363691e-234</c:v>
                </c:pt>
                <c:pt idx="189">
                  <c:v>1.05041934038624e-236</c:v>
                </c:pt>
                <c:pt idx="190">
                  <c:v>3.49629904638159e-239</c:v>
                </c:pt>
                <c:pt idx="191">
                  <c:v>1.12944072995646e-241</c:v>
                </c:pt>
                <c:pt idx="192">
                  <c:v>3.54101044281888e-244</c:v>
                </c:pt>
                <c:pt idx="193">
                  <c:v>1.07745648192213e-246</c:v>
                </c:pt>
                <c:pt idx="194">
                  <c:v>3.18185891227023e-249</c:v>
                </c:pt>
                <c:pt idx="195">
                  <c:v>9.11949168807648e-252</c:v>
                </c:pt>
                <c:pt idx="196">
                  <c:v>2.53669797941998e-254</c:v>
                </c:pt>
                <c:pt idx="197">
                  <c:v>6.84818049976457e-257</c:v>
                </c:pt>
                <c:pt idx="198">
                  <c:v>1.79427839293201e-259</c:v>
                </c:pt>
                <c:pt idx="199">
                  <c:v>4.56260150020962e-262</c:v>
                </c:pt>
              </c:numCache>
            </c:numRef>
          </c:yVal>
          <c:smooth val="1"/>
        </c:ser>
        <c:ser>
          <c:idx val="3"/>
          <c:order val="3"/>
          <c:tx>
            <c:strRef>
              <c:f>"3000d"</c:f>
              <c:strCache>
                <c:ptCount val="1"/>
                <c:pt idx="0">
                  <c:v>3000d</c:v>
                </c:pt>
              </c:strCache>
            </c:strRef>
          </c:tx>
          <c:spPr>
            <a:ln w="19050" cap="rnd" cmpd="sng" algn="ctr">
              <a:solidFill>
                <a:srgbClr val="8064A2"/>
              </a:solidFill>
              <a:prstDash val="solid"/>
              <a:round/>
            </a:ln>
            <a:effectLst/>
          </c:spPr>
          <c:marker>
            <c:symbol val="none"/>
          </c:marker>
          <c:dLbls>
            <c:delete val="1"/>
          </c:dLbls>
          <c:xVal>
            <c:numRef>
              <c:f>[地下水预测表格.xlsx]一维稳定流动一维水动力弥散!$H$44:$H$243</c:f>
              <c:numCache>
                <c:formatCode>General</c:formatCode>
                <c:ptCount val="2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numCache>
            </c:numRef>
          </c:xVal>
          <c:yVal>
            <c:numRef>
              <c:f>[地下水预测表格.xlsx]一维稳定流动一维水动力弥散!$O$44:$O$243</c:f>
              <c:numCache>
                <c:formatCode>0.000_ </c:formatCode>
                <c:ptCount val="200"/>
                <c:pt idx="0">
                  <c:v>1.01606004223523</c:v>
                </c:pt>
                <c:pt idx="1">
                  <c:v>0.932388979017702</c:v>
                </c:pt>
                <c:pt idx="2">
                  <c:v>0.849843240775302</c:v>
                </c:pt>
                <c:pt idx="3">
                  <c:v>0.76924061385592</c:v>
                </c:pt>
                <c:pt idx="4">
                  <c:v>0.691337014410005</c:v>
                </c:pt>
                <c:pt idx="5">
                  <c:v>0.616806309464184</c:v>
                </c:pt>
                <c:pt idx="6">
                  <c:v>0.546224070987025</c:v>
                </c:pt>
                <c:pt idx="7">
                  <c:v>0.480055888027304</c:v>
                </c:pt>
                <c:pt idx="8">
                  <c:v>0.418650569688543</c:v>
                </c:pt>
                <c:pt idx="9">
                  <c:v>0.362238271701968</c:v>
                </c:pt>
                <c:pt idx="10">
                  <c:v>0.310933295049327</c:v>
                </c:pt>
                <c:pt idx="11">
                  <c:v>0.264741057110787</c:v>
                </c:pt>
                <c:pt idx="12">
                  <c:v>0.22356854029752</c:v>
                </c:pt>
                <c:pt idx="13">
                  <c:v>0.18723739049128</c:v>
                </c:pt>
                <c:pt idx="14">
                  <c:v>0.15549877205379</c:v>
                </c:pt>
                <c:pt idx="15">
                  <c:v>0.128049085843756</c:v>
                </c:pt>
                <c:pt idx="16">
                  <c:v>0.104545714479479</c:v>
                </c:pt>
                <c:pt idx="17">
                  <c:v>0.0846220638681976</c:v>
                </c:pt>
                <c:pt idx="18">
                  <c:v>0.0679013081160837</c:v>
                </c:pt>
                <c:pt idx="19">
                  <c:v>0.05400840170536</c:v>
                </c:pt>
                <c:pt idx="20">
                  <c:v>0.0425800841552645</c:v>
                </c:pt>
                <c:pt idx="21">
                  <c:v>0.0332727558674502</c:v>
                </c:pt>
                <c:pt idx="22">
                  <c:v>0.0257682396677138</c:v>
                </c:pt>
                <c:pt idx="23">
                  <c:v>0.0197775539172992</c:v>
                </c:pt>
                <c:pt idx="24">
                  <c:v>0.0150429063423532</c:v>
                </c:pt>
                <c:pt idx="25">
                  <c:v>0.0113381721932554</c:v>
                </c:pt>
                <c:pt idx="26">
                  <c:v>0.00846814770650632</c:v>
                </c:pt>
                <c:pt idx="27">
                  <c:v>0.00626687362570276</c:v>
                </c:pt>
                <c:pt idx="28">
                  <c:v>0.00459530841058079</c:v>
                </c:pt>
                <c:pt idx="29">
                  <c:v>0.00333860188438665</c:v>
                </c:pt>
                <c:pt idx="30">
                  <c:v>0.00240318253836692</c:v>
                </c:pt>
                <c:pt idx="31">
                  <c:v>0.00171383013674652</c:v>
                </c:pt>
                <c:pt idx="32">
                  <c:v>0.00121086348146005</c:v>
                </c:pt>
                <c:pt idx="33">
                  <c:v>0.000847534120927321</c:v>
                </c:pt>
                <c:pt idx="34">
                  <c:v>0.00058768239895546</c:v>
                </c:pt>
                <c:pt idx="35">
                  <c:v>0.000403683646851782</c:v>
                </c:pt>
                <c:pt idx="36">
                  <c:v>0.000274689896941031</c:v>
                </c:pt>
                <c:pt idx="37">
                  <c:v>0.000185156042663711</c:v>
                </c:pt>
                <c:pt idx="38">
                  <c:v>0.00012362829754219</c:v>
                </c:pt>
                <c:pt idx="39">
                  <c:v>8.17662867079562e-5</c:v>
                </c:pt>
                <c:pt idx="40">
                  <c:v>5.35672170401698e-5</c:v>
                </c:pt>
                <c:pt idx="41">
                  <c:v>3.47603997596929e-5</c:v>
                </c:pt>
                <c:pt idx="42">
                  <c:v>2.23421078513254e-5</c:v>
                </c:pt>
                <c:pt idx="43">
                  <c:v>1.42236293129854e-5</c:v>
                </c:pt>
                <c:pt idx="44">
                  <c:v>8.96885790830048e-6</c:v>
                </c:pt>
                <c:pt idx="45">
                  <c:v>5.60142021262641e-6</c:v>
                </c:pt>
                <c:pt idx="46">
                  <c:v>3.46487532853646e-6</c:v>
                </c:pt>
                <c:pt idx="47">
                  <c:v>2.12275540856674e-6</c:v>
                </c:pt>
                <c:pt idx="48">
                  <c:v>1.28804159033586e-6</c:v>
                </c:pt>
                <c:pt idx="49">
                  <c:v>7.74055952653999e-7</c:v>
                </c:pt>
                <c:pt idx="50">
                  <c:v>4.60704598219503e-7</c:v>
                </c:pt>
                <c:pt idx="51">
                  <c:v>2.7156629641065e-7</c:v>
                </c:pt>
                <c:pt idx="52">
                  <c:v>1.58536015065998e-7</c:v>
                </c:pt>
                <c:pt idx="53">
                  <c:v>9.16588835673655e-8</c:v>
                </c:pt>
                <c:pt idx="54">
                  <c:v>5.24821650937771e-8</c:v>
                </c:pt>
                <c:pt idx="55">
                  <c:v>2.97601866038993e-8</c:v>
                </c:pt>
                <c:pt idx="56">
                  <c:v>1.67125462448014e-8</c:v>
                </c:pt>
                <c:pt idx="57">
                  <c:v>9.29456681357707e-9</c:v>
                </c:pt>
                <c:pt idx="58">
                  <c:v>5.11907966063441e-9</c:v>
                </c:pt>
                <c:pt idx="59">
                  <c:v>2.79207839276728e-9</c:v>
                </c:pt>
                <c:pt idx="60">
                  <c:v>1.50811072772367e-9</c:v>
                </c:pt>
                <c:pt idx="61">
                  <c:v>8.06688367328264e-10</c:v>
                </c:pt>
                <c:pt idx="62">
                  <c:v>4.27309417534095e-10</c:v>
                </c:pt>
                <c:pt idx="63">
                  <c:v>2.24150914031175e-10</c:v>
                </c:pt>
                <c:pt idx="64">
                  <c:v>1.16438694063986e-10</c:v>
                </c:pt>
                <c:pt idx="65">
                  <c:v>5.98977328037361e-11</c:v>
                </c:pt>
                <c:pt idx="66">
                  <c:v>3.05124633390694e-11</c:v>
                </c:pt>
                <c:pt idx="67">
                  <c:v>1.53920214271408e-11</c:v>
                </c:pt>
                <c:pt idx="68">
                  <c:v>7.68888405593296e-12</c:v>
                </c:pt>
                <c:pt idx="69">
                  <c:v>3.80345317946281e-12</c:v>
                </c:pt>
                <c:pt idx="70">
                  <c:v>1.86310731826061e-12</c:v>
                </c:pt>
                <c:pt idx="71">
                  <c:v>9.03734173820554e-13</c:v>
                </c:pt>
                <c:pt idx="72">
                  <c:v>4.34094864217218e-13</c:v>
                </c:pt>
                <c:pt idx="73">
                  <c:v>2.06475174754263e-13</c:v>
                </c:pt>
                <c:pt idx="74">
                  <c:v>9.7249750822413e-14</c:v>
                </c:pt>
                <c:pt idx="75">
                  <c:v>4.53570586692665e-14</c:v>
                </c:pt>
                <c:pt idx="76">
                  <c:v>2.09476511312666e-14</c:v>
                </c:pt>
                <c:pt idx="77">
                  <c:v>9.57983948878062e-15</c:v>
                </c:pt>
                <c:pt idx="78">
                  <c:v>4.33822454440292e-15</c:v>
                </c:pt>
                <c:pt idx="79">
                  <c:v>1.94533863530649e-15</c:v>
                </c:pt>
                <c:pt idx="80">
                  <c:v>8.63786343528397e-16</c:v>
                </c:pt>
                <c:pt idx="81">
                  <c:v>3.79790402188655e-16</c:v>
                </c:pt>
                <c:pt idx="82">
                  <c:v>1.65350993028698e-16</c:v>
                </c:pt>
                <c:pt idx="83">
                  <c:v>7.12842334655325e-17</c:v>
                </c:pt>
                <c:pt idx="84">
                  <c:v>3.04300552521442e-17</c:v>
                </c:pt>
                <c:pt idx="85">
                  <c:v>1.28627356754261e-17</c:v>
                </c:pt>
                <c:pt idx="86">
                  <c:v>5.3837402968107e-18</c:v>
                </c:pt>
                <c:pt idx="87">
                  <c:v>2.23127887809248e-18</c:v>
                </c:pt>
                <c:pt idx="88">
                  <c:v>9.15675259806408e-19</c:v>
                </c:pt>
                <c:pt idx="89">
                  <c:v>3.72088196053534e-19</c:v>
                </c:pt>
                <c:pt idx="90">
                  <c:v>1.49715249222913e-19</c:v>
                </c:pt>
                <c:pt idx="91">
                  <c:v>5.96486874727392e-20</c:v>
                </c:pt>
                <c:pt idx="92">
                  <c:v>2.3531491942461e-20</c:v>
                </c:pt>
                <c:pt idx="93">
                  <c:v>9.19201636302969e-21</c:v>
                </c:pt>
                <c:pt idx="94">
                  <c:v>3.55536287946055e-21</c:v>
                </c:pt>
                <c:pt idx="95">
                  <c:v>1.36165783801928e-21</c:v>
                </c:pt>
                <c:pt idx="96">
                  <c:v>5.16371276898114e-22</c:v>
                </c:pt>
                <c:pt idx="97">
                  <c:v>1.93894431317161e-22</c:v>
                </c:pt>
                <c:pt idx="98">
                  <c:v>7.20903172117316e-23</c:v>
                </c:pt>
                <c:pt idx="99">
                  <c:v>2.65397035995806e-23</c:v>
                </c:pt>
                <c:pt idx="100">
                  <c:v>9.67435332919591e-24</c:v>
                </c:pt>
                <c:pt idx="101">
                  <c:v>3.491835699879e-24</c:v>
                </c:pt>
                <c:pt idx="102">
                  <c:v>1.24793191641657e-24</c:v>
                </c:pt>
                <c:pt idx="103">
                  <c:v>4.41603487531769e-25</c:v>
                </c:pt>
                <c:pt idx="104">
                  <c:v>1.54731203418909e-25</c:v>
                </c:pt>
                <c:pt idx="105">
                  <c:v>5.36817212079368e-26</c:v>
                </c:pt>
                <c:pt idx="106">
                  <c:v>1.84407004633425e-26</c:v>
                </c:pt>
                <c:pt idx="107">
                  <c:v>6.27234873577404e-27</c:v>
                </c:pt>
                <c:pt idx="108">
                  <c:v>2.11243885922203e-27</c:v>
                </c:pt>
                <c:pt idx="109">
                  <c:v>7.04431308614204e-28</c:v>
                </c:pt>
                <c:pt idx="110">
                  <c:v>2.32591104721472e-28</c:v>
                </c:pt>
                <c:pt idx="111">
                  <c:v>7.60408417509216e-29</c:v>
                </c:pt>
                <c:pt idx="112">
                  <c:v>2.46149819329998e-29</c:v>
                </c:pt>
                <c:pt idx="113">
                  <c:v>7.88951599289253e-30</c:v>
                </c:pt>
                <c:pt idx="114">
                  <c:v>2.50379570852185e-30</c:v>
                </c:pt>
                <c:pt idx="115">
                  <c:v>7.86764182916566e-31</c:v>
                </c:pt>
                <c:pt idx="116">
                  <c:v>2.44786190292351e-31</c:v>
                </c:pt>
                <c:pt idx="117">
                  <c:v>7.54093823707517e-32</c:v>
                </c:pt>
                <c:pt idx="118">
                  <c:v>2.30016769372585e-32</c:v>
                </c:pt>
                <c:pt idx="119">
                  <c:v>6.94686371937558e-33</c:v>
                </c:pt>
                <c:pt idx="120">
                  <c:v>2.07736472789232e-33</c:v>
                </c:pt>
                <c:pt idx="121">
                  <c:v>6.15079090280097e-34</c:v>
                </c:pt>
                <c:pt idx="122">
                  <c:v>1.80319610751339e-34</c:v>
                </c:pt>
                <c:pt idx="123">
                  <c:v>5.23417584947006e-35</c:v>
                </c:pt>
                <c:pt idx="124">
                  <c:v>1.50434199711319e-35</c:v>
                </c:pt>
                <c:pt idx="125">
                  <c:v>4.28092240007253e-36</c:v>
                </c:pt>
                <c:pt idx="126">
                  <c:v>1.20620250861975e-36</c:v>
                </c:pt>
                <c:pt idx="127">
                  <c:v>3.3650753740578e-37</c:v>
                </c:pt>
                <c:pt idx="128">
                  <c:v>9.29524138355799e-38</c:v>
                </c:pt>
                <c:pt idx="129">
                  <c:v>2.54224541752143e-38</c:v>
                </c:pt>
                <c:pt idx="130">
                  <c:v>6.88437986777384e-39</c:v>
                </c:pt>
                <c:pt idx="131">
                  <c:v>1.84587532886222e-39</c:v>
                </c:pt>
                <c:pt idx="132">
                  <c:v>4.90037972101225e-40</c:v>
                </c:pt>
                <c:pt idx="133">
                  <c:v>1.28809110884638e-40</c:v>
                </c:pt>
                <c:pt idx="134">
                  <c:v>3.35237481017306e-41</c:v>
                </c:pt>
                <c:pt idx="135">
                  <c:v>8.6386794212456e-42</c:v>
                </c:pt>
                <c:pt idx="136">
                  <c:v>2.20409658629649e-42</c:v>
                </c:pt>
                <c:pt idx="137">
                  <c:v>5.56803607358058e-43</c:v>
                </c:pt>
                <c:pt idx="138">
                  <c:v>1.39271193889698e-43</c:v>
                </c:pt>
                <c:pt idx="139">
                  <c:v>3.44911828994339e-44</c:v>
                </c:pt>
                <c:pt idx="140">
                  <c:v>8.45750202308001e-45</c:v>
                </c:pt>
                <c:pt idx="141">
                  <c:v>2.05335040000022e-45</c:v>
                </c:pt>
                <c:pt idx="142">
                  <c:v>4.93594907298814e-46</c:v>
                </c:pt>
                <c:pt idx="143">
                  <c:v>1.17480188849956e-46</c:v>
                </c:pt>
                <c:pt idx="144">
                  <c:v>2.76850101296201e-47</c:v>
                </c:pt>
                <c:pt idx="145">
                  <c:v>6.45967324420831e-48</c:v>
                </c:pt>
                <c:pt idx="146">
                  <c:v>1.49232000025829e-48</c:v>
                </c:pt>
                <c:pt idx="147">
                  <c:v>3.41349014159864e-49</c:v>
                </c:pt>
                <c:pt idx="148">
                  <c:v>7.7307276569353e-50</c:v>
                </c:pt>
                <c:pt idx="149">
                  <c:v>1.7335120743144e-50</c:v>
                </c:pt>
                <c:pt idx="150">
                  <c:v>3.84873400720806e-51</c:v>
                </c:pt>
                <c:pt idx="151">
                  <c:v>8.46044508409003e-52</c:v>
                </c:pt>
                <c:pt idx="152">
                  <c:v>1.8414188063892e-52</c:v>
                </c:pt>
                <c:pt idx="153">
                  <c:v>3.96822011889247e-53</c:v>
                </c:pt>
                <c:pt idx="154">
                  <c:v>8.4668628205096e-54</c:v>
                </c:pt>
                <c:pt idx="155">
                  <c:v>1.7886800219483e-54</c:v>
                </c:pt>
                <c:pt idx="156">
                  <c:v>3.74132928371998e-55</c:v>
                </c:pt>
                <c:pt idx="157">
                  <c:v>7.74822347337533e-56</c:v>
                </c:pt>
                <c:pt idx="158">
                  <c:v>1.58877010323248e-56</c:v>
                </c:pt>
                <c:pt idx="159">
                  <c:v>3.22554041112295e-57</c:v>
                </c:pt>
                <c:pt idx="160">
                  <c:v>6.48374937296041e-58</c:v>
                </c:pt>
                <c:pt idx="161">
                  <c:v>1.29042287529632e-58</c:v>
                </c:pt>
                <c:pt idx="162">
                  <c:v>2.54284443953616e-59</c:v>
                </c:pt>
                <c:pt idx="163">
                  <c:v>4.96122866037417e-60</c:v>
                </c:pt>
                <c:pt idx="164">
                  <c:v>9.58385460730272e-61</c:v>
                </c:pt>
                <c:pt idx="165">
                  <c:v>1.8330424557049e-61</c:v>
                </c:pt>
                <c:pt idx="166">
                  <c:v>3.47125071557713e-62</c:v>
                </c:pt>
                <c:pt idx="167">
                  <c:v>6.50849253866413e-63</c:v>
                </c:pt>
                <c:pt idx="168">
                  <c:v>1.20824674471794e-63</c:v>
                </c:pt>
                <c:pt idx="169">
                  <c:v>2.22081036297249e-64</c:v>
                </c:pt>
                <c:pt idx="170">
                  <c:v>4.04154822114411e-65</c:v>
                </c:pt>
                <c:pt idx="171">
                  <c:v>7.28222903814084e-66</c:v>
                </c:pt>
                <c:pt idx="172">
                  <c:v>1.29915514471468e-66</c:v>
                </c:pt>
                <c:pt idx="173">
                  <c:v>2.29476201482185e-67</c:v>
                </c:pt>
                <c:pt idx="174">
                  <c:v>4.01323026633355e-68</c:v>
                </c:pt>
                <c:pt idx="175">
                  <c:v>6.94912525388714e-69</c:v>
                </c:pt>
                <c:pt idx="176">
                  <c:v>1.19136731205484e-69</c:v>
                </c:pt>
                <c:pt idx="177">
                  <c:v>2.02227655954446e-70</c:v>
                </c:pt>
                <c:pt idx="178">
                  <c:v>3.39871379033138e-71</c:v>
                </c:pt>
                <c:pt idx="179">
                  <c:v>5.65545654977855e-72</c:v>
                </c:pt>
                <c:pt idx="180">
                  <c:v>9.31750495541799e-73</c:v>
                </c:pt>
                <c:pt idx="181">
                  <c:v>1.51988363239268e-73</c:v>
                </c:pt>
                <c:pt idx="182">
                  <c:v>2.45470692080977e-74</c:v>
                </c:pt>
                <c:pt idx="183">
                  <c:v>3.9252508951181e-75</c:v>
                </c:pt>
                <c:pt idx="184">
                  <c:v>6.21460492825386e-76</c:v>
                </c:pt>
                <c:pt idx="185">
                  <c:v>9.74176894681834e-77</c:v>
                </c:pt>
                <c:pt idx="186">
                  <c:v>1.5119596077049e-77</c:v>
                </c:pt>
                <c:pt idx="187">
                  <c:v>2.3233812930872e-78</c:v>
                </c:pt>
                <c:pt idx="188">
                  <c:v>3.53491190532224e-79</c:v>
                </c:pt>
                <c:pt idx="189">
                  <c:v>5.32493589723321e-80</c:v>
                </c:pt>
                <c:pt idx="190">
                  <c:v>7.94196066129899e-81</c:v>
                </c:pt>
                <c:pt idx="191">
                  <c:v>1.17278530625571e-81</c:v>
                </c:pt>
                <c:pt idx="192">
                  <c:v>1.71469395912735e-82</c:v>
                </c:pt>
                <c:pt idx="193">
                  <c:v>2.4821722661984e-83</c:v>
                </c:pt>
                <c:pt idx="194">
                  <c:v>3.55757695291313e-84</c:v>
                </c:pt>
                <c:pt idx="195">
                  <c:v>5.0483988104666e-85</c:v>
                </c:pt>
                <c:pt idx="196">
                  <c:v>7.09299844225238e-86</c:v>
                </c:pt>
                <c:pt idx="197">
                  <c:v>9.86694751620085e-87</c:v>
                </c:pt>
                <c:pt idx="198">
                  <c:v>1.35897794107805e-87</c:v>
                </c:pt>
                <c:pt idx="199">
                  <c:v>1.85318392462475e-88</c:v>
                </c:pt>
              </c:numCache>
            </c:numRef>
          </c:yVal>
          <c:smooth val="1"/>
        </c:ser>
        <c:dLbls>
          <c:showLegendKey val="0"/>
          <c:showVal val="0"/>
          <c:showCatName val="0"/>
          <c:showSerName val="0"/>
          <c:showPercent val="0"/>
          <c:showBubbleSize val="0"/>
        </c:dLbls>
        <c:axId val="75587968"/>
        <c:axId val="75589888"/>
      </c:scatterChart>
      <c:valAx>
        <c:axId val="75587968"/>
        <c:scaling>
          <c:orientation val="minMax"/>
          <c:max val="200"/>
        </c:scaling>
        <c:delete val="0"/>
        <c:axPos val="b"/>
        <c:majorGridlines>
          <c:spPr>
            <a:ln w="9525" cap="flat" cmpd="sng" algn="ctr">
              <a:solidFill>
                <a:srgbClr val="D9D9D9">
                  <a:lumMod val="15000"/>
                  <a:lumOff val="85000"/>
                </a:srgbClr>
              </a:solidFill>
              <a:prstDash val="solid"/>
              <a:round/>
            </a:ln>
            <a:effectLst/>
          </c:spPr>
        </c:majorGridlines>
        <c:title>
          <c:tx>
            <c:rich>
              <a:bodyPr rot="0" spcFirstLastPara="1" vertOverflow="ellipsis" vert="horz" wrap="square" anchor="ctr" anchorCtr="1"/>
              <a:lstStyle/>
              <a:p>
                <a:pPr>
                  <a:defRPr lang="zh-CN" sz="1000" b="0" i="0" u="none" strike="noStrike" kern="1200" baseline="0">
                    <a:solidFill>
                      <a:srgbClr val="000000"/>
                    </a:solidFill>
                    <a:latin typeface="+mn-lt"/>
                    <a:ea typeface="+mn-ea"/>
                    <a:cs typeface="+mn-cs"/>
                  </a:defRPr>
                </a:pPr>
                <a:r>
                  <a:rPr lang="zh-CN"/>
                  <a:t>距泄露点距离</a:t>
                </a:r>
                <a:r>
                  <a:rPr lang="en-US"/>
                  <a:t>(m)</a:t>
                </a:r>
                <a:endParaRPr lang="zh-CN"/>
              </a:p>
            </c:rich>
          </c:tx>
          <c:layout/>
          <c:overlay val="0"/>
          <c:spPr>
            <a:noFill/>
            <a:ln>
              <a:noFill/>
            </a:ln>
            <a:effectLst/>
          </c:spPr>
        </c:title>
        <c:numFmt formatCode="General" sourceLinked="1"/>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1" vertOverflow="ellipsis" vert="horz" wrap="square" anchor="ctr" anchorCtr="1"/>
          <a:lstStyle/>
          <a:p>
            <a:pPr>
              <a:defRPr lang="zh-CN" sz="900" b="0" i="0" u="none" strike="noStrike" kern="1200" baseline="0">
                <a:solidFill>
                  <a:srgbClr val="000000"/>
                </a:solidFill>
                <a:latin typeface="+mn-lt"/>
                <a:ea typeface="+mn-ea"/>
                <a:cs typeface="+mn-cs"/>
              </a:defRPr>
            </a:pPr>
          </a:p>
        </c:txPr>
        <c:crossAx val="75589888"/>
        <c:crosses val="autoZero"/>
        <c:crossBetween val="midCat"/>
      </c:valAx>
      <c:valAx>
        <c:axId val="75589888"/>
        <c:scaling>
          <c:orientation val="minMax"/>
          <c:max val="0.2"/>
        </c:scaling>
        <c:delete val="0"/>
        <c:axPos val="l"/>
        <c:majorGridlines>
          <c:spPr>
            <a:ln w="9525" cap="flat" cmpd="sng" algn="ctr">
              <a:solidFill>
                <a:srgbClr val="D9D9D9">
                  <a:lumMod val="15000"/>
                  <a:lumOff val="85000"/>
                </a:srgb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rgbClr val="000000"/>
                    </a:solidFill>
                    <a:latin typeface="+mn-lt"/>
                    <a:ea typeface="+mn-ea"/>
                    <a:cs typeface="+mn-cs"/>
                  </a:defRPr>
                </a:pPr>
                <a:r>
                  <a:rPr lang="zh-CN">
                    <a:latin typeface="Times New Roman" panose="02020603050405020304" charset="0"/>
                    <a:cs typeface="Times New Roman" panose="02020603050405020304" charset="0"/>
                  </a:rPr>
                  <a:t>浓度</a:t>
                </a:r>
                <a:r>
                  <a:rPr lang="en-US">
                    <a:latin typeface="Times New Roman" panose="02020603050405020304" charset="0"/>
                    <a:cs typeface="Times New Roman" panose="02020603050405020304" charset="0"/>
                  </a:rPr>
                  <a:t>(g/L)</a:t>
                </a:r>
                <a:endParaRPr lang="zh-CN">
                  <a:latin typeface="Times New Roman" panose="02020603050405020304" charset="0"/>
                  <a:cs typeface="Times New Roman" panose="02020603050405020304" charset="0"/>
                </a:endParaRPr>
              </a:p>
            </c:rich>
          </c:tx>
          <c:layout/>
          <c:overlay val="0"/>
          <c:spPr>
            <a:noFill/>
            <a:ln>
              <a:noFill/>
            </a:ln>
            <a:effectLst/>
          </c:spPr>
        </c:title>
        <c:numFmt formatCode="0.000_ " sourceLinked="1"/>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1" vertOverflow="ellipsis" vert="horz" wrap="square" anchor="ctr" anchorCtr="1"/>
          <a:lstStyle/>
          <a:p>
            <a:pPr>
              <a:defRPr lang="zh-CN" sz="900" b="0" i="0" u="none" strike="noStrike" kern="1200" baseline="0">
                <a:solidFill>
                  <a:srgbClr val="000000"/>
                </a:solidFill>
                <a:latin typeface="+mn-lt"/>
                <a:ea typeface="+mn-ea"/>
                <a:cs typeface="+mn-cs"/>
              </a:defRPr>
            </a:pPr>
          </a:p>
        </c:txPr>
        <c:crossAx val="75587968"/>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rgbClr val="000000"/>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solidFill>
            <a:srgbClr val="000000"/>
          </a:solidFill>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214</Pages>
  <Words>134481</Words>
  <Characters>160287</Characters>
  <Lines>1285</Lines>
  <Paragraphs>361</Paragraphs>
  <TotalTime>7</TotalTime>
  <ScaleCrop>false</ScaleCrop>
  <LinksUpToDate>false</LinksUpToDate>
  <CharactersWithSpaces>162231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2020-11-11T09:06:00Z</dcterms:created>
  <dc:creator>微软用户</dc:creator>
  <cp:lastModifiedBy>M. *^_^*</cp:lastModifiedBy>
  <cp:lastPrinted>2017-12-20T01:07:00Z</cp:lastPrinted>
  <dcterms:modified xsi:type="dcterms:W3CDTF">2021-02-20T06:56:09Z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