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line="480" w:lineRule="exact"/>
        <w:textAlignment w:val="top"/>
        <w:rPr>
          <w:rFonts w:ascii="仿宋" w:hAnsi="仿宋" w:eastAsia="仿宋"/>
          <w:b/>
          <w:color w:val="000000"/>
          <w:sz w:val="36"/>
        </w:rPr>
      </w:pPr>
      <w:r>
        <w:rPr>
          <w:rFonts w:hint="eastAsia" w:ascii="仿宋" w:hAnsi="仿宋" w:eastAsia="仿宋"/>
          <w:b/>
          <w:color w:val="000000"/>
          <w:kern w:val="2"/>
          <w:sz w:val="36"/>
        </w:rPr>
        <w:t xml:space="preserve">                                               </w:t>
      </w:r>
    </w:p>
    <w:p>
      <w:pPr>
        <w:pStyle w:val="32"/>
        <w:spacing w:line="480" w:lineRule="exact"/>
        <w:textAlignment w:val="top"/>
        <w:rPr>
          <w:rFonts w:ascii="仿宋" w:hAnsi="仿宋" w:eastAsia="仿宋"/>
          <w:b/>
          <w:color w:val="000000"/>
          <w:sz w:val="36"/>
        </w:rPr>
      </w:pPr>
    </w:p>
    <w:p>
      <w:pPr>
        <w:pStyle w:val="32"/>
        <w:spacing w:line="320" w:lineRule="exact"/>
        <w:ind w:firstLine="5250" w:firstLineChars="1750"/>
        <w:textAlignment w:val="top"/>
        <w:rPr>
          <w:rFonts w:ascii="仿宋" w:hAnsi="仿宋" w:eastAsia="仿宋"/>
          <w:color w:val="000000"/>
          <w:sz w:val="30"/>
          <w:szCs w:val="30"/>
        </w:rPr>
      </w:pPr>
    </w:p>
    <w:p>
      <w:pPr>
        <w:pStyle w:val="32"/>
        <w:spacing w:line="320" w:lineRule="exact"/>
        <w:ind w:firstLine="5250" w:firstLineChars="1750"/>
        <w:textAlignment w:val="top"/>
        <w:rPr>
          <w:rFonts w:ascii="仿宋" w:hAnsi="仿宋" w:eastAsia="仿宋"/>
          <w:color w:val="000000"/>
          <w:sz w:val="30"/>
          <w:szCs w:val="30"/>
        </w:rPr>
      </w:pPr>
    </w:p>
    <w:p>
      <w:pPr>
        <w:pStyle w:val="32"/>
        <w:spacing w:line="320" w:lineRule="exact"/>
        <w:ind w:firstLine="5250" w:firstLineChars="1750"/>
        <w:textAlignment w:val="top"/>
        <w:rPr>
          <w:rFonts w:ascii="仿宋" w:hAnsi="仿宋" w:eastAsia="仿宋"/>
          <w:color w:val="000000"/>
          <w:sz w:val="30"/>
          <w:szCs w:val="30"/>
        </w:rPr>
      </w:pPr>
    </w:p>
    <w:p>
      <w:pPr>
        <w:pStyle w:val="32"/>
        <w:spacing w:line="400" w:lineRule="exact"/>
        <w:jc w:val="both"/>
        <w:textAlignment w:val="top"/>
        <w:rPr>
          <w:rFonts w:ascii="仿宋" w:hAnsi="仿宋" w:eastAsia="仿宋"/>
          <w:color w:val="000000"/>
          <w:sz w:val="30"/>
          <w:szCs w:val="30"/>
        </w:rPr>
      </w:pPr>
    </w:p>
    <w:p>
      <w:pPr>
        <w:pStyle w:val="32"/>
        <w:spacing w:after="156" w:afterLines="50" w:line="400" w:lineRule="exact"/>
        <w:jc w:val="right"/>
        <w:textAlignment w:val="top"/>
        <w:rPr>
          <w:rFonts w:hint="eastAsia" w:ascii="仿宋" w:hAnsi="仿宋" w:eastAsia="仿宋" w:cs="Times New Roman"/>
          <w:sz w:val="32"/>
          <w:szCs w:val="32"/>
          <w:lang w:val="en-US" w:eastAsia="zh-CN" w:bidi="ar-SA"/>
        </w:rPr>
      </w:pPr>
      <w:r>
        <w:rPr>
          <w:rFonts w:hint="eastAsia" w:ascii="仿宋" w:hAnsi="仿宋" w:eastAsia="仿宋"/>
          <w:color w:val="000000"/>
          <w:sz w:val="30"/>
          <w:szCs w:val="30"/>
        </w:rPr>
        <w:t xml:space="preserve">                                    </w:t>
      </w:r>
      <w:r>
        <w:rPr>
          <w:rFonts w:hint="eastAsia" w:ascii="仿宋" w:hAnsi="仿宋" w:eastAsia="仿宋"/>
          <w:color w:val="FF0000"/>
          <w:sz w:val="30"/>
          <w:szCs w:val="30"/>
        </w:rPr>
        <w:t xml:space="preserve"> </w:t>
      </w:r>
      <w:bookmarkStart w:id="0" w:name="_GoBack"/>
      <w:r>
        <w:rPr>
          <w:rFonts w:hint="eastAsia" w:ascii="仿宋" w:hAnsi="仿宋" w:eastAsia="仿宋" w:cs="Times New Roman"/>
          <w:sz w:val="32"/>
          <w:szCs w:val="32"/>
          <w:lang w:val="en-US" w:eastAsia="zh-CN" w:bidi="ar-SA"/>
        </w:rPr>
        <w:t>岳环评[2021]</w:t>
      </w:r>
      <w:del w:id="0" w:author="王志勤" w:date="2021-03-18T20:16:41Z">
        <w:r>
          <w:rPr>
            <w:rFonts w:hint="default" w:ascii="仿宋" w:hAnsi="仿宋" w:eastAsia="仿宋" w:cs="Times New Roman"/>
            <w:sz w:val="32"/>
            <w:szCs w:val="32"/>
            <w:lang w:val="en-US" w:eastAsia="zh-CN" w:bidi="ar-SA"/>
          </w:rPr>
          <w:delText xml:space="preserve">  </w:delText>
        </w:r>
      </w:del>
      <w:ins w:id="1" w:author="王志勤" w:date="2021-03-18T20:16:41Z">
        <w:r>
          <w:rPr>
            <w:rFonts w:hint="eastAsia" w:ascii="仿宋" w:hAnsi="仿宋" w:eastAsia="仿宋" w:cs="Times New Roman"/>
            <w:sz w:val="32"/>
            <w:szCs w:val="32"/>
            <w:lang w:val="en-US" w:eastAsia="zh-CN" w:bidi="ar-SA"/>
          </w:rPr>
          <w:t>17</w:t>
        </w:r>
      </w:ins>
      <w:r>
        <w:rPr>
          <w:rFonts w:hint="eastAsia" w:ascii="仿宋" w:hAnsi="仿宋" w:eastAsia="仿宋" w:cs="Times New Roman"/>
          <w:sz w:val="32"/>
          <w:szCs w:val="32"/>
          <w:lang w:val="en-US" w:eastAsia="zh-CN" w:bidi="ar-SA"/>
        </w:rPr>
        <w:t>号</w:t>
      </w:r>
      <w:bookmarkEnd w:id="0"/>
    </w:p>
    <w:p>
      <w:pPr>
        <w:autoSpaceDE w:val="0"/>
        <w:autoSpaceDN w:val="0"/>
        <w:adjustRightInd w:val="0"/>
        <w:ind w:left="177" w:hanging="177" w:firstLineChars="0"/>
        <w:jc w:val="center"/>
        <w:rPr>
          <w:rFonts w:ascii="宋体" w:hAnsi="宋体" w:cs="黑体"/>
          <w:b/>
          <w:color w:val="000000"/>
          <w:sz w:val="36"/>
          <w:szCs w:val="36"/>
        </w:rPr>
      </w:pPr>
      <w:r>
        <w:rPr>
          <w:rFonts w:hint="eastAsia" w:ascii="宋体" w:hAnsi="宋体"/>
          <w:b/>
          <w:bCs/>
          <w:sz w:val="36"/>
          <w:szCs w:val="36"/>
        </w:rPr>
        <w:t>关于</w:t>
      </w:r>
      <w:r>
        <w:rPr>
          <w:rFonts w:hint="eastAsia" w:ascii="宋体" w:hAnsi="宋体"/>
          <w:b/>
          <w:bCs/>
          <w:sz w:val="36"/>
          <w:szCs w:val="36"/>
          <w:lang w:val="en-US" w:eastAsia="zh-CN"/>
        </w:rPr>
        <w:t>岳阳市凌峰化工有限公司1.5万吨/年碳酸二甲酯及1万吨/年醋酸甲酯项目</w:t>
      </w:r>
      <w:r>
        <w:rPr>
          <w:rFonts w:ascii="宋体" w:hAnsi="宋体"/>
          <w:b/>
          <w:sz w:val="36"/>
          <w:szCs w:val="36"/>
        </w:rPr>
        <w:t>环境影响报告书</w:t>
      </w:r>
      <w:r>
        <w:rPr>
          <w:rFonts w:hint="eastAsia" w:ascii="宋体" w:hAnsi="宋体"/>
          <w:b/>
          <w:sz w:val="36"/>
          <w:szCs w:val="36"/>
        </w:rPr>
        <w:t>的批复</w:t>
      </w:r>
    </w:p>
    <w:p>
      <w:pPr>
        <w:pStyle w:val="32"/>
        <w:spacing w:line="480" w:lineRule="exact"/>
        <w:ind w:left="177" w:hanging="156" w:hangingChars="49"/>
        <w:jc w:val="center"/>
        <w:textAlignment w:val="top"/>
        <w:rPr>
          <w:rFonts w:hint="eastAsia" w:ascii="仿宋" w:hAnsi="仿宋" w:eastAsia="仿宋" w:cs="仿宋"/>
          <w:b w:val="0"/>
          <w:bCs/>
          <w:color w:val="FF0000"/>
          <w:sz w:val="32"/>
          <w:szCs w:val="32"/>
        </w:rPr>
      </w:pPr>
    </w:p>
    <w:p>
      <w:pPr>
        <w:keepNext w:val="0"/>
        <w:keepLines w:val="0"/>
        <w:pageBreakBefore w:val="0"/>
        <w:widowControl w:val="0"/>
        <w:kinsoku/>
        <w:wordWrap/>
        <w:overflowPunct/>
        <w:topLinePunct w:val="0"/>
        <w:autoSpaceDE/>
        <w:autoSpaceDN/>
        <w:bidi w:val="0"/>
        <w:spacing w:line="480" w:lineRule="exact"/>
        <w:ind w:left="0" w:leftChars="0" w:firstLine="0" w:firstLineChars="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岳阳市凌峰化工有限公司</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sz w:val="32"/>
          <w:szCs w:val="32"/>
        </w:rPr>
      </w:pPr>
      <w:r>
        <w:rPr>
          <w:rFonts w:hint="eastAsia" w:ascii="仿宋" w:hAnsi="仿宋" w:eastAsia="仿宋"/>
          <w:sz w:val="32"/>
          <w:szCs w:val="32"/>
        </w:rPr>
        <w:t>你公司《</w:t>
      </w:r>
      <w:r>
        <w:rPr>
          <w:rFonts w:hint="eastAsia" w:ascii="仿宋" w:hAnsi="仿宋" w:eastAsia="仿宋"/>
          <w:sz w:val="32"/>
          <w:szCs w:val="32"/>
          <w:lang w:val="en-US" w:eastAsia="zh-CN"/>
        </w:rPr>
        <w:t>关于请求批复&lt;岳阳市凌峰化工有限公司1.5万吨/年碳酸二甲酯及1万吨/年醋酸甲酯项目环境影响报告书&gt;的报告》、岳阳市生态环境局云溪分</w:t>
      </w:r>
      <w:r>
        <w:rPr>
          <w:rFonts w:hint="eastAsia" w:ascii="仿宋" w:hAnsi="仿宋" w:eastAsia="仿宋"/>
          <w:sz w:val="32"/>
          <w:szCs w:val="32"/>
        </w:rPr>
        <w:t>局的预审意见及有关附件悉收。经研究，批复如下：</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val="en-US" w:eastAsia="zh-CN"/>
        </w:rPr>
        <w:t>岳阳市凌峰化工有限公司位于湖南岳阳绿色化工产业园，拟投资113.5万元在厂区内建设1.5万吨/年碳酸二甲酯及1万吨/年醋酸甲酯项目，本项</w:t>
      </w:r>
      <w:r>
        <w:rPr>
          <w:rFonts w:hint="eastAsia" w:ascii="仿宋" w:hAnsi="仿宋" w:eastAsia="仿宋" w:cs="Times New Roman"/>
          <w:sz w:val="32"/>
          <w:szCs w:val="32"/>
          <w:lang w:val="en-US" w:eastAsia="zh-CN"/>
        </w:rPr>
        <w:t>目外购含甲醇等杂质的碳酸二甲酯，先经过预处理、萃取后得到碳酸二甲酯和甲醇，其中碳酸二甲酯经过蒸馏提纯后作为产品外售，甲醇经过精馏后与过量醋酸发生酯化反应脱水后得到醋酸甲酯；项目主要建设内容为：新建一套酯化反应及脱水装置，利用企业一期工程的原料油精馏装置及储罐等设施，办公楼、食堂、宿舍、废气处理装置、危废储存间、厂区废水处理站等措施依托企业现有。根据湖南衡润科技</w:t>
      </w:r>
      <w:r>
        <w:rPr>
          <w:rFonts w:hint="eastAsia" w:ascii="仿宋" w:hAnsi="仿宋" w:eastAsia="仿宋"/>
          <w:sz w:val="32"/>
          <w:szCs w:val="32"/>
          <w:lang w:val="en-US" w:eastAsia="zh-CN"/>
        </w:rPr>
        <w:t>有限公司</w:t>
      </w:r>
      <w:r>
        <w:rPr>
          <w:rFonts w:hint="eastAsia" w:ascii="仿宋" w:hAnsi="仿宋" w:eastAsia="仿宋"/>
          <w:sz w:val="32"/>
          <w:szCs w:val="32"/>
        </w:rPr>
        <w:t>编制的《</w:t>
      </w:r>
      <w:r>
        <w:rPr>
          <w:rFonts w:hint="eastAsia" w:ascii="仿宋" w:hAnsi="仿宋" w:eastAsia="仿宋"/>
          <w:sz w:val="32"/>
          <w:szCs w:val="32"/>
          <w:lang w:val="en-US" w:eastAsia="zh-CN"/>
        </w:rPr>
        <w:t>岳阳市凌峰化工有限公司1.5万吨/年碳酸二甲酯及1万吨/年醋酸甲酯项目环境影响报告书</w:t>
      </w:r>
      <w:r>
        <w:rPr>
          <w:rFonts w:hint="eastAsia" w:ascii="仿宋" w:hAnsi="仿宋" w:eastAsia="仿宋"/>
          <w:sz w:val="32"/>
          <w:szCs w:val="32"/>
        </w:rPr>
        <w:t>（报批稿）》基本内容、结论、专家评审意见及岳阳市生态环境局云溪分局预审意见，从环境保护角度考虑，</w:t>
      </w:r>
      <w:r>
        <w:rPr>
          <w:rFonts w:hint="eastAsia" w:ascii="仿宋" w:hAnsi="仿宋" w:eastAsia="仿宋"/>
          <w:color w:val="000000"/>
          <w:sz w:val="32"/>
          <w:szCs w:val="32"/>
        </w:rPr>
        <w:t>我局原则同意你公司环境影响报告书中的环境影响评价结论和环境保护对策措施</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sz w:val="32"/>
          <w:szCs w:val="32"/>
        </w:rPr>
      </w:pPr>
      <w:r>
        <w:rPr>
          <w:rFonts w:hint="eastAsia" w:ascii="仿宋" w:hAnsi="仿宋" w:eastAsia="仿宋"/>
          <w:sz w:val="32"/>
          <w:szCs w:val="32"/>
        </w:rPr>
        <w:t>二、认真落实专家及环境影响报告书中提出的各项污染防治措施，并应着重注意以下问题：</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、废水污染防治工作。严格按照“雨污分流、清污分流”的原则规范厂区雨水及污水管网。</w:t>
      </w:r>
      <w:r>
        <w:rPr>
          <w:rFonts w:hint="eastAsia" w:ascii="仿宋" w:hAnsi="仿宋" w:eastAsia="仿宋" w:cs="仿宋"/>
          <w:color w:val="auto"/>
          <w:sz w:val="32"/>
          <w:szCs w:val="32"/>
          <w:lang w:val="en-US" w:eastAsia="zh-CN"/>
        </w:rPr>
        <w:t>项目循环水排污、催化剂清洗废水、设备清洗废水、地面清洗废水、初期雨水经处理达《石油化学工业污染物排放标准》（GB31571-2015）间接排放标准、《合成树脂工业污染物排放标准》（GB31572-2015）间接排放标准和园区污水处理厂污水接纳要求</w:t>
      </w:r>
      <w:r>
        <w:rPr>
          <w:rFonts w:hint="eastAsia" w:ascii="仿宋" w:hAnsi="仿宋" w:eastAsia="仿宋"/>
          <w:color w:val="auto"/>
          <w:sz w:val="32"/>
          <w:szCs w:val="32"/>
        </w:rPr>
        <w:t>后，</w:t>
      </w:r>
      <w:r>
        <w:rPr>
          <w:rFonts w:hint="eastAsia" w:ascii="仿宋" w:hAnsi="仿宋" w:eastAsia="仿宋"/>
          <w:color w:val="auto"/>
          <w:sz w:val="32"/>
          <w:szCs w:val="32"/>
          <w:lang w:val="en-US" w:eastAsia="zh-CN"/>
        </w:rPr>
        <w:t>通过园区</w:t>
      </w:r>
      <w:r>
        <w:rPr>
          <w:rFonts w:hint="eastAsia" w:ascii="仿宋" w:hAnsi="仿宋" w:eastAsia="仿宋"/>
          <w:color w:val="auto"/>
          <w:sz w:val="32"/>
          <w:szCs w:val="32"/>
        </w:rPr>
        <w:t>管网排至</w:t>
      </w:r>
      <w:r>
        <w:rPr>
          <w:rFonts w:hint="eastAsia" w:ascii="仿宋" w:hAnsi="仿宋" w:eastAsia="仿宋"/>
          <w:color w:val="auto"/>
          <w:sz w:val="32"/>
          <w:szCs w:val="32"/>
          <w:lang w:eastAsia="zh-CN"/>
        </w:rPr>
        <w:t>园</w:t>
      </w:r>
      <w:r>
        <w:rPr>
          <w:rFonts w:hint="eastAsia" w:ascii="仿宋" w:hAnsi="仿宋" w:eastAsia="仿宋" w:cs="仿宋"/>
          <w:color w:val="auto"/>
          <w:sz w:val="32"/>
          <w:szCs w:val="32"/>
          <w:lang w:val="en-US" w:eastAsia="zh-CN"/>
        </w:rPr>
        <w:t>区污水处理厂深度处理</w:t>
      </w:r>
      <w:r>
        <w:rPr>
          <w:rFonts w:ascii="仿宋" w:hAnsi="仿宋" w:eastAsia="仿宋"/>
          <w:color w:val="auto"/>
          <w:sz w:val="32"/>
          <w:szCs w:val="32"/>
        </w:rPr>
        <w:t>。</w:t>
      </w:r>
    </w:p>
    <w:p>
      <w:pPr>
        <w:pStyle w:val="33"/>
        <w:keepNext w:val="0"/>
        <w:keepLines w:val="0"/>
        <w:pageBreakBefore w:val="0"/>
        <w:widowControl w:val="0"/>
        <w:kinsoku/>
        <w:wordWrap/>
        <w:overflowPunct/>
        <w:topLinePunct w:val="0"/>
        <w:autoSpaceDE/>
        <w:autoSpaceDN/>
        <w:bidi w:val="0"/>
        <w:adjustRightInd w:val="0"/>
        <w:spacing w:line="480" w:lineRule="exact"/>
        <w:ind w:left="0" w:firstLine="640"/>
        <w:jc w:val="both"/>
        <w:rPr>
          <w:rFonts w:ascii="仿宋" w:hAnsi="仿宋" w:eastAsia="仿宋" w:cs="仿宋_GB2312"/>
          <w:color w:val="000000"/>
          <w:sz w:val="32"/>
          <w:szCs w:val="32"/>
        </w:rPr>
      </w:pPr>
      <w:r>
        <w:rPr>
          <w:rFonts w:hint="eastAsia" w:ascii="仿宋" w:hAnsi="仿宋" w:eastAsia="仿宋" w:cs="仿宋_GB2312"/>
          <w:color w:val="auto"/>
          <w:sz w:val="32"/>
          <w:szCs w:val="32"/>
        </w:rPr>
        <w:t>2</w:t>
      </w:r>
      <w:r>
        <w:rPr>
          <w:rFonts w:ascii="仿宋" w:hAnsi="仿宋" w:eastAsia="仿宋" w:cs="仿宋_GB2312"/>
          <w:color w:val="auto"/>
          <w:sz w:val="32"/>
          <w:szCs w:val="32"/>
        </w:rPr>
        <w:t>、废气污染防治工作。</w:t>
      </w:r>
      <w:r>
        <w:rPr>
          <w:rFonts w:hint="eastAsia" w:eastAsia="仿宋"/>
          <w:color w:val="auto"/>
          <w:sz w:val="32"/>
          <w:szCs w:val="32"/>
        </w:rPr>
        <w:t>严格</w:t>
      </w:r>
      <w:r>
        <w:rPr>
          <w:rFonts w:hint="eastAsia" w:eastAsia="仿宋"/>
          <w:sz w:val="32"/>
          <w:szCs w:val="32"/>
        </w:rPr>
        <w:t>控制项目废气污染，加强日常监管，定期对设备、管道、阀门、法兰等进行维护和管理，杜绝生产过程中的跑、冒、滴、漏，最大限度减少生产过程中的废气无组织排放，</w:t>
      </w:r>
      <w:r>
        <w:rPr>
          <w:rFonts w:hint="eastAsia" w:ascii="仿宋" w:hAnsi="仿宋" w:eastAsia="仿宋" w:cs="仿宋_GB2312"/>
          <w:color w:val="000000"/>
          <w:sz w:val="32"/>
          <w:szCs w:val="32"/>
        </w:rPr>
        <w:t>厂界非甲烷总烃执行</w:t>
      </w:r>
      <w:r>
        <w:rPr>
          <w:rFonts w:hint="eastAsia" w:ascii="仿宋" w:hAnsi="仿宋" w:eastAsia="仿宋" w:cs="仿宋"/>
          <w:sz w:val="32"/>
          <w:szCs w:val="32"/>
          <w:lang w:val="en-US" w:eastAsia="zh-CN"/>
        </w:rPr>
        <w:t>《石油化学工业污染物排放标准》（GB31571-2015）表7</w:t>
      </w:r>
      <w:r>
        <w:rPr>
          <w:rFonts w:hint="eastAsia" w:ascii="仿宋" w:hAnsi="仿宋" w:eastAsia="仿宋" w:cs="仿宋_GB2312"/>
          <w:color w:val="000000"/>
          <w:sz w:val="32"/>
          <w:szCs w:val="32"/>
        </w:rPr>
        <w:t>标准限值，</w:t>
      </w:r>
      <w:r>
        <w:rPr>
          <w:rFonts w:hint="eastAsia" w:ascii="仿宋" w:hAnsi="仿宋" w:eastAsia="仿宋" w:cs="仿宋_GB2312"/>
          <w:color w:val="000000"/>
          <w:sz w:val="32"/>
          <w:szCs w:val="32"/>
          <w:lang w:val="en-US" w:eastAsia="zh-CN"/>
        </w:rPr>
        <w:t>甲醇</w:t>
      </w:r>
      <w:r>
        <w:rPr>
          <w:rFonts w:hint="eastAsia" w:ascii="仿宋" w:hAnsi="仿宋" w:eastAsia="仿宋" w:cs="仿宋_GB2312"/>
          <w:color w:val="000000"/>
          <w:sz w:val="32"/>
          <w:szCs w:val="32"/>
        </w:rPr>
        <w:t>执行</w:t>
      </w:r>
      <w:r>
        <w:rPr>
          <w:rFonts w:hint="eastAsia" w:ascii="仿宋" w:hAnsi="仿宋" w:eastAsia="仿宋" w:cs="仿宋"/>
          <w:sz w:val="32"/>
          <w:szCs w:val="32"/>
          <w:lang w:val="en-US" w:eastAsia="zh-CN"/>
        </w:rPr>
        <w:t>《大气污染物综合排放标准》（GB16297-1996）表4</w:t>
      </w:r>
      <w:r>
        <w:rPr>
          <w:rFonts w:hint="eastAsia" w:ascii="仿宋" w:hAnsi="仿宋" w:eastAsia="仿宋" w:cs="仿宋_GB2312"/>
          <w:color w:val="000000"/>
          <w:sz w:val="32"/>
          <w:szCs w:val="32"/>
        </w:rPr>
        <w:t>标准限值</w:t>
      </w:r>
      <w:r>
        <w:rPr>
          <w:rFonts w:hint="eastAsia" w:ascii="仿宋" w:hAnsi="仿宋" w:eastAsia="仿宋" w:cs="仿宋_GB2312"/>
          <w:color w:val="000000"/>
          <w:sz w:val="32"/>
          <w:szCs w:val="32"/>
          <w:lang w:eastAsia="zh-CN"/>
        </w:rPr>
        <w:t>，</w:t>
      </w:r>
      <w:r>
        <w:rPr>
          <w:rFonts w:hint="eastAsia" w:ascii="仿宋" w:hAnsi="仿宋" w:eastAsia="仿宋"/>
          <w:color w:val="000000"/>
          <w:sz w:val="32"/>
          <w:szCs w:val="32"/>
          <w:lang w:val="en-US" w:eastAsia="zh-CN"/>
        </w:rPr>
        <w:t>厂区内VOCs执行《挥发性有机物无组织排放控制标准》(GB37822-2019）；</w:t>
      </w:r>
      <w:r>
        <w:rPr>
          <w:rFonts w:hint="eastAsia" w:ascii="仿宋" w:hAnsi="仿宋" w:eastAsia="仿宋" w:cs="仿宋_GB2312"/>
          <w:color w:val="000000"/>
          <w:sz w:val="32"/>
          <w:szCs w:val="32"/>
          <w:lang w:val="en-US" w:eastAsia="zh-CN"/>
        </w:rPr>
        <w:t>生产工艺废气经处理，</w:t>
      </w:r>
      <w:r>
        <w:rPr>
          <w:rFonts w:hint="eastAsia" w:ascii="仿宋" w:hAnsi="仿宋" w:eastAsia="仿宋" w:cs="仿宋_GB2312"/>
          <w:color w:val="000000"/>
          <w:sz w:val="32"/>
          <w:szCs w:val="32"/>
        </w:rPr>
        <w:t>满足</w:t>
      </w:r>
      <w:r>
        <w:rPr>
          <w:rFonts w:hint="eastAsia" w:ascii="仿宋" w:hAnsi="仿宋" w:eastAsia="仿宋" w:cs="仿宋"/>
          <w:sz w:val="32"/>
          <w:szCs w:val="32"/>
          <w:lang w:val="en-US" w:eastAsia="zh-CN"/>
        </w:rPr>
        <w:t>《石油化学工业污染物排放标准》（GB31571-2015）表6</w:t>
      </w:r>
      <w:r>
        <w:rPr>
          <w:rFonts w:hint="eastAsia" w:ascii="仿宋" w:hAnsi="仿宋" w:eastAsia="仿宋" w:cs="仿宋_GB2312"/>
          <w:color w:val="000000"/>
          <w:sz w:val="32"/>
          <w:szCs w:val="32"/>
        </w:rPr>
        <w:t>要求后，通过</w:t>
      </w:r>
      <w:r>
        <w:rPr>
          <w:rFonts w:hint="eastAsia" w:ascii="仿宋" w:hAnsi="仿宋" w:eastAsia="仿宋" w:cs="仿宋_GB2312"/>
          <w:color w:val="000000"/>
          <w:sz w:val="32"/>
          <w:szCs w:val="32"/>
          <w:lang w:val="en-US" w:eastAsia="zh-CN"/>
        </w:rPr>
        <w:t>20</w:t>
      </w:r>
      <w:r>
        <w:rPr>
          <w:rFonts w:hint="eastAsia" w:ascii="仿宋" w:hAnsi="仿宋" w:eastAsia="仿宋" w:cs="仿宋_GB2312"/>
          <w:color w:val="000000"/>
          <w:sz w:val="32"/>
          <w:szCs w:val="32"/>
        </w:rPr>
        <w:t>米</w:t>
      </w:r>
      <w:r>
        <w:rPr>
          <w:rFonts w:hint="eastAsia" w:ascii="仿宋" w:hAnsi="仿宋" w:eastAsia="仿宋" w:cs="仿宋_GB2312"/>
          <w:color w:val="000000"/>
          <w:sz w:val="32"/>
          <w:szCs w:val="32"/>
          <w:lang w:val="en-US" w:eastAsia="zh-CN"/>
        </w:rPr>
        <w:t>高</w:t>
      </w:r>
      <w:r>
        <w:rPr>
          <w:rFonts w:hint="eastAsia" w:ascii="仿宋" w:hAnsi="仿宋" w:eastAsia="仿宋" w:cs="仿宋_GB2312"/>
          <w:color w:val="000000"/>
          <w:sz w:val="32"/>
          <w:szCs w:val="32"/>
        </w:rPr>
        <w:t>排气筒排放</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储罐废气经处理，</w:t>
      </w:r>
      <w:r>
        <w:rPr>
          <w:rFonts w:hint="eastAsia" w:ascii="仿宋" w:hAnsi="仿宋" w:eastAsia="仿宋" w:cs="仿宋_GB2312"/>
          <w:color w:val="000000"/>
          <w:sz w:val="32"/>
          <w:szCs w:val="32"/>
        </w:rPr>
        <w:t>满足</w:t>
      </w:r>
      <w:r>
        <w:rPr>
          <w:rFonts w:hint="eastAsia" w:ascii="仿宋" w:hAnsi="仿宋" w:eastAsia="仿宋" w:cs="仿宋"/>
          <w:sz w:val="32"/>
          <w:szCs w:val="32"/>
          <w:lang w:val="en-US" w:eastAsia="zh-CN"/>
        </w:rPr>
        <w:t>《石油化学工业污染物排放标准》（GB31571-2015）表6</w:t>
      </w:r>
      <w:r>
        <w:rPr>
          <w:rFonts w:hint="eastAsia" w:ascii="仿宋" w:hAnsi="仿宋" w:eastAsia="仿宋" w:cs="仿宋_GB2312"/>
          <w:color w:val="000000"/>
          <w:sz w:val="32"/>
          <w:szCs w:val="32"/>
        </w:rPr>
        <w:t>要求后，通过</w:t>
      </w:r>
      <w:r>
        <w:rPr>
          <w:rFonts w:hint="eastAsia" w:ascii="仿宋" w:hAnsi="仿宋" w:eastAsia="仿宋" w:cs="仿宋_GB2312"/>
          <w:color w:val="000000"/>
          <w:sz w:val="32"/>
          <w:szCs w:val="32"/>
          <w:lang w:val="en-US" w:eastAsia="zh-CN"/>
        </w:rPr>
        <w:t>15</w:t>
      </w:r>
      <w:r>
        <w:rPr>
          <w:rFonts w:hint="eastAsia" w:ascii="仿宋" w:hAnsi="仿宋" w:eastAsia="仿宋" w:cs="仿宋_GB2312"/>
          <w:color w:val="000000"/>
          <w:sz w:val="32"/>
          <w:szCs w:val="32"/>
        </w:rPr>
        <w:t>米</w:t>
      </w:r>
      <w:r>
        <w:rPr>
          <w:rFonts w:hint="eastAsia" w:ascii="仿宋" w:hAnsi="仿宋" w:eastAsia="仿宋" w:cs="仿宋_GB2312"/>
          <w:color w:val="000000"/>
          <w:sz w:val="32"/>
          <w:szCs w:val="32"/>
          <w:lang w:val="en-US" w:eastAsia="zh-CN"/>
        </w:rPr>
        <w:t>高</w:t>
      </w:r>
      <w:r>
        <w:rPr>
          <w:rFonts w:hint="eastAsia" w:ascii="仿宋" w:hAnsi="仿宋" w:eastAsia="仿宋" w:cs="仿宋_GB2312"/>
          <w:color w:val="000000"/>
          <w:sz w:val="32"/>
          <w:szCs w:val="32"/>
        </w:rPr>
        <w:t>排气筒排放。</w:t>
      </w:r>
      <w:r>
        <w:rPr>
          <w:rFonts w:ascii="仿宋" w:hAnsi="仿宋" w:eastAsia="仿宋" w:cs="仿宋_GB2312"/>
          <w:color w:val="000000"/>
          <w:sz w:val="32"/>
          <w:szCs w:val="32"/>
        </w:rPr>
        <w:t xml:space="preserve"> </w:t>
      </w:r>
    </w:p>
    <w:p>
      <w:pPr>
        <w:keepNext w:val="0"/>
        <w:keepLines w:val="0"/>
        <w:pageBreakBefore w:val="0"/>
        <w:widowControl w:val="0"/>
        <w:kinsoku/>
        <w:wordWrap/>
        <w:overflowPunct/>
        <w:topLinePunct w:val="0"/>
        <w:autoSpaceDE/>
        <w:autoSpaceDN/>
        <w:bidi w:val="0"/>
        <w:spacing w:line="480" w:lineRule="exact"/>
        <w:ind w:firstLine="640"/>
        <w:rPr>
          <w:rFonts w:ascii="仿宋" w:hAnsi="仿宋" w:eastAsia="仿宋" w:cs="仿宋_GB2312"/>
          <w:color w:val="000000"/>
          <w:sz w:val="32"/>
          <w:szCs w:val="32"/>
        </w:rPr>
      </w:pPr>
      <w:r>
        <w:rPr>
          <w:rFonts w:hint="eastAsia" w:ascii="仿宋" w:hAnsi="仿宋" w:eastAsia="仿宋"/>
          <w:sz w:val="32"/>
          <w:szCs w:val="32"/>
        </w:rPr>
        <w:t>3</w:t>
      </w:r>
      <w:r>
        <w:rPr>
          <w:rFonts w:ascii="仿宋" w:hAnsi="仿宋" w:eastAsia="仿宋"/>
          <w:sz w:val="32"/>
          <w:szCs w:val="32"/>
        </w:rPr>
        <w:t>、</w:t>
      </w:r>
      <w:r>
        <w:rPr>
          <w:rFonts w:ascii="仿宋" w:hAnsi="仿宋" w:eastAsia="仿宋" w:cs="仿宋_GB2312"/>
          <w:color w:val="000000"/>
          <w:sz w:val="32"/>
          <w:szCs w:val="32"/>
        </w:rPr>
        <w:t>噪声污染防治工作。采用低噪声设备，合理安排工作时间，</w:t>
      </w:r>
      <w:r>
        <w:rPr>
          <w:rFonts w:hint="eastAsia" w:ascii="仿宋" w:hAnsi="仿宋" w:eastAsia="仿宋" w:cs="仿宋_GB2312"/>
          <w:color w:val="000000"/>
          <w:sz w:val="32"/>
          <w:szCs w:val="32"/>
          <w:lang w:val="en-US" w:eastAsia="zh-CN"/>
        </w:rPr>
        <w:t>采取隔声、减振措施</w:t>
      </w:r>
      <w:r>
        <w:rPr>
          <w:rFonts w:ascii="仿宋" w:hAnsi="仿宋" w:eastAsia="仿宋" w:cs="仿宋_GB2312"/>
          <w:color w:val="000000"/>
          <w:sz w:val="32"/>
          <w:szCs w:val="32"/>
        </w:rPr>
        <w:t>，确保厂界噪声达到《工业企业厂界环境噪声排放标准》(GB12348-2008)中的3类标准要求。</w:t>
      </w:r>
    </w:p>
    <w:p>
      <w:pPr>
        <w:keepNext w:val="0"/>
        <w:keepLines w:val="0"/>
        <w:pageBreakBefore w:val="0"/>
        <w:kinsoku/>
        <w:wordWrap/>
        <w:overflowPunct/>
        <w:topLinePunct w:val="0"/>
        <w:autoSpaceDE/>
        <w:autoSpaceDN/>
        <w:bidi w:val="0"/>
        <w:adjustRightInd/>
        <w:spacing w:line="492" w:lineRule="exact"/>
        <w:ind w:firstLine="640"/>
        <w:jc w:val="both"/>
        <w:rPr>
          <w:rFonts w:ascii="仿宋" w:hAnsi="仿宋" w:eastAsia="仿宋"/>
          <w:color w:val="000000"/>
          <w:kern w:val="0"/>
          <w:sz w:val="32"/>
          <w:szCs w:val="32"/>
        </w:rPr>
      </w:pPr>
      <w:r>
        <w:rPr>
          <w:rFonts w:hint="eastAsia" w:ascii="仿宋" w:hAnsi="仿宋" w:eastAsia="仿宋" w:cs="仿宋_GB2312"/>
          <w:color w:val="000000"/>
          <w:sz w:val="32"/>
          <w:szCs w:val="32"/>
        </w:rPr>
        <w:t>4</w:t>
      </w:r>
      <w:r>
        <w:rPr>
          <w:rFonts w:ascii="仿宋" w:hAnsi="仿宋" w:eastAsia="仿宋" w:cs="仿宋_GB2312"/>
          <w:color w:val="000000"/>
          <w:sz w:val="32"/>
          <w:szCs w:val="32"/>
        </w:rPr>
        <w:t>、固体废物防治工作。</w:t>
      </w:r>
      <w:r>
        <w:rPr>
          <w:rFonts w:hint="eastAsia" w:ascii="Times New Roman" w:hAnsi="仿宋" w:eastAsia="仿宋" w:cs="Times New Roman"/>
          <w:sz w:val="32"/>
          <w:szCs w:val="32"/>
        </w:rPr>
        <w:t>按</w:t>
      </w:r>
      <w:r>
        <w:rPr>
          <w:rFonts w:ascii="Times New Roman" w:hAnsi="Times New Roman" w:eastAsia="仿宋" w:cs="Times New Roman"/>
          <w:sz w:val="32"/>
          <w:szCs w:val="32"/>
        </w:rPr>
        <w:t>“</w:t>
      </w:r>
      <w:r>
        <w:rPr>
          <w:rFonts w:hint="eastAsia" w:ascii="Times New Roman" w:hAnsi="仿宋" w:eastAsia="仿宋" w:cs="Times New Roman"/>
          <w:sz w:val="32"/>
          <w:szCs w:val="32"/>
        </w:rPr>
        <w:t>无害化、减量化、资源化</w:t>
      </w:r>
      <w:r>
        <w:rPr>
          <w:rFonts w:ascii="Times New Roman" w:hAnsi="Times New Roman" w:eastAsia="仿宋" w:cs="Times New Roman"/>
          <w:sz w:val="32"/>
          <w:szCs w:val="32"/>
        </w:rPr>
        <w:t>”</w:t>
      </w:r>
      <w:r>
        <w:rPr>
          <w:rFonts w:hint="eastAsia" w:ascii="Times New Roman" w:hAnsi="仿宋" w:eastAsia="仿宋" w:cs="Times New Roman"/>
          <w:sz w:val="32"/>
          <w:szCs w:val="32"/>
        </w:rPr>
        <w:t>原则，做好固体分类收集、暂存工作，建立健全固体废物产生、转运、处置管理台帐。严格按《危险废物贮存污染控制标准（</w:t>
      </w:r>
      <w:r>
        <w:rPr>
          <w:rFonts w:ascii="Times New Roman" w:hAnsi="Times New Roman" w:eastAsia="仿宋" w:cs="Times New Roman"/>
          <w:sz w:val="32"/>
          <w:szCs w:val="32"/>
        </w:rPr>
        <w:t>GB18597-2001</w:t>
      </w:r>
      <w:r>
        <w:rPr>
          <w:rFonts w:hint="eastAsia" w:ascii="Times New Roman" w:hAnsi="仿宋" w:eastAsia="仿宋" w:cs="Times New Roman"/>
          <w:sz w:val="32"/>
          <w:szCs w:val="32"/>
        </w:rPr>
        <w:t>）》及</w:t>
      </w:r>
      <w:r>
        <w:rPr>
          <w:rFonts w:ascii="Times New Roman" w:hAnsi="仿宋" w:eastAsia="仿宋" w:cs="Times New Roman"/>
          <w:sz w:val="32"/>
          <w:szCs w:val="32"/>
        </w:rPr>
        <w:t>201</w:t>
      </w:r>
      <w:r>
        <w:rPr>
          <w:rFonts w:hint="eastAsia" w:ascii="Times New Roman" w:hAnsi="仿宋" w:eastAsia="仿宋" w:cs="Times New Roman"/>
          <w:sz w:val="32"/>
          <w:szCs w:val="32"/>
        </w:rPr>
        <w:t>3年修改单相关规定</w:t>
      </w:r>
      <w:r>
        <w:rPr>
          <w:rFonts w:hint="eastAsia" w:ascii="Times New Roman" w:hAnsi="仿宋" w:eastAsia="仿宋" w:cs="Times New Roman"/>
          <w:sz w:val="32"/>
          <w:szCs w:val="32"/>
          <w:lang w:val="en-US" w:eastAsia="zh-CN"/>
        </w:rPr>
        <w:t>管理</w:t>
      </w:r>
      <w:r>
        <w:rPr>
          <w:rFonts w:hint="eastAsia" w:ascii="Times New Roman" w:hAnsi="仿宋" w:eastAsia="仿宋" w:cs="Times New Roman"/>
          <w:sz w:val="32"/>
          <w:szCs w:val="32"/>
        </w:rPr>
        <w:t>危险废物暂存间，</w:t>
      </w:r>
      <w:r>
        <w:rPr>
          <w:rFonts w:hint="eastAsia" w:ascii="仿宋" w:hAnsi="仿宋" w:eastAsia="仿宋" w:cs="仿宋_GB2312"/>
          <w:color w:val="000000"/>
          <w:sz w:val="32"/>
          <w:szCs w:val="32"/>
          <w:lang w:val="en-US" w:eastAsia="zh-CN"/>
        </w:rPr>
        <w:t>废离子交换树脂、废活性炭</w:t>
      </w:r>
      <w:r>
        <w:rPr>
          <w:rFonts w:hint="eastAsia" w:ascii="仿宋" w:hAnsi="仿宋" w:eastAsia="仿宋" w:cs="仿宋_GB2312"/>
          <w:color w:val="000000"/>
          <w:sz w:val="32"/>
          <w:szCs w:val="32"/>
        </w:rPr>
        <w:t>等危险废物</w:t>
      </w:r>
      <w:r>
        <w:rPr>
          <w:rFonts w:ascii="仿宋" w:hAnsi="仿宋" w:eastAsia="仿宋" w:cs="仿宋_GB2312"/>
          <w:color w:val="000000"/>
          <w:sz w:val="32"/>
          <w:szCs w:val="32"/>
        </w:rPr>
        <w:t>应送有资质的单位安全处置，</w:t>
      </w:r>
      <w:r>
        <w:rPr>
          <w:rFonts w:hint="eastAsia" w:ascii="仿宋" w:hAnsi="仿宋" w:eastAsia="仿宋" w:cs="仿宋_GB2312"/>
          <w:color w:val="000000"/>
          <w:sz w:val="32"/>
          <w:szCs w:val="32"/>
        </w:rPr>
        <w:t>并执行</w:t>
      </w:r>
      <w:r>
        <w:rPr>
          <w:rFonts w:ascii="仿宋" w:hAnsi="仿宋" w:eastAsia="仿宋" w:cs="仿宋_GB2312"/>
          <w:color w:val="000000"/>
          <w:sz w:val="32"/>
          <w:szCs w:val="32"/>
        </w:rPr>
        <w:t>转移联单制度</w:t>
      </w:r>
      <w:r>
        <w:rPr>
          <w:rFonts w:hint="eastAsia" w:ascii="仿宋" w:hAnsi="仿宋" w:eastAsia="仿宋" w:cs="仿宋_GB2312"/>
          <w:color w:val="000000"/>
          <w:sz w:val="32"/>
          <w:szCs w:val="32"/>
          <w:lang w:eastAsia="zh-CN"/>
        </w:rPr>
        <w:t>；</w:t>
      </w:r>
      <w:r>
        <w:rPr>
          <w:rFonts w:hint="eastAsia" w:ascii="Times New Roman" w:hAnsi="仿宋" w:eastAsia="仿宋" w:cs="Times New Roman"/>
          <w:sz w:val="32"/>
          <w:szCs w:val="32"/>
        </w:rPr>
        <w:t>按《一般工业固体废物贮存、处置场污染控制标准》（</w:t>
      </w:r>
      <w:r>
        <w:rPr>
          <w:rFonts w:ascii="Times New Roman" w:hAnsi="仿宋" w:eastAsia="仿宋" w:cs="Times New Roman"/>
          <w:sz w:val="32"/>
          <w:szCs w:val="32"/>
        </w:rPr>
        <w:t>GB18599-2001</w:t>
      </w:r>
      <w:r>
        <w:rPr>
          <w:rFonts w:hint="eastAsia" w:ascii="Times New Roman" w:hAnsi="仿宋" w:eastAsia="仿宋" w:cs="Times New Roman"/>
          <w:sz w:val="32"/>
          <w:szCs w:val="32"/>
        </w:rPr>
        <w:t>）及</w:t>
      </w:r>
      <w:r>
        <w:rPr>
          <w:rFonts w:ascii="Times New Roman" w:hAnsi="仿宋" w:eastAsia="仿宋" w:cs="Times New Roman"/>
          <w:sz w:val="32"/>
          <w:szCs w:val="32"/>
        </w:rPr>
        <w:t>2013</w:t>
      </w:r>
      <w:r>
        <w:rPr>
          <w:rFonts w:hint="eastAsia" w:ascii="Times New Roman" w:hAnsi="仿宋" w:eastAsia="仿宋" w:cs="Times New Roman"/>
          <w:sz w:val="32"/>
          <w:szCs w:val="32"/>
        </w:rPr>
        <w:t>年修改单要求</w:t>
      </w:r>
      <w:r>
        <w:rPr>
          <w:rFonts w:hint="eastAsia" w:ascii="Times New Roman" w:hAnsi="仿宋" w:eastAsia="仿宋" w:cs="Times New Roman"/>
          <w:sz w:val="32"/>
          <w:szCs w:val="32"/>
          <w:lang w:val="en-US" w:eastAsia="zh-CN"/>
        </w:rPr>
        <w:t>收集</w:t>
      </w:r>
      <w:r>
        <w:rPr>
          <w:rFonts w:hint="eastAsia" w:ascii="Times New Roman" w:hAnsi="仿宋" w:eastAsia="仿宋" w:cs="Times New Roman"/>
          <w:sz w:val="32"/>
          <w:szCs w:val="32"/>
        </w:rPr>
        <w:t>、贮存和运输一般固体废物；</w:t>
      </w:r>
      <w:r>
        <w:rPr>
          <w:rFonts w:hint="eastAsia" w:ascii="仿宋" w:hAnsi="仿宋" w:eastAsia="仿宋"/>
          <w:color w:val="000000"/>
          <w:kern w:val="0"/>
          <w:sz w:val="32"/>
          <w:szCs w:val="32"/>
        </w:rPr>
        <w:t>生活垃圾定期交环卫部门处理。</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cs="仿宋_GB2312"/>
          <w:color w:val="000000"/>
          <w:sz w:val="32"/>
          <w:szCs w:val="32"/>
        </w:rPr>
      </w:pPr>
      <w:r>
        <w:rPr>
          <w:rFonts w:hint="eastAsia" w:ascii="仿宋" w:hAnsi="仿宋" w:eastAsia="仿宋" w:cs="仿宋_GB2312"/>
          <w:color w:val="000000"/>
          <w:sz w:val="32"/>
          <w:szCs w:val="32"/>
        </w:rPr>
        <w:t>5</w:t>
      </w:r>
      <w:r>
        <w:rPr>
          <w:rFonts w:ascii="仿宋" w:hAnsi="仿宋" w:eastAsia="仿宋" w:cs="仿宋_GB2312"/>
          <w:color w:val="000000"/>
          <w:sz w:val="32"/>
          <w:szCs w:val="32"/>
        </w:rPr>
        <w:t>、加强营运期风险防范。落实各项风险防范措施，加强设施设备的维护和管理，严格按照《突发环境事件应急预案管理暂行办法》要求制定事故环境应急预案，储备风险救助物资并组织演练，杜绝环境风险事故发生。</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cs="仿宋_GB2312"/>
          <w:color w:val="000000"/>
          <w:sz w:val="32"/>
          <w:szCs w:val="32"/>
        </w:rPr>
      </w:pPr>
      <w:r>
        <w:rPr>
          <w:rFonts w:hint="eastAsia" w:ascii="仿宋" w:hAnsi="仿宋" w:eastAsia="仿宋" w:cs="仿宋_GB2312"/>
          <w:color w:val="000000"/>
          <w:sz w:val="32"/>
          <w:szCs w:val="32"/>
        </w:rPr>
        <w:t>6</w:t>
      </w:r>
      <w:r>
        <w:rPr>
          <w:rFonts w:ascii="仿宋" w:hAnsi="仿宋" w:eastAsia="仿宋" w:cs="仿宋_GB2312"/>
          <w:color w:val="000000"/>
          <w:sz w:val="32"/>
          <w:szCs w:val="32"/>
        </w:rPr>
        <w:t>、加强环境管理，建立健全污染防治设施运行管理台帐，设专门的环保机构，配备专人负责环保工作，确保各项污染防治设施正常运行，各类污染物稳定达标排放。</w:t>
      </w:r>
    </w:p>
    <w:p>
      <w:pPr>
        <w:keepNext w:val="0"/>
        <w:keepLines w:val="0"/>
        <w:pageBreakBefore w:val="0"/>
        <w:widowControl w:val="0"/>
        <w:kinsoku/>
        <w:wordWrap/>
        <w:overflowPunct/>
        <w:topLinePunct w:val="0"/>
        <w:autoSpaceDE/>
        <w:autoSpaceDN/>
        <w:bidi w:val="0"/>
        <w:spacing w:line="480" w:lineRule="exact"/>
        <w:ind w:firstLine="640"/>
        <w:jc w:val="both"/>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7</w:t>
      </w:r>
      <w:r>
        <w:rPr>
          <w:rFonts w:ascii="仿宋" w:hAnsi="仿宋" w:eastAsia="仿宋" w:cs="仿宋_GB2312"/>
          <w:color w:val="000000"/>
          <w:sz w:val="32"/>
          <w:szCs w:val="32"/>
        </w:rPr>
        <w:t>、本项目</w:t>
      </w:r>
      <w:r>
        <w:rPr>
          <w:rFonts w:hint="eastAsia" w:ascii="仿宋" w:hAnsi="仿宋" w:eastAsia="仿宋" w:cs="仿宋_GB2312"/>
          <w:color w:val="000000"/>
          <w:sz w:val="32"/>
          <w:szCs w:val="32"/>
          <w:lang w:val="en-US" w:eastAsia="zh-CN"/>
        </w:rPr>
        <w:t>新增</w:t>
      </w:r>
      <w:r>
        <w:rPr>
          <w:rFonts w:ascii="仿宋" w:hAnsi="仿宋" w:eastAsia="仿宋" w:cs="仿宋_GB2312"/>
          <w:color w:val="000000"/>
          <w:sz w:val="32"/>
          <w:szCs w:val="32"/>
        </w:rPr>
        <w:t>总量控制指标： VOCs</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3.0</w:t>
      </w:r>
      <w:r>
        <w:rPr>
          <w:rFonts w:ascii="仿宋" w:hAnsi="仿宋" w:eastAsia="仿宋" w:cs="仿宋_GB2312"/>
          <w:color w:val="000000"/>
          <w:sz w:val="32"/>
          <w:szCs w:val="32"/>
        </w:rPr>
        <w:t>t/a</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cs="仿宋_GB2312"/>
          <w:color w:val="000000"/>
          <w:sz w:val="32"/>
          <w:szCs w:val="32"/>
        </w:rPr>
      </w:pPr>
      <w:r>
        <w:rPr>
          <w:rFonts w:ascii="仿宋" w:hAnsi="仿宋" w:eastAsia="仿宋" w:cs="仿宋_GB2312"/>
          <w:color w:val="000000"/>
          <w:sz w:val="32"/>
          <w:szCs w:val="32"/>
        </w:rPr>
        <w:t>三、你公司应收到本批复后15个工作日内，将批复及批准的环评报告文件送岳阳市生态环境局</w:t>
      </w:r>
      <w:r>
        <w:rPr>
          <w:rFonts w:hint="eastAsia" w:ascii="仿宋" w:hAnsi="仿宋" w:eastAsia="仿宋" w:cs="仿宋_GB2312"/>
          <w:color w:val="000000"/>
          <w:sz w:val="32"/>
          <w:szCs w:val="32"/>
        </w:rPr>
        <w:t>云溪</w:t>
      </w:r>
      <w:r>
        <w:rPr>
          <w:rFonts w:ascii="仿宋" w:hAnsi="仿宋" w:eastAsia="仿宋" w:cs="仿宋_GB2312"/>
          <w:color w:val="000000"/>
          <w:sz w:val="32"/>
          <w:szCs w:val="32"/>
        </w:rPr>
        <w:t>分局、</w:t>
      </w:r>
      <w:r>
        <w:rPr>
          <w:rFonts w:hint="eastAsia" w:ascii="仿宋" w:hAnsi="仿宋" w:eastAsia="仿宋" w:cs="仿宋_GB2312"/>
          <w:color w:val="000000"/>
          <w:sz w:val="32"/>
          <w:szCs w:val="32"/>
        </w:rPr>
        <w:t>湖南岳阳绿色化工产业园管理委员会</w:t>
      </w:r>
      <w:r>
        <w:rPr>
          <w:rFonts w:ascii="仿宋" w:hAnsi="仿宋" w:eastAsia="仿宋" w:cs="仿宋_GB2312"/>
          <w:color w:val="000000"/>
          <w:sz w:val="32"/>
          <w:szCs w:val="32"/>
        </w:rPr>
        <w:t>、</w:t>
      </w:r>
      <w:r>
        <w:rPr>
          <w:rFonts w:hint="eastAsia" w:ascii="仿宋" w:hAnsi="仿宋" w:eastAsia="仿宋"/>
          <w:sz w:val="32"/>
          <w:szCs w:val="32"/>
          <w:lang w:val="en-US" w:eastAsia="zh-CN"/>
        </w:rPr>
        <w:t>湖南衡润科技有限公司</w:t>
      </w:r>
      <w:r>
        <w:rPr>
          <w:rFonts w:ascii="仿宋" w:hAnsi="仿宋" w:eastAsia="仿宋" w:cs="仿宋_GB2312"/>
          <w:color w:val="000000"/>
          <w:sz w:val="32"/>
          <w:szCs w:val="32"/>
        </w:rPr>
        <w:t>。</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cs="仿宋_GB2312"/>
          <w:color w:val="000000"/>
          <w:sz w:val="32"/>
          <w:szCs w:val="32"/>
        </w:rPr>
      </w:pPr>
      <w:r>
        <w:rPr>
          <w:rFonts w:ascii="仿宋" w:hAnsi="仿宋" w:eastAsia="仿宋" w:cs="仿宋_GB2312"/>
          <w:color w:val="000000"/>
          <w:sz w:val="32"/>
          <w:szCs w:val="32"/>
        </w:rPr>
        <w:t>四、请岳阳市生态环境局</w:t>
      </w:r>
      <w:r>
        <w:rPr>
          <w:rFonts w:hint="eastAsia" w:ascii="仿宋" w:hAnsi="仿宋" w:eastAsia="仿宋" w:cs="仿宋_GB2312"/>
          <w:color w:val="000000"/>
          <w:sz w:val="32"/>
          <w:szCs w:val="32"/>
        </w:rPr>
        <w:t>云溪</w:t>
      </w:r>
      <w:r>
        <w:rPr>
          <w:rFonts w:ascii="仿宋" w:hAnsi="仿宋" w:eastAsia="仿宋" w:cs="仿宋_GB2312"/>
          <w:color w:val="000000"/>
          <w:sz w:val="32"/>
          <w:szCs w:val="32"/>
        </w:rPr>
        <w:t>分局负责项目建设和运营期的日常环境监管。</w:t>
      </w:r>
    </w:p>
    <w:p>
      <w:pPr>
        <w:keepNext w:val="0"/>
        <w:keepLines w:val="0"/>
        <w:pageBreakBefore w:val="0"/>
        <w:widowControl w:val="0"/>
        <w:kinsoku/>
        <w:wordWrap/>
        <w:overflowPunct/>
        <w:topLinePunct w:val="0"/>
        <w:autoSpaceDE/>
        <w:autoSpaceDN/>
        <w:bidi w:val="0"/>
        <w:spacing w:line="480" w:lineRule="exact"/>
        <w:ind w:firstLine="0" w:firstLineChars="0"/>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spacing w:line="480" w:lineRule="exact"/>
        <w:ind w:firstLine="0" w:firstLineChars="0"/>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spacing w:line="480" w:lineRule="exact"/>
        <w:ind w:firstLine="0" w:firstLineChars="0"/>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spacing w:line="480" w:lineRule="exact"/>
        <w:ind w:firstLine="0" w:firstLineChars="0"/>
        <w:rPr>
          <w:rFonts w:ascii="仿宋" w:hAnsi="仿宋" w:eastAsia="仿宋"/>
          <w:color w:val="000000"/>
          <w:sz w:val="32"/>
          <w:szCs w:val="32"/>
        </w:rPr>
      </w:pPr>
      <w:r>
        <w:rPr>
          <w:rFonts w:hint="eastAsia" w:ascii="仿宋" w:hAnsi="仿宋" w:eastAsia="仿宋"/>
          <w:color w:val="000000"/>
          <w:sz w:val="32"/>
          <w:szCs w:val="32"/>
        </w:rPr>
        <w:t xml:space="preserve">                                岳阳市生态环境局</w:t>
      </w:r>
    </w:p>
    <w:p>
      <w:pPr>
        <w:keepNext w:val="0"/>
        <w:keepLines w:val="0"/>
        <w:pageBreakBefore w:val="0"/>
        <w:widowControl w:val="0"/>
        <w:kinsoku/>
        <w:wordWrap/>
        <w:overflowPunct/>
        <w:topLinePunct w:val="0"/>
        <w:autoSpaceDE/>
        <w:autoSpaceDN/>
        <w:bidi w:val="0"/>
        <w:spacing w:line="480" w:lineRule="exact"/>
        <w:ind w:firstLine="64" w:firstLineChars="20"/>
        <w:rPr>
          <w:rFonts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FF0000"/>
          <w:sz w:val="32"/>
          <w:szCs w:val="32"/>
        </w:rPr>
        <w:t xml:space="preserve">            </w:t>
      </w: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w:t>
      </w:r>
      <w:del w:id="2" w:author="王志勤" w:date="2021-03-18T20:17:56Z">
        <w:r>
          <w:rPr>
            <w:rFonts w:hint="default" w:ascii="仿宋" w:hAnsi="仿宋" w:eastAsia="仿宋"/>
            <w:color w:val="000000"/>
            <w:sz w:val="32"/>
            <w:szCs w:val="32"/>
            <w:lang w:val="en-US" w:eastAsia="zh-CN"/>
          </w:rPr>
          <w:delText xml:space="preserve">  </w:delText>
        </w:r>
      </w:del>
      <w:ins w:id="3" w:author="王志勤" w:date="2021-03-18T20:17:56Z">
        <w:r>
          <w:rPr>
            <w:rFonts w:hint="eastAsia" w:ascii="仿宋" w:hAnsi="仿宋" w:eastAsia="仿宋"/>
            <w:color w:val="000000"/>
            <w:sz w:val="32"/>
            <w:szCs w:val="32"/>
            <w:lang w:val="en-US" w:eastAsia="zh-CN"/>
          </w:rPr>
          <w:t>3</w:t>
        </w:r>
      </w:ins>
      <w:r>
        <w:rPr>
          <w:rFonts w:hint="eastAsia" w:ascii="仿宋" w:hAnsi="仿宋" w:eastAsia="仿宋"/>
          <w:color w:val="000000"/>
          <w:sz w:val="32"/>
          <w:szCs w:val="32"/>
        </w:rPr>
        <w:t>月</w:t>
      </w:r>
      <w:del w:id="4" w:author="王志勤" w:date="2021-03-18T20:17:58Z">
        <w:r>
          <w:rPr>
            <w:rFonts w:hint="default" w:ascii="仿宋" w:hAnsi="仿宋" w:eastAsia="仿宋"/>
            <w:color w:val="000000"/>
            <w:sz w:val="32"/>
            <w:szCs w:val="32"/>
            <w:lang w:val="en-US" w:eastAsia="zh-CN"/>
          </w:rPr>
          <w:delText xml:space="preserve">  </w:delText>
        </w:r>
      </w:del>
      <w:ins w:id="5" w:author="王志勤" w:date="2021-03-18T20:17:58Z">
        <w:r>
          <w:rPr>
            <w:rFonts w:hint="eastAsia" w:ascii="仿宋" w:hAnsi="仿宋" w:eastAsia="仿宋"/>
            <w:color w:val="000000"/>
            <w:sz w:val="32"/>
            <w:szCs w:val="32"/>
            <w:lang w:val="en-US" w:eastAsia="zh-CN"/>
          </w:rPr>
          <w:t>18</w:t>
        </w:r>
      </w:ins>
      <w:r>
        <w:rPr>
          <w:rFonts w:hint="eastAsia" w:ascii="仿宋" w:hAnsi="仿宋" w:eastAsia="仿宋"/>
          <w:color w:val="000000"/>
          <w:sz w:val="32"/>
          <w:szCs w:val="32"/>
        </w:rPr>
        <w:t>日</w:t>
      </w:r>
    </w:p>
    <w:tbl>
      <w:tblPr>
        <w:tblStyle w:val="16"/>
        <w:tblpPr w:leftFromText="180" w:rightFromText="180" w:vertAnchor="page" w:horzAnchor="margin" w:tblpXSpec="left" w:tblpY="14328"/>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1033" w:hRule="atLeast"/>
        </w:trPr>
        <w:tc>
          <w:tcPr>
            <w:tcW w:w="8861" w:type="dxa"/>
          </w:tcPr>
          <w:p>
            <w:pPr>
              <w:spacing w:line="460" w:lineRule="exact"/>
              <w:ind w:left="800" w:hanging="800" w:hangingChars="250"/>
              <w:rPr>
                <w:rFonts w:ascii="仿宋" w:hAnsi="仿宋" w:eastAsia="仿宋"/>
                <w:color w:val="000000"/>
                <w:sz w:val="32"/>
                <w:szCs w:val="32"/>
              </w:rPr>
            </w:pPr>
            <w:r>
              <w:rPr>
                <w:rFonts w:hint="eastAsia" w:ascii="仿宋" w:hAnsi="仿宋" w:eastAsia="仿宋"/>
                <w:color w:val="000000"/>
                <w:sz w:val="32"/>
                <w:szCs w:val="32"/>
              </w:rPr>
              <w:t>抄送:</w:t>
            </w:r>
            <w:r>
              <w:rPr>
                <w:rFonts w:ascii="仿宋" w:hAnsi="仿宋" w:eastAsia="仿宋"/>
                <w:sz w:val="32"/>
                <w:szCs w:val="32"/>
              </w:rPr>
              <w:t>岳阳市生态环境局</w:t>
            </w:r>
            <w:r>
              <w:rPr>
                <w:rFonts w:hint="eastAsia" w:ascii="仿宋" w:hAnsi="仿宋" w:eastAsia="仿宋"/>
                <w:sz w:val="32"/>
                <w:szCs w:val="32"/>
              </w:rPr>
              <w:t>云溪</w:t>
            </w:r>
            <w:r>
              <w:rPr>
                <w:rFonts w:ascii="仿宋" w:hAnsi="仿宋" w:eastAsia="仿宋"/>
                <w:sz w:val="32"/>
                <w:szCs w:val="32"/>
              </w:rPr>
              <w:t>分局、</w:t>
            </w:r>
            <w:r>
              <w:rPr>
                <w:rFonts w:hint="eastAsia" w:ascii="仿宋" w:hAnsi="仿宋" w:eastAsia="仿宋"/>
                <w:sz w:val="32"/>
                <w:szCs w:val="32"/>
              </w:rPr>
              <w:t>湖南岳阳绿色化工产业园管理委员会</w:t>
            </w:r>
            <w:r>
              <w:rPr>
                <w:rFonts w:ascii="仿宋" w:hAnsi="仿宋" w:eastAsia="仿宋"/>
                <w:sz w:val="32"/>
                <w:szCs w:val="32"/>
              </w:rPr>
              <w:t>、</w:t>
            </w:r>
            <w:r>
              <w:rPr>
                <w:rFonts w:hint="eastAsia" w:ascii="仿宋" w:hAnsi="仿宋" w:eastAsia="仿宋"/>
                <w:sz w:val="32"/>
                <w:szCs w:val="32"/>
                <w:lang w:val="en-US" w:eastAsia="zh-CN"/>
              </w:rPr>
              <w:t>湖南衡润科技有限公司</w:t>
            </w:r>
          </w:p>
        </w:tc>
      </w:tr>
    </w:tbl>
    <w:p>
      <w:pPr>
        <w:pStyle w:val="33"/>
        <w:spacing w:line="500" w:lineRule="exact"/>
        <w:ind w:left="0" w:firstLine="0" w:firstLineChars="0"/>
        <w:jc w:val="both"/>
        <w:rPr>
          <w:rFonts w:ascii="仿宋" w:hAnsi="仿宋" w:eastAsia="仿宋"/>
          <w:color w:val="FF0000"/>
          <w:sz w:val="32"/>
          <w:szCs w:val="32"/>
        </w:rPr>
      </w:pPr>
    </w:p>
    <w:sectPr>
      <w:headerReference r:id="rId7" w:type="first"/>
      <w:headerReference r:id="rId5" w:type="default"/>
      <w:footerReference r:id="rId8" w:type="default"/>
      <w:headerReference r:id="rId6" w:type="even"/>
      <w:footerReference r:id="rId9" w:type="even"/>
      <w:pgSz w:w="11906" w:h="16838"/>
      <w:pgMar w:top="1440" w:right="1588" w:bottom="1418"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fldChar w:fldCharType="begin"/>
    </w:r>
    <w:r>
      <w:instrText xml:space="preserve"> PAGE   \* MERGEFORMAT </w:instrText>
    </w:r>
    <w:r>
      <w:fldChar w:fldCharType="separate"/>
    </w:r>
    <w:r>
      <w:rPr>
        <w:lang w:val="zh-CN"/>
      </w:rPr>
      <w:t>3</w:t>
    </w:r>
    <w:r>
      <w:fldChar w:fldCharType="end"/>
    </w:r>
  </w:p>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志勤">
    <w15:presenceInfo w15:providerId="None" w15:userId="王志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66ACD"/>
    <w:rsid w:val="4E153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7">
    <w:name w:val="heading 1"/>
    <w:basedOn w:val="1"/>
    <w:next w:val="1"/>
    <w:qFormat/>
    <w:uiPriority w:val="0"/>
    <w:pPr>
      <w:widowControl/>
      <w:spacing w:before="100" w:beforeAutospacing="1" w:after="100" w:afterAutospacing="1"/>
      <w:outlineLvl w:val="0"/>
    </w:pPr>
    <w:rPr>
      <w:rFonts w:eastAsia="黑体" w:cs="宋体"/>
      <w:bCs/>
      <w:kern w:val="36"/>
      <w:sz w:val="36"/>
      <w:szCs w:val="36"/>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before="60" w:line="240" w:lineRule="auto"/>
      <w:ind w:left="0" w:leftChars="0" w:firstLine="210"/>
      <w:jc w:val="both"/>
    </w:pPr>
    <w:rPr>
      <w:sz w:val="18"/>
      <w:szCs w:val="24"/>
    </w:rPr>
  </w:style>
  <w:style w:type="paragraph" w:styleId="3">
    <w:name w:val="Body Text Indent"/>
    <w:basedOn w:val="1"/>
    <w:next w:val="2"/>
    <w:qFormat/>
    <w:uiPriority w:val="0"/>
    <w:pPr>
      <w:widowControl/>
      <w:snapToGrid/>
      <w:spacing w:after="120" w:line="276" w:lineRule="auto"/>
      <w:ind w:left="420" w:leftChars="200"/>
    </w:pPr>
    <w:rPr>
      <w:kern w:val="0"/>
      <w:sz w:val="22"/>
    </w:rPr>
  </w:style>
  <w:style w:type="paragraph" w:styleId="4">
    <w:name w:val="Body Text First Indent"/>
    <w:basedOn w:val="5"/>
    <w:link w:val="30"/>
    <w:qFormat/>
    <w:uiPriority w:val="0"/>
    <w:pPr>
      <w:adjustRightInd w:val="0"/>
      <w:snapToGrid w:val="0"/>
      <w:spacing w:after="0" w:line="360" w:lineRule="auto"/>
      <w:ind w:firstLine="200"/>
      <w:jc w:val="both"/>
    </w:pPr>
    <w:rPr>
      <w:kern w:val="2"/>
      <w:sz w:val="24"/>
    </w:rPr>
  </w:style>
  <w:style w:type="paragraph" w:styleId="5">
    <w:name w:val="Body Text"/>
    <w:basedOn w:val="1"/>
    <w:next w:val="6"/>
    <w:qFormat/>
    <w:uiPriority w:val="0"/>
    <w:pPr>
      <w:spacing w:after="120"/>
    </w:pPr>
  </w:style>
  <w:style w:type="paragraph" w:customStyle="1" w:styleId="6">
    <w:name w:val="Date1"/>
    <w:basedOn w:val="1"/>
    <w:next w:val="1"/>
    <w:qFormat/>
    <w:uiPriority w:val="0"/>
    <w:pPr>
      <w:adjustRightInd w:val="0"/>
      <w:snapToGrid/>
      <w:spacing w:line="240" w:lineRule="auto"/>
      <w:jc w:val="both"/>
      <w:textAlignment w:val="baseline"/>
    </w:pPr>
    <w:rPr>
      <w:sz w:val="21"/>
      <w:szCs w:val="21"/>
    </w:rPr>
  </w:style>
  <w:style w:type="paragraph" w:styleId="8">
    <w:name w:val="Normal Indent"/>
    <w:qFormat/>
    <w:uiPriority w:val="0"/>
    <w:pPr>
      <w:adjustRightInd w:val="0"/>
      <w:spacing w:line="312" w:lineRule="atLeast"/>
      <w:ind w:firstLine="420"/>
      <w:textAlignment w:val="baseline"/>
    </w:pPr>
    <w:rPr>
      <w:rFonts w:ascii="Times New Roman" w:hAnsi="Times New Roman" w:eastAsia="宋体" w:cs="Times New Roman"/>
      <w:lang w:val="en-US" w:eastAsia="zh-CN" w:bidi="ar-SA"/>
    </w:rPr>
  </w:style>
  <w:style w:type="paragraph" w:styleId="9">
    <w:name w:val="annotation text"/>
    <w:basedOn w:val="1"/>
    <w:link w:val="23"/>
    <w:qFormat/>
    <w:uiPriority w:val="0"/>
  </w:style>
  <w:style w:type="paragraph" w:styleId="10">
    <w:name w:val="Plain Text"/>
    <w:qFormat/>
    <w:uiPriority w:val="0"/>
    <w:pPr>
      <w:spacing w:line="440" w:lineRule="exact"/>
      <w:ind w:firstLine="425"/>
    </w:pPr>
    <w:rPr>
      <w:rFonts w:ascii="宋体" w:hAnsi="Courier New" w:eastAsia="宋体" w:cs="Times New Roman"/>
      <w:kern w:val="2"/>
      <w:sz w:val="28"/>
      <w:lang w:val="en-US" w:eastAsia="zh-CN" w:bidi="ar-SA"/>
    </w:rPr>
  </w:style>
  <w:style w:type="paragraph" w:styleId="11">
    <w:name w:val="Date"/>
    <w:basedOn w:val="1"/>
    <w:next w:val="1"/>
    <w:qFormat/>
    <w:uiPriority w:val="0"/>
    <w:pPr>
      <w:ind w:left="100" w:leftChars="2500"/>
    </w:pPr>
  </w:style>
  <w:style w:type="paragraph" w:styleId="12">
    <w:name w:val="Balloon Text"/>
    <w:basedOn w:val="1"/>
    <w:qFormat/>
    <w:uiPriority w:val="0"/>
    <w:rPr>
      <w:sz w:val="18"/>
      <w:szCs w:val="18"/>
    </w:rPr>
  </w:style>
  <w:style w:type="paragraph" w:styleId="13">
    <w:name w:val="footer"/>
    <w:basedOn w:val="1"/>
    <w:link w:val="28"/>
    <w:qFormat/>
    <w:uiPriority w:val="99"/>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annotation subject"/>
    <w:basedOn w:val="9"/>
    <w:next w:val="9"/>
    <w:link w:val="29"/>
    <w:qFormat/>
    <w:uiPriority w:val="0"/>
    <w:rPr>
      <w:b/>
      <w:bCs/>
    </w:rPr>
  </w:style>
  <w:style w:type="table" w:styleId="17">
    <w:name w:val="Table Grid"/>
    <w:basedOn w:val="16"/>
    <w:qFormat/>
    <w:uiPriority w:val="0"/>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annotation reference"/>
    <w:qFormat/>
    <w:uiPriority w:val="0"/>
    <w:rPr>
      <w:sz w:val="21"/>
      <w:szCs w:val="21"/>
    </w:rPr>
  </w:style>
  <w:style w:type="character" w:customStyle="1" w:styleId="21">
    <w:name w:val="表格文字 Char"/>
    <w:link w:val="22"/>
    <w:qFormat/>
    <w:uiPriority w:val="0"/>
    <w:rPr>
      <w:rFonts w:eastAsia="宋体"/>
      <w:kern w:val="2"/>
      <w:sz w:val="21"/>
      <w:szCs w:val="21"/>
      <w:lang w:val="en-US" w:eastAsia="zh-CN" w:bidi="ar-SA"/>
    </w:rPr>
  </w:style>
  <w:style w:type="paragraph" w:customStyle="1" w:styleId="22">
    <w:name w:val="表格文字"/>
    <w:basedOn w:val="1"/>
    <w:link w:val="21"/>
    <w:qFormat/>
    <w:uiPriority w:val="0"/>
    <w:pPr>
      <w:widowControl/>
      <w:adjustRightInd w:val="0"/>
      <w:snapToGrid w:val="0"/>
      <w:ind w:firstLine="0" w:firstLineChars="0"/>
      <w:jc w:val="center"/>
    </w:pPr>
    <w:rPr>
      <w:kern w:val="2"/>
      <w:sz w:val="21"/>
      <w:szCs w:val="21"/>
    </w:rPr>
  </w:style>
  <w:style w:type="character" w:customStyle="1" w:styleId="23">
    <w:name w:val="批注文字 Char"/>
    <w:basedOn w:val="18"/>
    <w:link w:val="9"/>
    <w:qFormat/>
    <w:uiPriority w:val="0"/>
  </w:style>
  <w:style w:type="character" w:customStyle="1" w:styleId="24">
    <w:name w:val="中文报告书样式 Char Char"/>
    <w:link w:val="25"/>
    <w:qFormat/>
    <w:uiPriority w:val="0"/>
    <w:rPr>
      <w:rFonts w:eastAsia="宋体"/>
      <w:kern w:val="24"/>
      <w:sz w:val="24"/>
      <w:lang w:val="en-US" w:eastAsia="zh-CN" w:bidi="ar-SA"/>
    </w:rPr>
  </w:style>
  <w:style w:type="paragraph" w:customStyle="1" w:styleId="25">
    <w:name w:val="中文报告书样式"/>
    <w:basedOn w:val="1"/>
    <w:link w:val="24"/>
    <w:qFormat/>
    <w:uiPriority w:val="0"/>
    <w:pPr>
      <w:adjustRightInd w:val="0"/>
      <w:spacing w:line="480" w:lineRule="atLeast"/>
      <w:ind w:firstLine="482"/>
      <w:textAlignment w:val="baseline"/>
    </w:pPr>
    <w:rPr>
      <w:kern w:val="24"/>
      <w:sz w:val="24"/>
    </w:rPr>
  </w:style>
  <w:style w:type="character" w:customStyle="1" w:styleId="26">
    <w:name w:val="p0 Char"/>
    <w:link w:val="27"/>
    <w:qFormat/>
    <w:uiPriority w:val="0"/>
    <w:rPr>
      <w:rFonts w:eastAsia="宋体"/>
      <w:sz w:val="32"/>
      <w:szCs w:val="32"/>
      <w:lang w:val="en-US" w:eastAsia="zh-CN" w:bidi="ar-SA"/>
    </w:rPr>
  </w:style>
  <w:style w:type="paragraph" w:customStyle="1" w:styleId="27">
    <w:name w:val="p0"/>
    <w:basedOn w:val="1"/>
    <w:link w:val="26"/>
    <w:qFormat/>
    <w:uiPriority w:val="0"/>
    <w:pPr>
      <w:widowControl/>
      <w:ind w:firstLine="0" w:firstLineChars="0"/>
      <w:jc w:val="both"/>
    </w:pPr>
    <w:rPr>
      <w:sz w:val="32"/>
      <w:szCs w:val="32"/>
    </w:rPr>
  </w:style>
  <w:style w:type="character" w:customStyle="1" w:styleId="28">
    <w:name w:val="页脚 Char"/>
    <w:link w:val="13"/>
    <w:qFormat/>
    <w:uiPriority w:val="99"/>
    <w:rPr>
      <w:sz w:val="18"/>
      <w:szCs w:val="18"/>
    </w:rPr>
  </w:style>
  <w:style w:type="character" w:customStyle="1" w:styleId="29">
    <w:name w:val="批注主题 Char"/>
    <w:link w:val="15"/>
    <w:qFormat/>
    <w:uiPriority w:val="0"/>
    <w:rPr>
      <w:b/>
      <w:bCs/>
    </w:rPr>
  </w:style>
  <w:style w:type="character" w:customStyle="1" w:styleId="30">
    <w:name w:val="正文首行缩进 Char"/>
    <w:link w:val="4"/>
    <w:qFormat/>
    <w:uiPriority w:val="0"/>
    <w:rPr>
      <w:rFonts w:eastAsia="宋体"/>
      <w:kern w:val="2"/>
      <w:sz w:val="24"/>
      <w:lang w:val="en-US" w:eastAsia="zh-CN" w:bidi="ar-SA"/>
    </w:rPr>
  </w:style>
  <w:style w:type="paragraph" w:customStyle="1" w:styleId="31">
    <w:name w:val="1-正文"/>
    <w:qFormat/>
    <w:uiPriority w:val="0"/>
    <w:pPr>
      <w:spacing w:after="60" w:line="360" w:lineRule="auto"/>
      <w:ind w:firstLine="200" w:firstLineChars="200"/>
    </w:pPr>
    <w:rPr>
      <w:rFonts w:ascii="Times New Roman" w:hAnsi="Times New Roman" w:eastAsia="宋体" w:cs="Times New Roman"/>
      <w:kern w:val="2"/>
      <w:sz w:val="24"/>
      <w:lang w:val="en-US" w:eastAsia="zh-CN" w:bidi="ar-SA"/>
    </w:rPr>
  </w:style>
  <w:style w:type="paragraph" w:customStyle="1" w:styleId="32">
    <w:name w:val="WPS Plain"/>
    <w:qFormat/>
    <w:uiPriority w:val="0"/>
    <w:rPr>
      <w:rFonts w:ascii="Times New Roman" w:hAnsi="Times New Roman" w:eastAsia="宋体" w:cs="Times New Roman"/>
      <w:lang w:val="en-US" w:eastAsia="zh-CN" w:bidi="ar-SA"/>
    </w:rPr>
  </w:style>
  <w:style w:type="paragraph" w:customStyle="1" w:styleId="33">
    <w:name w:val="0"/>
    <w:basedOn w:val="1"/>
    <w:qFormat/>
    <w:uiPriority w:val="0"/>
    <w:pPr>
      <w:widowControl/>
      <w:snapToGrid w:val="0"/>
      <w:spacing w:line="365" w:lineRule="atLeast"/>
      <w:ind w:left="1"/>
      <w:textAlignment w:val="bottom"/>
    </w:pPr>
  </w:style>
  <w:style w:type="paragraph" w:customStyle="1" w:styleId="34">
    <w:name w:val="表格内容"/>
    <w:basedOn w:val="1"/>
    <w:qFormat/>
    <w:uiPriority w:val="0"/>
    <w:pPr>
      <w:autoSpaceDE w:val="0"/>
      <w:autoSpaceDN w:val="0"/>
      <w:adjustRightInd w:val="0"/>
      <w:spacing w:line="360" w:lineRule="auto"/>
      <w:ind w:firstLine="0" w:firstLineChars="0"/>
      <w:jc w:val="center"/>
      <w:textAlignment w:val="baseline"/>
    </w:pPr>
    <w:rPr>
      <w:color w:val="000000"/>
      <w:sz w:val="21"/>
      <w:szCs w:val="21"/>
    </w:rPr>
  </w:style>
  <w:style w:type="paragraph" w:customStyle="1" w:styleId="35">
    <w:name w:val="Revision_d163ada4-c407-473e-a92d-b3e69466bf2c"/>
    <w:qFormat/>
    <w:uiPriority w:val="99"/>
    <w:rPr>
      <w:rFonts w:ascii="Times New Roman" w:hAnsi="Times New Roman" w:eastAsia="宋体" w:cs="Times New Roman"/>
      <w:lang w:val="en-US" w:eastAsia="zh-CN" w:bidi="ar-SA"/>
    </w:rPr>
  </w:style>
  <w:style w:type="paragraph" w:customStyle="1" w:styleId="36">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37">
    <w:name w:val="缩进"/>
    <w:qFormat/>
    <w:uiPriority w:val="0"/>
    <w:pPr>
      <w:autoSpaceDE w:val="0"/>
      <w:autoSpaceDN w:val="0"/>
      <w:adjustRightInd w:val="0"/>
      <w:spacing w:line="400" w:lineRule="atLeast"/>
      <w:ind w:firstLine="425"/>
      <w:textAlignment w:val="baseline"/>
    </w:pPr>
    <w:rPr>
      <w:rFonts w:ascii="Times New Roman" w:hAnsi="Times New Roman" w:eastAsia="宋体" w:cs="Times New Roman"/>
      <w:sz w:val="24"/>
      <w:lang w:val="en-US" w:eastAsia="zh-CN" w:bidi="ar-SA"/>
    </w:rPr>
  </w:style>
  <w:style w:type="paragraph" w:customStyle="1" w:styleId="38">
    <w:name w:val="样式 正文001 + 首行缩进:  2 字符"/>
    <w:qFormat/>
    <w:uiPriority w:val="0"/>
    <w:pPr>
      <w:spacing w:before="60" w:line="460" w:lineRule="atLeast"/>
      <w:ind w:firstLine="480" w:firstLineChars="200"/>
    </w:pPr>
    <w:rPr>
      <w:rFonts w:ascii="Times New Roman" w:hAnsi="Times New Roman" w:eastAsia="宋体" w:cs="宋体"/>
      <w:sz w:val="24"/>
      <w:lang w:val="en-US" w:eastAsia="zh-CN" w:bidi="ar-SA"/>
    </w:rPr>
  </w:style>
  <w:style w:type="paragraph" w:customStyle="1" w:styleId="39">
    <w:name w:val="Char Char Char Char Char Char Char Char Char Char Char"/>
    <w:basedOn w:val="1"/>
    <w:qFormat/>
    <w:uiPriority w:val="0"/>
    <w:pPr>
      <w:ind w:firstLine="0" w:firstLineChars="0"/>
      <w:jc w:val="both"/>
    </w:pPr>
    <w:rPr>
      <w:kern w:val="2"/>
      <w:sz w:val="28"/>
      <w:szCs w:val="28"/>
    </w:rPr>
  </w:style>
  <w:style w:type="paragraph" w:styleId="40">
    <w:name w:val="List Paragraph"/>
    <w:qFormat/>
    <w:uiPriority w:val="0"/>
    <w:pPr>
      <w:ind w:firstLine="420" w:firstLine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1627</Words>
  <Characters>1780</Characters>
  <Paragraphs>43</Paragraphs>
  <TotalTime>53</TotalTime>
  <ScaleCrop>false</ScaleCrop>
  <LinksUpToDate>false</LinksUpToDate>
  <CharactersWithSpaces>1936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2020-02-12T04:38:00Z</dcterms:created>
  <dc:creator>微软用户</dc:creator>
  <cp:lastModifiedBy>王志勤</cp:lastModifiedBy>
  <cp:lastPrinted>2020-02-17T01:40:00Z</cp:lastPrinted>
  <dcterms:modified xsi:type="dcterms:W3CDTF">2021-03-18T12:18:32Z</dcterms:modified>
  <dc:title>1、省道1825线湘阴至长沙公路岳阳段改建工程总投资12300万元</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19002DE6EF6A45D287C3AB5FDF4E5891</vt:lpwstr>
  </property>
</Properties>
</file>