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bidi w:val="0"/>
        <w:jc w:val="center"/>
        <w:rPr>
          <w:rFonts w:hint="default" w:ascii="Times New Roman" w:hAnsi="Times New Roman" w:cs="Times New Roman"/>
          <w:color w:val="auto"/>
          <w:sz w:val="44"/>
          <w:szCs w:val="44"/>
          <w:lang w:eastAsia="zh-CN"/>
        </w:rPr>
      </w:pPr>
      <w:bookmarkStart w:id="0" w:name="_Toc4485"/>
      <w:bookmarkStart w:id="1" w:name="_Toc12213"/>
      <w:bookmarkStart w:id="2" w:name="_Toc19297"/>
      <w:bookmarkStart w:id="3" w:name="_Toc2510"/>
      <w:bookmarkStart w:id="4" w:name="_Toc211249791"/>
      <w:bookmarkStart w:id="5" w:name="_Toc156970294"/>
      <w:bookmarkStart w:id="6" w:name="_Toc287294851"/>
      <w:bookmarkStart w:id="7" w:name="_Toc260024106"/>
      <w:bookmarkStart w:id="8" w:name="_Toc171820198"/>
    </w:p>
    <w:p>
      <w:pPr>
        <w:pStyle w:val="15"/>
        <w:bidi w:val="0"/>
        <w:jc w:val="center"/>
        <w:rPr>
          <w:rFonts w:hint="default" w:ascii="Times New Roman" w:hAnsi="Times New Roman" w:cs="Times New Roman"/>
          <w:color w:val="auto"/>
          <w:sz w:val="44"/>
          <w:szCs w:val="44"/>
          <w:lang w:eastAsia="zh-CN"/>
        </w:rPr>
      </w:pPr>
    </w:p>
    <w:p>
      <w:pPr>
        <w:pStyle w:val="15"/>
        <w:bidi w:val="0"/>
        <w:jc w:val="center"/>
        <w:rPr>
          <w:rFonts w:hint="default" w:ascii="Times New Roman" w:hAnsi="Times New Roman" w:cs="Times New Roman"/>
          <w:b/>
          <w:bCs/>
          <w:color w:val="auto"/>
          <w:sz w:val="44"/>
          <w:szCs w:val="44"/>
          <w:lang w:eastAsia="zh-CN"/>
        </w:rPr>
      </w:pPr>
      <w:r>
        <w:rPr>
          <w:rFonts w:hint="default" w:ascii="Times New Roman" w:hAnsi="Times New Roman" w:cs="Times New Roman"/>
          <w:b/>
          <w:bCs/>
          <w:color w:val="auto"/>
          <w:sz w:val="44"/>
          <w:szCs w:val="44"/>
          <w:lang w:eastAsia="zh-CN"/>
        </w:rPr>
        <w:t>岳阳鑫达实业有限公司</w:t>
      </w:r>
    </w:p>
    <w:p>
      <w:pPr>
        <w:keepNext w:val="0"/>
        <w:keepLines w:val="0"/>
        <w:pageBreakBefore w:val="0"/>
        <w:widowControl/>
        <w:kinsoku/>
        <w:wordWrap/>
        <w:overflowPunct/>
        <w:topLinePunct w:val="0"/>
        <w:autoSpaceDE w:val="0"/>
        <w:autoSpaceDN w:val="0"/>
        <w:bidi w:val="0"/>
        <w:adjustRightInd/>
        <w:snapToGrid/>
        <w:spacing w:before="313" w:beforeLines="100" w:after="313" w:afterLines="100" w:line="240" w:lineRule="auto"/>
        <w:jc w:val="center"/>
        <w:textAlignment w:val="auto"/>
        <w:rPr>
          <w:rFonts w:hint="default" w:ascii="Times New Roman" w:hAnsi="Times New Roman" w:eastAsia="宋体" w:cs="Times New Roman"/>
          <w:b/>
          <w:bCs/>
          <w:color w:val="auto"/>
          <w:kern w:val="2"/>
          <w:sz w:val="44"/>
          <w:szCs w:val="44"/>
          <w:lang w:val="en-US" w:eastAsia="zh-CN"/>
        </w:rPr>
      </w:pPr>
      <w:r>
        <w:rPr>
          <w:rFonts w:hint="default" w:ascii="Times New Roman" w:hAnsi="Times New Roman" w:cs="Times New Roman"/>
          <w:b/>
          <w:bCs/>
          <w:color w:val="auto"/>
          <w:kern w:val="2"/>
          <w:sz w:val="44"/>
          <w:szCs w:val="44"/>
          <w:lang w:val="en-US" w:eastAsia="zh-CN"/>
        </w:rPr>
        <w:t>500</w:t>
      </w:r>
      <w:r>
        <w:rPr>
          <w:rFonts w:hint="default" w:ascii="Times New Roman" w:hAnsi="Times New Roman" w:eastAsia="宋体" w:cs="Times New Roman"/>
          <w:b/>
          <w:bCs/>
          <w:color w:val="auto"/>
          <w:kern w:val="2"/>
          <w:sz w:val="44"/>
          <w:szCs w:val="44"/>
          <w:lang w:val="en-US" w:eastAsia="zh-CN"/>
        </w:rPr>
        <w:t>吨</w:t>
      </w:r>
      <w:r>
        <w:rPr>
          <w:rFonts w:hint="default" w:ascii="Times New Roman" w:hAnsi="Times New Roman" w:cs="Times New Roman"/>
          <w:b/>
          <w:bCs/>
          <w:color w:val="auto"/>
          <w:kern w:val="2"/>
          <w:sz w:val="44"/>
          <w:szCs w:val="44"/>
          <w:lang w:val="en-US" w:eastAsia="zh-CN"/>
        </w:rPr>
        <w:t>/年加氢催化剂</w:t>
      </w:r>
      <w:r>
        <w:rPr>
          <w:rFonts w:hint="default" w:ascii="Times New Roman" w:hAnsi="Times New Roman" w:eastAsia="宋体" w:cs="Times New Roman"/>
          <w:b/>
          <w:bCs/>
          <w:color w:val="auto"/>
          <w:kern w:val="2"/>
          <w:sz w:val="44"/>
          <w:szCs w:val="44"/>
          <w:lang w:val="en-US" w:eastAsia="zh-CN"/>
        </w:rPr>
        <w:t>生产项目</w:t>
      </w:r>
    </w:p>
    <w:p>
      <w:pPr>
        <w:keepNext w:val="0"/>
        <w:keepLines w:val="0"/>
        <w:pageBreakBefore w:val="0"/>
        <w:widowControl/>
        <w:kinsoku/>
        <w:wordWrap/>
        <w:overflowPunct/>
        <w:topLinePunct w:val="0"/>
        <w:autoSpaceDE w:val="0"/>
        <w:autoSpaceDN w:val="0"/>
        <w:bidi w:val="0"/>
        <w:adjustRightInd/>
        <w:snapToGrid/>
        <w:spacing w:before="313" w:beforeLines="100" w:after="313" w:afterLines="100" w:line="240" w:lineRule="auto"/>
        <w:jc w:val="center"/>
        <w:textAlignment w:val="auto"/>
        <w:rPr>
          <w:rFonts w:hint="default" w:ascii="Times New Roman" w:hAnsi="Times New Roman" w:eastAsia="宋体" w:cs="Times New Roman"/>
          <w:b/>
          <w:bCs/>
          <w:color w:val="auto"/>
          <w:kern w:val="2"/>
          <w:sz w:val="72"/>
          <w:szCs w:val="72"/>
          <w:lang w:val="en-US" w:eastAsia="zh-CN"/>
        </w:rPr>
      </w:pPr>
      <w:r>
        <w:rPr>
          <w:rFonts w:hint="default" w:ascii="Times New Roman" w:hAnsi="Times New Roman" w:eastAsia="宋体" w:cs="Times New Roman"/>
          <w:b/>
          <w:bCs/>
          <w:color w:val="auto"/>
          <w:kern w:val="2"/>
          <w:sz w:val="72"/>
          <w:szCs w:val="72"/>
          <w:lang w:val="en-US" w:eastAsia="zh-CN"/>
        </w:rPr>
        <w:t>环境影响报告书</w:t>
      </w:r>
    </w:p>
    <w:p>
      <w:pPr>
        <w:keepNext w:val="0"/>
        <w:keepLines w:val="0"/>
        <w:pageBreakBefore w:val="0"/>
        <w:widowControl/>
        <w:kinsoku/>
        <w:wordWrap/>
        <w:overflowPunct/>
        <w:topLinePunct w:val="0"/>
        <w:autoSpaceDE w:val="0"/>
        <w:autoSpaceDN w:val="0"/>
        <w:bidi w:val="0"/>
        <w:adjustRightInd/>
        <w:snapToGrid/>
        <w:spacing w:before="313" w:beforeLines="100" w:after="313" w:afterLines="100" w:line="360" w:lineRule="auto"/>
        <w:jc w:val="center"/>
        <w:textAlignment w:val="auto"/>
        <w:rPr>
          <w:rFonts w:hint="default" w:ascii="Times New Roman" w:hAnsi="Times New Roman" w:eastAsia="宋体" w:cs="Times New Roman"/>
          <w:b/>
          <w:bCs/>
          <w:color w:val="auto"/>
          <w:kern w:val="2"/>
          <w:sz w:val="44"/>
          <w:szCs w:val="44"/>
          <w:lang w:val="en-US" w:eastAsia="zh-CN"/>
        </w:rPr>
      </w:pPr>
      <w:r>
        <w:rPr>
          <w:rFonts w:hint="default" w:ascii="Times New Roman" w:hAnsi="Times New Roman" w:eastAsia="宋体" w:cs="Times New Roman"/>
          <w:b/>
          <w:bCs/>
          <w:color w:val="auto"/>
          <w:kern w:val="2"/>
          <w:sz w:val="44"/>
          <w:szCs w:val="44"/>
          <w:lang w:val="en-US" w:eastAsia="zh-CN"/>
        </w:rPr>
        <w:t>（报批稿）</w:t>
      </w:r>
    </w:p>
    <w:p>
      <w:pPr>
        <w:pStyle w:val="4"/>
        <w:numPr>
          <w:ilvl w:val="1"/>
          <w:numId w:val="0"/>
        </w:numPr>
        <w:ind w:leftChars="0"/>
        <w:rPr>
          <w:rFonts w:hint="default" w:ascii="Times New Roman" w:hAnsi="Times New Roman" w:cs="Times New Roman"/>
          <w:color w:val="auto"/>
          <w:lang w:val="en-US" w:eastAsia="zh-CN"/>
        </w:rPr>
      </w:pPr>
    </w:p>
    <w:p>
      <w:pPr>
        <w:pStyle w:val="48"/>
        <w:ind w:left="0" w:leftChars="0" w:firstLine="0" w:firstLineChars="0"/>
        <w:jc w:val="center"/>
        <w:rPr>
          <w:rFonts w:hint="default" w:ascii="Times New Roman" w:hAnsi="Times New Roman" w:eastAsia="宋体" w:cs="Times New Roman"/>
          <w:b/>
          <w:bCs/>
          <w:color w:val="auto"/>
          <w:kern w:val="2"/>
          <w:sz w:val="32"/>
          <w:szCs w:val="32"/>
          <w:lang w:val="en-US" w:eastAsia="zh-CN"/>
        </w:rPr>
      </w:pPr>
      <w:r>
        <w:rPr>
          <w:rFonts w:hint="default" w:ascii="Times New Roman" w:hAnsi="Times New Roman" w:eastAsia="宋体" w:cs="Times New Roman"/>
          <w:b/>
          <w:bCs/>
          <w:color w:val="auto"/>
          <w:kern w:val="2"/>
          <w:sz w:val="32"/>
          <w:szCs w:val="32"/>
          <w:lang w:val="en-US" w:eastAsia="zh-CN"/>
        </w:rPr>
        <w:drawing>
          <wp:inline distT="0" distB="0" distL="114300" distR="114300">
            <wp:extent cx="4971415" cy="3183255"/>
            <wp:effectExtent l="0" t="0" r="635" b="17145"/>
            <wp:docPr id="181" name="图片 181" descr="eef93b2b09ee0022ef82a3557e76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eef93b2b09ee0022ef82a3557e76469"/>
                    <pic:cNvPicPr>
                      <a:picLocks noChangeAspect="1"/>
                    </pic:cNvPicPr>
                  </pic:nvPicPr>
                  <pic:blipFill>
                    <a:blip r:embed="rId25"/>
                    <a:stretch>
                      <a:fillRect/>
                    </a:stretch>
                  </pic:blipFill>
                  <pic:spPr>
                    <a:xfrm>
                      <a:off x="0" y="0"/>
                      <a:ext cx="4971415" cy="3183255"/>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snapToGrid/>
        <w:spacing w:before="313" w:beforeLines="100" w:after="313" w:afterLines="100" w:line="360" w:lineRule="auto"/>
        <w:jc w:val="center"/>
        <w:textAlignment w:val="auto"/>
        <w:rPr>
          <w:rFonts w:hint="default" w:ascii="Times New Roman" w:hAnsi="Times New Roman" w:eastAsia="宋体" w:cs="Times New Roman"/>
          <w:b/>
          <w:bCs/>
          <w:color w:val="auto"/>
          <w:kern w:val="2"/>
          <w:sz w:val="32"/>
          <w:szCs w:val="32"/>
          <w:lang w:val="en-US" w:eastAsia="zh-CN"/>
        </w:rPr>
      </w:pPr>
    </w:p>
    <w:p>
      <w:pPr>
        <w:rPr>
          <w:rFonts w:hint="default" w:ascii="Times New Roman" w:hAnsi="Times New Roman" w:cs="Times New Roman"/>
          <w:color w:val="auto"/>
          <w:lang w:val="en-US" w:eastAsia="zh-CN"/>
        </w:rPr>
      </w:pPr>
    </w:p>
    <w:p>
      <w:pPr>
        <w:keepNext w:val="0"/>
        <w:keepLines w:val="0"/>
        <w:pageBreakBefore w:val="0"/>
        <w:widowControl/>
        <w:kinsoku/>
        <w:wordWrap/>
        <w:overflowPunct/>
        <w:topLinePunct w:val="0"/>
        <w:autoSpaceDE w:val="0"/>
        <w:autoSpaceDN w:val="0"/>
        <w:bidi w:val="0"/>
        <w:adjustRightInd/>
        <w:snapToGrid/>
        <w:spacing w:before="157" w:beforeLines="50" w:after="157" w:afterLines="50" w:line="360" w:lineRule="auto"/>
        <w:jc w:val="center"/>
        <w:textAlignment w:val="auto"/>
        <w:rPr>
          <w:rFonts w:hint="default" w:ascii="Times New Roman" w:hAnsi="Times New Roman" w:eastAsia="宋体" w:cs="Times New Roman"/>
          <w:b/>
          <w:bCs/>
          <w:color w:val="auto"/>
          <w:kern w:val="2"/>
          <w:sz w:val="32"/>
          <w:szCs w:val="32"/>
          <w:lang w:val="en-US" w:eastAsia="zh-CN"/>
        </w:rPr>
      </w:pPr>
      <w:r>
        <w:rPr>
          <w:rFonts w:hint="default" w:ascii="Times New Roman" w:hAnsi="Times New Roman" w:eastAsia="宋体" w:cs="Times New Roman"/>
          <w:b/>
          <w:bCs/>
          <w:color w:val="auto"/>
          <w:kern w:val="2"/>
          <w:sz w:val="32"/>
          <w:szCs w:val="32"/>
          <w:lang w:val="en-US" w:eastAsia="zh-CN"/>
        </w:rPr>
        <w:t>长沙水天净化技术工程有限公司</w:t>
      </w:r>
    </w:p>
    <w:p>
      <w:pPr>
        <w:keepNext w:val="0"/>
        <w:keepLines w:val="0"/>
        <w:pageBreakBefore w:val="0"/>
        <w:widowControl/>
        <w:kinsoku/>
        <w:wordWrap/>
        <w:overflowPunct/>
        <w:topLinePunct w:val="0"/>
        <w:autoSpaceDE w:val="0"/>
        <w:autoSpaceDN w:val="0"/>
        <w:bidi w:val="0"/>
        <w:adjustRightInd/>
        <w:snapToGrid/>
        <w:spacing w:before="157" w:beforeLines="50" w:after="157" w:afterLines="50" w:line="360" w:lineRule="auto"/>
        <w:jc w:val="center"/>
        <w:textAlignment w:val="auto"/>
        <w:rPr>
          <w:rFonts w:hint="default" w:ascii="Times New Roman" w:hAnsi="Times New Roman" w:eastAsia="宋体" w:cs="Times New Roman"/>
          <w:b/>
          <w:bCs/>
          <w:color w:val="auto"/>
          <w:kern w:val="2"/>
          <w:sz w:val="30"/>
          <w:szCs w:val="30"/>
          <w:lang w:val="en-US" w:eastAsia="zh-CN"/>
        </w:rPr>
      </w:pPr>
      <w:r>
        <w:rPr>
          <w:rFonts w:hint="default" w:ascii="Times New Roman" w:hAnsi="Times New Roman" w:eastAsia="宋体" w:cs="Times New Roman"/>
          <w:b/>
          <w:bCs/>
          <w:color w:val="auto"/>
          <w:kern w:val="2"/>
          <w:sz w:val="30"/>
          <w:szCs w:val="30"/>
          <w:lang w:val="en-US" w:eastAsia="zh-CN"/>
        </w:rPr>
        <w:t>二〇</w:t>
      </w:r>
      <w:r>
        <w:rPr>
          <w:rFonts w:hint="default" w:ascii="Times New Roman" w:hAnsi="Times New Roman" w:cs="Times New Roman"/>
          <w:b/>
          <w:bCs/>
          <w:color w:val="auto"/>
          <w:kern w:val="2"/>
          <w:sz w:val="30"/>
          <w:szCs w:val="30"/>
          <w:lang w:val="en-US" w:eastAsia="zh-CN"/>
        </w:rPr>
        <w:t>二</w:t>
      </w:r>
      <w:r>
        <w:rPr>
          <w:rFonts w:hint="default" w:ascii="Times New Roman" w:hAnsi="Times New Roman" w:eastAsia="宋体" w:cs="Times New Roman"/>
          <w:b/>
          <w:bCs/>
          <w:color w:val="auto"/>
          <w:kern w:val="2"/>
          <w:sz w:val="30"/>
          <w:szCs w:val="30"/>
          <w:lang w:val="en-US" w:eastAsia="zh-CN"/>
        </w:rPr>
        <w:t>一年</w:t>
      </w:r>
      <w:r>
        <w:rPr>
          <w:rFonts w:hint="default" w:ascii="Times New Roman" w:hAnsi="Times New Roman" w:cs="Times New Roman"/>
          <w:b/>
          <w:bCs/>
          <w:color w:val="auto"/>
          <w:kern w:val="2"/>
          <w:sz w:val="30"/>
          <w:szCs w:val="30"/>
          <w:lang w:val="en-US" w:eastAsia="zh-CN"/>
        </w:rPr>
        <w:t>二</w:t>
      </w:r>
      <w:r>
        <w:rPr>
          <w:rFonts w:hint="default" w:ascii="Times New Roman" w:hAnsi="Times New Roman" w:eastAsia="宋体" w:cs="Times New Roman"/>
          <w:b/>
          <w:bCs/>
          <w:color w:val="auto"/>
          <w:kern w:val="2"/>
          <w:sz w:val="30"/>
          <w:szCs w:val="30"/>
          <w:lang w:val="en-US" w:eastAsia="zh-CN"/>
        </w:rPr>
        <w:t>月</w:t>
      </w:r>
    </w:p>
    <w:p>
      <w:pPr>
        <w:pStyle w:val="39"/>
        <w:bidi w:val="0"/>
        <w:rPr>
          <w:rFonts w:hint="default" w:ascii="Times New Roman" w:hAnsi="Times New Roman" w:cs="Times New Roman"/>
          <w:color w:val="auto"/>
        </w:rPr>
        <w:sectPr>
          <w:footerReference r:id="rId3" w:type="default"/>
          <w:pgSz w:w="11905" w:h="16838"/>
          <w:pgMar w:top="1417" w:right="1417" w:bottom="1134" w:left="1701" w:header="850" w:footer="992" w:gutter="0"/>
          <w:pgBorders>
            <w:top w:val="none" w:sz="0" w:space="0"/>
            <w:left w:val="none" w:sz="0" w:space="0"/>
            <w:bottom w:val="none" w:sz="0" w:space="0"/>
            <w:right w:val="none" w:sz="0" w:space="0"/>
          </w:pgBorders>
          <w:pgNumType w:fmt="upperRoman"/>
          <w:cols w:space="0" w:num="1"/>
          <w:rtlGutter w:val="0"/>
          <w:docGrid w:linePitch="312" w:charSpace="0"/>
        </w:sectPr>
      </w:pPr>
    </w:p>
    <w:p>
      <w:pPr>
        <w:pStyle w:val="48"/>
        <w:rPr>
          <w:rFonts w:hint="default" w:ascii="Times New Roman" w:hAnsi="Times New Roman" w:cs="Times New Roman"/>
          <w:color w:val="auto"/>
          <w:lang w:eastAsia="zh-CN"/>
        </w:rPr>
        <w:sectPr>
          <w:headerReference r:id="rId4" w:type="default"/>
          <w:footerReference r:id="rId5" w:type="default"/>
          <w:pgSz w:w="11905" w:h="16838"/>
          <w:pgMar w:top="1417" w:right="1417" w:bottom="1134" w:left="1701" w:header="850" w:footer="992" w:gutter="0"/>
          <w:pgBorders>
            <w:top w:val="none" w:sz="0" w:space="0"/>
            <w:left w:val="none" w:sz="0" w:space="0"/>
            <w:bottom w:val="none" w:sz="0" w:space="0"/>
            <w:right w:val="none" w:sz="0" w:space="0"/>
          </w:pgBorders>
          <w:pgNumType w:fmt="upperRoman" w:start="1"/>
          <w:cols w:space="0" w:num="1"/>
          <w:rtlGutter w:val="0"/>
          <w:docGrid w:linePitch="312" w:charSpace="0"/>
        </w:sectPr>
      </w:pPr>
      <w:r>
        <w:rPr>
          <w:rFonts w:hint="default" w:ascii="Times New Roman" w:hAnsi="Times New Roman" w:cs="Times New Roman"/>
          <w:color w:val="auto"/>
          <w:lang w:eastAsia="zh-CN"/>
        </w:rPr>
        <w:drawing>
          <wp:anchor distT="0" distB="0" distL="114300" distR="114300" simplePos="0" relativeHeight="251668480" behindDoc="0" locked="0" layoutInCell="1" allowOverlap="1">
            <wp:simplePos x="0" y="0"/>
            <wp:positionH relativeFrom="column">
              <wp:posOffset>-835025</wp:posOffset>
            </wp:positionH>
            <wp:positionV relativeFrom="paragraph">
              <wp:posOffset>-27940</wp:posOffset>
            </wp:positionV>
            <wp:extent cx="6910070" cy="9431655"/>
            <wp:effectExtent l="0" t="0" r="5080" b="17145"/>
            <wp:wrapSquare wrapText="bothSides"/>
            <wp:docPr id="246" name="图片 246" descr="C:\Users\Administrator\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C:\Users\Administrator\Desktop\图片1.jpg图片1"/>
                    <pic:cNvPicPr>
                      <a:picLocks noChangeAspect="1"/>
                    </pic:cNvPicPr>
                  </pic:nvPicPr>
                  <pic:blipFill>
                    <a:blip r:embed="rId26"/>
                    <a:srcRect/>
                    <a:stretch>
                      <a:fillRect/>
                    </a:stretch>
                  </pic:blipFill>
                  <pic:spPr>
                    <a:xfrm>
                      <a:off x="0" y="0"/>
                      <a:ext cx="6910070" cy="9431655"/>
                    </a:xfrm>
                    <a:prstGeom prst="rect">
                      <a:avLst/>
                    </a:prstGeom>
                  </pic:spPr>
                </pic:pic>
              </a:graphicData>
            </a:graphic>
          </wp:anchor>
        </w:drawing>
      </w:r>
      <w:r>
        <w:rPr>
          <w:rFonts w:hint="default" w:ascii="Times New Roman" w:hAnsi="Times New Roman" w:cs="Times New Roman"/>
          <w:color w:val="auto"/>
          <w:lang w:val="en-US" w:eastAsia="zh-CN"/>
        </w:rPr>
        <w:t xml:space="preserve"> </w:t>
      </w:r>
    </w:p>
    <w:p>
      <w:pPr>
        <w:pStyle w:val="39"/>
        <w:bidi w:val="0"/>
        <w:ind w:left="0" w:leftChars="0" w:firstLine="0" w:firstLineChars="0"/>
        <w:jc w:val="center"/>
        <w:rPr>
          <w:rFonts w:hint="default" w:ascii="Times New Roman" w:hAnsi="Times New Roman" w:eastAsia="宋体" w:cs="Times New Roman"/>
          <w:color w:val="auto"/>
          <w:lang w:eastAsia="zh-CN"/>
        </w:rPr>
        <w:sectPr>
          <w:headerReference r:id="rId6" w:type="default"/>
          <w:footerReference r:id="rId7" w:type="default"/>
          <w:pgSz w:w="16838" w:h="11905" w:orient="landscape"/>
          <w:pgMar w:top="1701" w:right="1417" w:bottom="1417" w:left="1134" w:header="850" w:footer="992" w:gutter="0"/>
          <w:pgBorders>
            <w:top w:val="none" w:sz="0" w:space="0"/>
            <w:left w:val="none" w:sz="0" w:space="0"/>
            <w:bottom w:val="none" w:sz="0" w:space="0"/>
            <w:right w:val="none" w:sz="0" w:space="0"/>
          </w:pgBorders>
          <w:pgNumType w:fmt="upperRoman"/>
          <w:cols w:space="0" w:num="1"/>
          <w:rtlGutter w:val="0"/>
          <w:docGrid w:linePitch="319" w:charSpace="0"/>
        </w:sectPr>
      </w:pPr>
      <w:r>
        <w:rPr>
          <w:rFonts w:hint="default" w:ascii="Times New Roman" w:hAnsi="Times New Roman" w:eastAsia="宋体" w:cs="Times New Roman"/>
          <w:color w:val="auto"/>
          <w:lang w:eastAsia="zh-CN"/>
        </w:rPr>
        <w:drawing>
          <wp:anchor distT="0" distB="0" distL="114300" distR="114300" simplePos="0" relativeHeight="251670528" behindDoc="0" locked="0" layoutInCell="1" allowOverlap="1">
            <wp:simplePos x="0" y="0"/>
            <wp:positionH relativeFrom="column">
              <wp:posOffset>40005</wp:posOffset>
            </wp:positionH>
            <wp:positionV relativeFrom="paragraph">
              <wp:posOffset>0</wp:posOffset>
            </wp:positionV>
            <wp:extent cx="8987790" cy="5892165"/>
            <wp:effectExtent l="0" t="0" r="3810" b="13335"/>
            <wp:wrapSquare wrapText="bothSides"/>
            <wp:docPr id="242" name="图片 242" descr="C:\Users\Administrator\Desktop\图片2.jp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C:\Users\Administrator\Desktop\图片2.jpg图片2"/>
                    <pic:cNvPicPr>
                      <a:picLocks noChangeAspect="1"/>
                    </pic:cNvPicPr>
                  </pic:nvPicPr>
                  <pic:blipFill>
                    <a:blip r:embed="rId27"/>
                    <a:srcRect/>
                    <a:stretch>
                      <a:fillRect/>
                    </a:stretch>
                  </pic:blipFill>
                  <pic:spPr>
                    <a:xfrm>
                      <a:off x="0" y="0"/>
                      <a:ext cx="8987790" cy="5892165"/>
                    </a:xfrm>
                    <a:prstGeom prst="rect">
                      <a:avLst/>
                    </a:prstGeom>
                  </pic:spPr>
                </pic:pic>
              </a:graphicData>
            </a:graphic>
          </wp:anchor>
        </w:drawing>
      </w:r>
      <w:r>
        <w:rPr>
          <w:rFonts w:hint="eastAsia" w:cs="Times New Roman"/>
          <w:color w:val="auto"/>
          <w:lang w:val="en-US" w:eastAsia="zh-CN"/>
        </w:rPr>
        <w:t xml:space="preserve"> </w:t>
      </w:r>
      <w:bookmarkStart w:id="860" w:name="_GoBack"/>
      <w:bookmarkEnd w:id="860"/>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20" w:lineRule="exact"/>
        <w:ind w:leftChars="0"/>
        <w:jc w:val="center"/>
        <w:textAlignment w:val="auto"/>
        <w:rPr>
          <w:rFonts w:hint="default" w:ascii="Times New Roman" w:hAnsi="Times New Roman" w:cs="Times New Roman"/>
          <w:color w:val="auto"/>
        </w:rPr>
      </w:pPr>
      <w:bookmarkStart w:id="9" w:name="_Toc11385"/>
      <w:bookmarkStart w:id="10" w:name="_Toc15138"/>
      <w:bookmarkStart w:id="11" w:name="_Toc3474"/>
      <w:bookmarkStart w:id="12" w:name="_Toc10143"/>
      <w:bookmarkStart w:id="13" w:name="_Toc12690"/>
      <w:bookmarkStart w:id="14" w:name="_Toc31353"/>
      <w:bookmarkStart w:id="15" w:name="_Toc12871"/>
      <w:bookmarkStart w:id="16" w:name="_Toc18109"/>
      <w:bookmarkStart w:id="17" w:name="_Toc11547"/>
      <w:bookmarkStart w:id="18" w:name="_Toc25111"/>
      <w:r>
        <w:rPr>
          <w:rFonts w:hint="default" w:ascii="Times New Roman" w:hAnsi="Times New Roman" w:cs="Times New Roman"/>
          <w:color w:val="auto"/>
        </w:rPr>
        <w:t>目  录</w:t>
      </w:r>
      <w:bookmarkEnd w:id="0"/>
      <w:bookmarkEnd w:id="1"/>
      <w:bookmarkEnd w:id="2"/>
      <w:bookmarkEnd w:id="9"/>
      <w:bookmarkEnd w:id="10"/>
      <w:bookmarkEnd w:id="11"/>
      <w:bookmarkEnd w:id="12"/>
      <w:bookmarkEnd w:id="13"/>
      <w:bookmarkEnd w:id="14"/>
      <w:bookmarkEnd w:id="15"/>
      <w:bookmarkEnd w:id="16"/>
      <w:bookmarkEnd w:id="17"/>
      <w:bookmarkEnd w:id="18"/>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TOC \o "1-3" \h \u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_Toc28370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44"/>
        </w:rPr>
        <w:t>1. 概述</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_Toc28370 \h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_Toc32076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1.1. 项目由来</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_Toc32076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_Toc30220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1.2. 建设项目特点</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_Toc30220 \h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_Toc6319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1.3. 环境影响评价</w:t>
      </w:r>
      <w:r>
        <w:rPr>
          <w:rFonts w:hint="default" w:ascii="Times New Roman" w:hAnsi="Times New Roman" w:eastAsia="宋体" w:cs="Times New Roman"/>
          <w:color w:val="auto"/>
          <w:lang w:eastAsia="zh-CN"/>
        </w:rPr>
        <w:t>的</w:t>
      </w:r>
      <w:r>
        <w:rPr>
          <w:rFonts w:hint="default" w:ascii="Times New Roman" w:hAnsi="Times New Roman" w:eastAsia="宋体" w:cs="Times New Roman"/>
          <w:color w:val="auto"/>
        </w:rPr>
        <w:t>工作过程</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_Toc6319 \h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_Toc24020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1.4. 分析判定相关情况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_Toc24020 \h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_Toc19503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1.4.1. </w:t>
      </w:r>
      <w:r>
        <w:rPr>
          <w:rFonts w:hint="default" w:ascii="Times New Roman" w:hAnsi="Times New Roman" w:eastAsia="宋体" w:cs="Times New Roman"/>
          <w:color w:val="auto"/>
          <w:lang w:eastAsia="zh-CN"/>
        </w:rPr>
        <w:t>产业政策相符性分析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_Toc19503 \h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_Toc14573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1.4.2. </w:t>
      </w:r>
      <w:r>
        <w:rPr>
          <w:rFonts w:hint="default" w:ascii="Times New Roman" w:hAnsi="Times New Roman" w:cs="Times New Roman"/>
          <w:color w:val="auto"/>
        </w:rPr>
        <w:t>选址合理性分析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_Toc14573 \h </w:instrText>
      </w:r>
      <w:r>
        <w:rPr>
          <w:rFonts w:hint="default" w:ascii="Times New Roman" w:hAnsi="Times New Roman" w:cs="Times New Roman"/>
          <w:color w:val="auto"/>
        </w:rPr>
        <w:fldChar w:fldCharType="separate"/>
      </w:r>
      <w:r>
        <w:rPr>
          <w:rFonts w:hint="default" w:ascii="Times New Roman" w:hAnsi="Times New Roman" w:cs="Times New Roman"/>
          <w:color w:val="auto"/>
        </w:rPr>
        <w:t>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_Toc14259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1.5. </w:t>
      </w:r>
      <w:r>
        <w:rPr>
          <w:rFonts w:hint="default" w:ascii="Times New Roman" w:hAnsi="Times New Roman" w:cs="Times New Roman"/>
          <w:color w:val="auto"/>
        </w:rPr>
        <w:t>评价关注的主要环境问题及环境影响</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_Toc14259 \h </w:instrText>
      </w:r>
      <w:r>
        <w:rPr>
          <w:rFonts w:hint="default" w:ascii="Times New Roman" w:hAnsi="Times New Roman" w:cs="Times New Roman"/>
          <w:color w:val="auto"/>
        </w:rPr>
        <w:fldChar w:fldCharType="separate"/>
      </w:r>
      <w:r>
        <w:rPr>
          <w:rFonts w:hint="default" w:ascii="Times New Roman" w:hAnsi="Times New Roman" w:cs="Times New Roman"/>
          <w:color w:val="auto"/>
        </w:rPr>
        <w:t>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_Toc26387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1.6. </w:t>
      </w:r>
      <w:r>
        <w:rPr>
          <w:rFonts w:hint="default" w:ascii="Times New Roman" w:hAnsi="Times New Roman" w:cs="Times New Roman"/>
          <w:color w:val="auto"/>
        </w:rPr>
        <w:t>环境影响评价的主要结论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_Toc26387 \h </w:instrText>
      </w:r>
      <w:r>
        <w:rPr>
          <w:rFonts w:hint="default" w:ascii="Times New Roman" w:hAnsi="Times New Roman" w:cs="Times New Roman"/>
          <w:color w:val="auto"/>
        </w:rPr>
        <w:fldChar w:fldCharType="separate"/>
      </w:r>
      <w:r>
        <w:rPr>
          <w:rFonts w:hint="default" w:ascii="Times New Roman" w:hAnsi="Times New Roman" w:cs="Times New Roman"/>
          <w:color w:val="auto"/>
        </w:rPr>
        <w:t>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_Toc9674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44"/>
        </w:rPr>
        <w:t>2. 总则</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_Toc9674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_Toc21330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2.1. </w:t>
      </w:r>
      <w:r>
        <w:rPr>
          <w:rFonts w:hint="default" w:ascii="Times New Roman" w:hAnsi="Times New Roman" w:cs="Times New Roman"/>
          <w:color w:val="auto"/>
        </w:rPr>
        <w:t>编制依据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_Toc21330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_Toc23842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2.1.1. </w:t>
      </w:r>
      <w:r>
        <w:rPr>
          <w:rFonts w:hint="default" w:ascii="Times New Roman" w:hAnsi="Times New Roman" w:cs="Times New Roman"/>
          <w:color w:val="auto"/>
        </w:rPr>
        <w:t>法律、法规及相关政策</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_Toc23842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_Toc23081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2.1.2. </w:t>
      </w:r>
      <w:r>
        <w:rPr>
          <w:rFonts w:hint="default" w:ascii="Times New Roman" w:hAnsi="Times New Roman" w:cs="Times New Roman"/>
          <w:color w:val="auto"/>
        </w:rPr>
        <w:t>部门规章及规范性文件</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_Toc23081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11</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_Toc24227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2.1.3. </w:t>
      </w:r>
      <w:r>
        <w:rPr>
          <w:rFonts w:hint="default" w:ascii="Times New Roman" w:hAnsi="Times New Roman" w:cs="Times New Roman"/>
          <w:color w:val="auto"/>
        </w:rPr>
        <w:t>地方环保法规、政策</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_Toc24227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_Toc15802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2.1.4. </w:t>
      </w:r>
      <w:r>
        <w:rPr>
          <w:rFonts w:hint="default" w:ascii="Times New Roman" w:hAnsi="Times New Roman" w:cs="Times New Roman"/>
          <w:color w:val="auto"/>
        </w:rPr>
        <w:t>相关技术导则及规范</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_Toc15802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_Toc32083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2.1.5. </w:t>
      </w:r>
      <w:r>
        <w:rPr>
          <w:rFonts w:hint="default" w:ascii="Times New Roman" w:hAnsi="Times New Roman" w:cs="Times New Roman"/>
          <w:color w:val="auto"/>
        </w:rPr>
        <w:t>其他</w:t>
      </w:r>
      <w:r>
        <w:rPr>
          <w:rFonts w:hint="default" w:ascii="Times New Roman" w:hAnsi="Times New Roman" w:cs="Times New Roman"/>
          <w:color w:val="auto"/>
          <w:lang w:eastAsia="zh-CN"/>
        </w:rPr>
        <w:t>编制依据及工程</w:t>
      </w:r>
      <w:r>
        <w:rPr>
          <w:rFonts w:hint="default" w:ascii="Times New Roman" w:hAnsi="Times New Roman" w:cs="Times New Roman"/>
          <w:color w:val="auto"/>
        </w:rPr>
        <w:t>资料</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_Toc32083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_Toc155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2.2. </w:t>
      </w:r>
      <w:r>
        <w:rPr>
          <w:rFonts w:hint="default" w:ascii="Times New Roman" w:hAnsi="Times New Roman" w:cs="Times New Roman"/>
          <w:color w:val="auto"/>
        </w:rPr>
        <w:t>环境影响识别与评价因子筛选</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_Toc26230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2.2.1. </w:t>
      </w:r>
      <w:r>
        <w:rPr>
          <w:rFonts w:hint="default" w:ascii="Times New Roman" w:hAnsi="Times New Roman" w:cs="Times New Roman"/>
          <w:color w:val="auto"/>
        </w:rPr>
        <w:t>环境影响因素识别</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_Toc26230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_Toc1025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2.2.2. </w:t>
      </w:r>
      <w:r>
        <w:rPr>
          <w:rFonts w:hint="default" w:ascii="Times New Roman" w:hAnsi="Times New Roman" w:cs="Times New Roman"/>
          <w:color w:val="auto"/>
          <w:highlight w:val="none"/>
        </w:rPr>
        <w:t>评价因子筛选</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_Toc1025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16</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_Toc9087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2.3. </w:t>
      </w:r>
      <w:r>
        <w:rPr>
          <w:rFonts w:hint="default" w:ascii="Times New Roman" w:hAnsi="Times New Roman" w:cs="Times New Roman"/>
          <w:color w:val="auto"/>
        </w:rPr>
        <w:t>环境功能区划</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_Toc9087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_Toc27732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2.3.1. </w:t>
      </w:r>
      <w:r>
        <w:rPr>
          <w:rFonts w:hint="default" w:ascii="Times New Roman" w:hAnsi="Times New Roman" w:cs="Times New Roman"/>
          <w:color w:val="auto"/>
        </w:rPr>
        <w:t>地表水环境功能区划</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_Toc27732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_Toc11479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2.3.2. </w:t>
      </w:r>
      <w:r>
        <w:rPr>
          <w:rFonts w:hint="default" w:ascii="Times New Roman" w:hAnsi="Times New Roman" w:cs="Times New Roman"/>
          <w:color w:val="auto"/>
        </w:rPr>
        <w:t>地下水环境功能区划</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_Toc11479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_Toc10105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2.3.3. </w:t>
      </w:r>
      <w:r>
        <w:rPr>
          <w:rFonts w:hint="default" w:ascii="Times New Roman" w:hAnsi="Times New Roman" w:cs="Times New Roman"/>
          <w:color w:val="auto"/>
        </w:rPr>
        <w:t>大气环境功能区划</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_Toc10105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_Toc7040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2.3.4. </w:t>
      </w:r>
      <w:r>
        <w:rPr>
          <w:rFonts w:hint="default" w:ascii="Times New Roman" w:hAnsi="Times New Roman" w:cs="Times New Roman"/>
          <w:color w:val="auto"/>
        </w:rPr>
        <w:t>声环境功能区划</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_Toc7040 \h </w:instrText>
      </w:r>
      <w:r>
        <w:rPr>
          <w:rFonts w:hint="default" w:ascii="Times New Roman" w:hAnsi="Times New Roman" w:cs="Times New Roman"/>
          <w:color w:val="auto"/>
        </w:rPr>
        <w:fldChar w:fldCharType="separate"/>
      </w:r>
      <w:r>
        <w:rPr>
          <w:rFonts w:hint="default" w:ascii="Times New Roman" w:hAnsi="Times New Roman" w:cs="Times New Roman"/>
          <w:color w:val="auto"/>
        </w:rPr>
        <w:t>17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_Toc2642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2.3.5. </w:t>
      </w:r>
      <w:r>
        <w:rPr>
          <w:rFonts w:hint="default" w:ascii="Times New Roman" w:hAnsi="Times New Roman" w:cs="Times New Roman"/>
          <w:color w:val="auto"/>
        </w:rPr>
        <w:t>项目所在区域环境功能属性汇总</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_Toc2642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_Toc14617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2.4. </w:t>
      </w:r>
      <w:r>
        <w:rPr>
          <w:rFonts w:hint="default" w:ascii="Times New Roman" w:hAnsi="Times New Roman" w:cs="Times New Roman"/>
          <w:color w:val="auto"/>
        </w:rPr>
        <w:t>评价标准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_Toc14617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18</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_Toc26429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2.4.1. </w:t>
      </w:r>
      <w:r>
        <w:rPr>
          <w:rFonts w:hint="default" w:ascii="Times New Roman" w:hAnsi="Times New Roman" w:cs="Times New Roman"/>
          <w:color w:val="auto"/>
        </w:rPr>
        <w:t>环境质量标准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_Toc26429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18</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_Toc26840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2.4.2. </w:t>
      </w:r>
      <w:r>
        <w:rPr>
          <w:rFonts w:hint="default" w:ascii="Times New Roman" w:hAnsi="Times New Roman" w:cs="Times New Roman"/>
          <w:color w:val="auto"/>
        </w:rPr>
        <w:t>污染物排放标准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_Toc26840 \h </w:instrText>
      </w:r>
      <w:r>
        <w:rPr>
          <w:rFonts w:hint="default" w:ascii="Times New Roman" w:hAnsi="Times New Roman" w:cs="Times New Roman"/>
          <w:color w:val="auto"/>
        </w:rPr>
        <w:fldChar w:fldCharType="separate"/>
      </w:r>
      <w:r>
        <w:rPr>
          <w:rFonts w:hint="default" w:ascii="Times New Roman" w:hAnsi="Times New Roman" w:cs="Times New Roman"/>
          <w:color w:val="auto"/>
        </w:rPr>
        <w:t>20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_Toc19872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2.4.3. </w:t>
      </w:r>
      <w:r>
        <w:rPr>
          <w:rFonts w:hint="default" w:ascii="Times New Roman" w:hAnsi="Times New Roman" w:cs="Times New Roman"/>
          <w:color w:val="auto"/>
        </w:rPr>
        <w:t>评价工作等级及评价范围</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_Toc19872 \h </w:instrText>
      </w:r>
      <w:r>
        <w:rPr>
          <w:rFonts w:hint="default" w:ascii="Times New Roman" w:hAnsi="Times New Roman" w:cs="Times New Roman"/>
          <w:color w:val="auto"/>
        </w:rPr>
        <w:fldChar w:fldCharType="separate"/>
      </w:r>
      <w:r>
        <w:rPr>
          <w:rFonts w:hint="default" w:ascii="Times New Roman" w:hAnsi="Times New Roman" w:cs="Times New Roman"/>
          <w:color w:val="auto"/>
        </w:rPr>
        <w:t>21</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_Toc31087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2.5. </w:t>
      </w:r>
      <w:r>
        <w:rPr>
          <w:rFonts w:hint="default" w:ascii="Times New Roman" w:hAnsi="Times New Roman" w:cs="Times New Roman"/>
          <w:color w:val="auto"/>
          <w:highlight w:val="none"/>
        </w:rPr>
        <w:t>主要环境保护目标</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_Toc31087 \h </w:instrText>
      </w:r>
      <w:r>
        <w:rPr>
          <w:rFonts w:hint="default" w:ascii="Times New Roman" w:hAnsi="Times New Roman" w:cs="Times New Roman"/>
          <w:color w:val="auto"/>
        </w:rPr>
        <w:fldChar w:fldCharType="separate"/>
      </w:r>
      <w:r>
        <w:rPr>
          <w:rFonts w:hint="default" w:ascii="Times New Roman" w:hAnsi="Times New Roman" w:cs="Times New Roman"/>
          <w:color w:val="auto"/>
        </w:rPr>
        <w:t>28</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_Toc25282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44"/>
        </w:rPr>
        <w:t xml:space="preserve">3. </w:t>
      </w:r>
      <w:r>
        <w:rPr>
          <w:rFonts w:hint="default" w:ascii="Times New Roman" w:hAnsi="Times New Roman" w:cs="Times New Roman"/>
          <w:color w:val="auto"/>
          <w:szCs w:val="44"/>
          <w:highlight w:val="none"/>
        </w:rPr>
        <w:t>项目基本情况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_Toc25282 \h </w:instrText>
      </w:r>
      <w:r>
        <w:rPr>
          <w:rFonts w:hint="default" w:ascii="Times New Roman" w:hAnsi="Times New Roman" w:cs="Times New Roman"/>
          <w:color w:val="auto"/>
        </w:rPr>
        <w:fldChar w:fldCharType="separate"/>
      </w:r>
      <w:r>
        <w:rPr>
          <w:rFonts w:hint="default" w:ascii="Times New Roman" w:hAnsi="Times New Roman" w:cs="Times New Roman"/>
          <w:color w:val="auto"/>
        </w:rPr>
        <w:t>30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_Toc12021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3.1. </w:t>
      </w:r>
      <w:r>
        <w:rPr>
          <w:rFonts w:hint="default" w:ascii="Times New Roman" w:hAnsi="Times New Roman" w:cs="Times New Roman"/>
          <w:color w:val="auto"/>
          <w:highlight w:val="none"/>
        </w:rPr>
        <w:t>现有工程概况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_Toc12021 \h </w:instrText>
      </w:r>
      <w:r>
        <w:rPr>
          <w:rFonts w:hint="default" w:ascii="Times New Roman" w:hAnsi="Times New Roman" w:cs="Times New Roman"/>
          <w:color w:val="auto"/>
        </w:rPr>
        <w:fldChar w:fldCharType="separate"/>
      </w:r>
      <w:r>
        <w:rPr>
          <w:rFonts w:hint="default" w:ascii="Times New Roman" w:hAnsi="Times New Roman" w:cs="Times New Roman"/>
          <w:color w:val="auto"/>
        </w:rPr>
        <w:t>30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_Toc1668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3.1.1. </w:t>
      </w:r>
      <w:r>
        <w:rPr>
          <w:rFonts w:hint="default" w:ascii="Times New Roman" w:hAnsi="Times New Roman" w:cs="Times New Roman"/>
          <w:color w:val="auto"/>
          <w:highlight w:val="none"/>
        </w:rPr>
        <w:t>现有工程基本情况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_Toc1668 \h </w:instrText>
      </w:r>
      <w:r>
        <w:rPr>
          <w:rFonts w:hint="default" w:ascii="Times New Roman" w:hAnsi="Times New Roman" w:cs="Times New Roman"/>
          <w:color w:val="auto"/>
        </w:rPr>
        <w:fldChar w:fldCharType="separate"/>
      </w:r>
      <w:r>
        <w:rPr>
          <w:rFonts w:hint="default" w:ascii="Times New Roman" w:hAnsi="Times New Roman" w:cs="Times New Roman"/>
          <w:color w:val="auto"/>
        </w:rPr>
        <w:t>30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_Toc3409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3.1.2. </w:t>
      </w:r>
      <w:r>
        <w:rPr>
          <w:rFonts w:hint="default" w:ascii="Times New Roman" w:hAnsi="Times New Roman" w:cs="Times New Roman"/>
          <w:color w:val="auto"/>
        </w:rPr>
        <w:t>现有工程项目组成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_Toc3409 \h </w:instrText>
      </w:r>
      <w:r>
        <w:rPr>
          <w:rFonts w:hint="default" w:ascii="Times New Roman" w:hAnsi="Times New Roman" w:cs="Times New Roman"/>
          <w:color w:val="auto"/>
        </w:rPr>
        <w:fldChar w:fldCharType="separate"/>
      </w:r>
      <w:r>
        <w:rPr>
          <w:rFonts w:hint="default" w:ascii="Times New Roman" w:hAnsi="Times New Roman" w:cs="Times New Roman"/>
          <w:color w:val="auto"/>
        </w:rPr>
        <w:t>30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_Toc19119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3.1.3. </w:t>
      </w:r>
      <w:r>
        <w:rPr>
          <w:rFonts w:hint="default" w:ascii="Times New Roman" w:hAnsi="Times New Roman" w:cs="Times New Roman"/>
          <w:color w:val="auto"/>
        </w:rPr>
        <w:t>现有工程生产规模</w:t>
      </w:r>
      <w:r>
        <w:rPr>
          <w:rFonts w:hint="default" w:ascii="Times New Roman" w:hAnsi="Times New Roman" w:cs="Times New Roman"/>
          <w:color w:val="auto"/>
          <w:lang w:eastAsia="zh-CN"/>
        </w:rPr>
        <w:t>及</w:t>
      </w:r>
      <w:r>
        <w:rPr>
          <w:rFonts w:hint="default" w:ascii="Times New Roman" w:hAnsi="Times New Roman" w:cs="Times New Roman"/>
          <w:color w:val="auto"/>
        </w:rPr>
        <w:t>产品方案</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_Toc19119 \h </w:instrText>
      </w:r>
      <w:r>
        <w:rPr>
          <w:rFonts w:hint="default" w:ascii="Times New Roman" w:hAnsi="Times New Roman" w:cs="Times New Roman"/>
          <w:color w:val="auto"/>
        </w:rPr>
        <w:fldChar w:fldCharType="separate"/>
      </w:r>
      <w:r>
        <w:rPr>
          <w:rFonts w:hint="default" w:ascii="Times New Roman" w:hAnsi="Times New Roman" w:cs="Times New Roman"/>
          <w:color w:val="auto"/>
        </w:rPr>
        <w:t>32</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_Toc28340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3.1.4. </w:t>
      </w:r>
      <w:r>
        <w:rPr>
          <w:rFonts w:hint="default" w:ascii="Times New Roman" w:hAnsi="Times New Roman" w:cs="Times New Roman"/>
          <w:color w:val="auto"/>
        </w:rPr>
        <w:t>现有工程原辅用料</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_Toc28340 \h </w:instrText>
      </w:r>
      <w:r>
        <w:rPr>
          <w:rFonts w:hint="default" w:ascii="Times New Roman" w:hAnsi="Times New Roman" w:cs="Times New Roman"/>
          <w:color w:val="auto"/>
        </w:rPr>
        <w:fldChar w:fldCharType="separate"/>
      </w:r>
      <w:r>
        <w:rPr>
          <w:rFonts w:hint="default" w:ascii="Times New Roman" w:hAnsi="Times New Roman" w:cs="Times New Roman"/>
          <w:color w:val="auto"/>
        </w:rPr>
        <w:t>32</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_Toc3873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3.1.5. </w:t>
      </w:r>
      <w:r>
        <w:rPr>
          <w:rFonts w:hint="default" w:ascii="Times New Roman" w:hAnsi="Times New Roman" w:cs="Times New Roman"/>
          <w:color w:val="auto"/>
        </w:rPr>
        <w:t>现有工程总平面布置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_Toc3873 \h </w:instrText>
      </w:r>
      <w:r>
        <w:rPr>
          <w:rFonts w:hint="default" w:ascii="Times New Roman" w:hAnsi="Times New Roman" w:cs="Times New Roman"/>
          <w:color w:val="auto"/>
        </w:rPr>
        <w:fldChar w:fldCharType="separate"/>
      </w:r>
      <w:r>
        <w:rPr>
          <w:rFonts w:hint="default" w:ascii="Times New Roman" w:hAnsi="Times New Roman" w:cs="Times New Roman"/>
          <w:color w:val="auto"/>
        </w:rPr>
        <w:t>33</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_Toc5103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3.1.6. </w:t>
      </w:r>
      <w:r>
        <w:rPr>
          <w:rFonts w:hint="default" w:ascii="Times New Roman" w:hAnsi="Times New Roman" w:cs="Times New Roman"/>
          <w:color w:val="auto"/>
        </w:rPr>
        <w:t>现有工程主要生产设备</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_Toc5103 \h </w:instrText>
      </w:r>
      <w:r>
        <w:rPr>
          <w:rFonts w:hint="default" w:ascii="Times New Roman" w:hAnsi="Times New Roman" w:cs="Times New Roman"/>
          <w:color w:val="auto"/>
        </w:rPr>
        <w:fldChar w:fldCharType="separate"/>
      </w:r>
      <w:r>
        <w:rPr>
          <w:rFonts w:hint="default" w:ascii="Times New Roman" w:hAnsi="Times New Roman" w:cs="Times New Roman"/>
          <w:color w:val="auto"/>
        </w:rPr>
        <w:t>34</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_Toc15651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3.1.7. </w:t>
      </w:r>
      <w:r>
        <w:rPr>
          <w:rFonts w:hint="default" w:ascii="Times New Roman" w:hAnsi="Times New Roman" w:cs="Times New Roman"/>
          <w:color w:val="auto"/>
        </w:rPr>
        <w:t>现有工程主要环保措施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_Toc15651 \h </w:instrText>
      </w:r>
      <w:r>
        <w:rPr>
          <w:rFonts w:hint="default" w:ascii="Times New Roman" w:hAnsi="Times New Roman" w:cs="Times New Roman"/>
          <w:color w:val="auto"/>
        </w:rPr>
        <w:fldChar w:fldCharType="separate"/>
      </w:r>
      <w:r>
        <w:rPr>
          <w:rFonts w:hint="default" w:ascii="Times New Roman" w:hAnsi="Times New Roman" w:cs="Times New Roman"/>
          <w:color w:val="auto"/>
        </w:rPr>
        <w:t>36</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_Toc8463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3.1.8. </w:t>
      </w:r>
      <w:r>
        <w:rPr>
          <w:rFonts w:hint="default" w:ascii="Times New Roman" w:hAnsi="Times New Roman" w:cs="Times New Roman"/>
          <w:color w:val="auto"/>
        </w:rPr>
        <w:t>现有工程污染源强汇总</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_Toc8463 \h </w:instrText>
      </w:r>
      <w:r>
        <w:rPr>
          <w:rFonts w:hint="default" w:ascii="Times New Roman" w:hAnsi="Times New Roman" w:cs="Times New Roman"/>
          <w:color w:val="auto"/>
        </w:rPr>
        <w:fldChar w:fldCharType="separate"/>
      </w:r>
      <w:r>
        <w:rPr>
          <w:rFonts w:hint="default" w:ascii="Times New Roman" w:hAnsi="Times New Roman" w:cs="Times New Roman"/>
          <w:color w:val="auto"/>
        </w:rPr>
        <w:t>41</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_Toc24836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3.1.9. </w:t>
      </w:r>
      <w:r>
        <w:rPr>
          <w:rFonts w:hint="default" w:ascii="Times New Roman" w:hAnsi="Times New Roman" w:cs="Times New Roman"/>
          <w:color w:val="auto"/>
        </w:rPr>
        <w:t>现有工程污染物总量控制指标</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_Toc24836 \h </w:instrText>
      </w:r>
      <w:r>
        <w:rPr>
          <w:rFonts w:hint="default" w:ascii="Times New Roman" w:hAnsi="Times New Roman" w:cs="Times New Roman"/>
          <w:color w:val="auto"/>
        </w:rPr>
        <w:fldChar w:fldCharType="separate"/>
      </w:r>
      <w:r>
        <w:rPr>
          <w:rFonts w:hint="default" w:ascii="Times New Roman" w:hAnsi="Times New Roman" w:cs="Times New Roman"/>
          <w:color w:val="auto"/>
        </w:rPr>
        <w:t>42</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_Toc22411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3.2. </w:t>
      </w:r>
      <w:r>
        <w:rPr>
          <w:rFonts w:hint="default" w:ascii="Times New Roman" w:hAnsi="Times New Roman" w:cs="Times New Roman"/>
          <w:color w:val="auto"/>
        </w:rPr>
        <w:t>拟建工程概况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_Toc22411 \h </w:instrText>
      </w:r>
      <w:r>
        <w:rPr>
          <w:rFonts w:hint="default" w:ascii="Times New Roman" w:hAnsi="Times New Roman" w:cs="Times New Roman"/>
          <w:color w:val="auto"/>
        </w:rPr>
        <w:fldChar w:fldCharType="separate"/>
      </w:r>
      <w:r>
        <w:rPr>
          <w:rFonts w:hint="default" w:ascii="Times New Roman" w:hAnsi="Times New Roman" w:cs="Times New Roman"/>
          <w:color w:val="auto"/>
        </w:rPr>
        <w:t>42</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_Toc6770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3.2.1. </w:t>
      </w:r>
      <w:r>
        <w:rPr>
          <w:rFonts w:hint="default" w:ascii="Times New Roman" w:hAnsi="Times New Roman" w:cs="Times New Roman"/>
          <w:color w:val="auto"/>
        </w:rPr>
        <w:t>主要建设内容与规模</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_Toc6770 \h </w:instrText>
      </w:r>
      <w:r>
        <w:rPr>
          <w:rFonts w:hint="default" w:ascii="Times New Roman" w:hAnsi="Times New Roman" w:cs="Times New Roman"/>
          <w:color w:val="auto"/>
        </w:rPr>
        <w:fldChar w:fldCharType="separate"/>
      </w:r>
      <w:r>
        <w:rPr>
          <w:rFonts w:hint="default" w:ascii="Times New Roman" w:hAnsi="Times New Roman" w:cs="Times New Roman"/>
          <w:color w:val="auto"/>
        </w:rPr>
        <w:t>42</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_Toc16698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3.2.2. </w:t>
      </w:r>
      <w:r>
        <w:rPr>
          <w:rFonts w:hint="default" w:ascii="Times New Roman" w:hAnsi="Times New Roman" w:cs="Times New Roman"/>
          <w:color w:val="auto"/>
        </w:rPr>
        <w:t>产品规模</w:t>
      </w:r>
      <w:r>
        <w:rPr>
          <w:rFonts w:hint="default" w:ascii="Times New Roman" w:hAnsi="Times New Roman" w:cs="Times New Roman"/>
          <w:color w:val="auto"/>
          <w:lang w:eastAsia="zh-CN"/>
        </w:rPr>
        <w:t>及产品性能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_Toc16698 \h </w:instrText>
      </w:r>
      <w:r>
        <w:rPr>
          <w:rFonts w:hint="default" w:ascii="Times New Roman" w:hAnsi="Times New Roman" w:cs="Times New Roman"/>
          <w:color w:val="auto"/>
        </w:rPr>
        <w:fldChar w:fldCharType="separate"/>
      </w:r>
      <w:r>
        <w:rPr>
          <w:rFonts w:hint="default" w:ascii="Times New Roman" w:hAnsi="Times New Roman" w:cs="Times New Roman"/>
          <w:color w:val="auto"/>
        </w:rPr>
        <w:t>44</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_Toc5534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3.2.3. </w:t>
      </w:r>
      <w:r>
        <w:rPr>
          <w:rFonts w:hint="default" w:ascii="Times New Roman" w:hAnsi="Times New Roman" w:cs="Times New Roman"/>
          <w:color w:val="auto"/>
          <w:lang w:eastAsia="zh-CN"/>
        </w:rPr>
        <w:t>与现有工程的依托关系</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_Toc5534 \h </w:instrText>
      </w:r>
      <w:r>
        <w:rPr>
          <w:rFonts w:hint="default" w:ascii="Times New Roman" w:hAnsi="Times New Roman" w:cs="Times New Roman"/>
          <w:color w:val="auto"/>
        </w:rPr>
        <w:fldChar w:fldCharType="separate"/>
      </w:r>
      <w:r>
        <w:rPr>
          <w:rFonts w:hint="default" w:ascii="Times New Roman" w:hAnsi="Times New Roman" w:cs="Times New Roman"/>
          <w:color w:val="auto"/>
        </w:rPr>
        <w:t>44</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_Toc14510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3.2.4. </w:t>
      </w:r>
      <w:r>
        <w:rPr>
          <w:rFonts w:hint="default" w:ascii="Times New Roman" w:hAnsi="Times New Roman" w:cs="Times New Roman"/>
          <w:color w:val="auto"/>
        </w:rPr>
        <w:t>主要原辅材料及能源消耗</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_Toc14510 \h </w:instrText>
      </w:r>
      <w:r>
        <w:rPr>
          <w:rFonts w:hint="default" w:ascii="Times New Roman" w:hAnsi="Times New Roman" w:cs="Times New Roman"/>
          <w:color w:val="auto"/>
        </w:rPr>
        <w:fldChar w:fldCharType="separate"/>
      </w:r>
      <w:r>
        <w:rPr>
          <w:rFonts w:hint="default" w:ascii="Times New Roman" w:hAnsi="Times New Roman" w:cs="Times New Roman"/>
          <w:color w:val="auto"/>
        </w:rPr>
        <w:t>45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_Toc16249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3.2.5. </w:t>
      </w:r>
      <w:r>
        <w:rPr>
          <w:rFonts w:hint="default" w:ascii="Times New Roman" w:hAnsi="Times New Roman" w:cs="Times New Roman"/>
          <w:color w:val="auto"/>
        </w:rPr>
        <w:t>主要设备</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_Toc16249 \h </w:instrText>
      </w:r>
      <w:r>
        <w:rPr>
          <w:rFonts w:hint="default" w:ascii="Times New Roman" w:hAnsi="Times New Roman" w:cs="Times New Roman"/>
          <w:color w:val="auto"/>
        </w:rPr>
        <w:fldChar w:fldCharType="separate"/>
      </w:r>
      <w:r>
        <w:rPr>
          <w:rFonts w:hint="default" w:ascii="Times New Roman" w:hAnsi="Times New Roman" w:cs="Times New Roman"/>
          <w:color w:val="auto"/>
        </w:rPr>
        <w:t>46</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_Toc10519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3.2.6. </w:t>
      </w:r>
      <w:r>
        <w:rPr>
          <w:rFonts w:hint="default" w:ascii="Times New Roman" w:hAnsi="Times New Roman" w:cs="Times New Roman"/>
          <w:color w:val="auto"/>
        </w:rPr>
        <w:t>公用工程</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_Toc10519 \h </w:instrText>
      </w:r>
      <w:r>
        <w:rPr>
          <w:rFonts w:hint="default" w:ascii="Times New Roman" w:hAnsi="Times New Roman" w:cs="Times New Roman"/>
          <w:color w:val="auto"/>
        </w:rPr>
        <w:fldChar w:fldCharType="separate"/>
      </w:r>
      <w:r>
        <w:rPr>
          <w:rFonts w:hint="default" w:ascii="Times New Roman" w:hAnsi="Times New Roman" w:cs="Times New Roman"/>
          <w:color w:val="auto"/>
        </w:rPr>
        <w:t>48</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_Toc18540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3.2.7. </w:t>
      </w:r>
      <w:r>
        <w:rPr>
          <w:rFonts w:hint="default" w:ascii="Times New Roman" w:hAnsi="Times New Roman" w:cs="Times New Roman"/>
          <w:color w:val="auto"/>
        </w:rPr>
        <w:t>环保工程</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_Toc18540 \h </w:instrText>
      </w:r>
      <w:r>
        <w:rPr>
          <w:rFonts w:hint="default" w:ascii="Times New Roman" w:hAnsi="Times New Roman" w:cs="Times New Roman"/>
          <w:color w:val="auto"/>
        </w:rPr>
        <w:fldChar w:fldCharType="separate"/>
      </w:r>
      <w:r>
        <w:rPr>
          <w:rFonts w:hint="default" w:ascii="Times New Roman" w:hAnsi="Times New Roman" w:cs="Times New Roman"/>
          <w:color w:val="auto"/>
        </w:rPr>
        <w:t>50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_Toc4941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3.2.8. </w:t>
      </w:r>
      <w:r>
        <w:rPr>
          <w:rFonts w:hint="default" w:ascii="Times New Roman" w:hAnsi="Times New Roman" w:cs="Times New Roman"/>
          <w:color w:val="auto"/>
        </w:rPr>
        <w:t>总平面布置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_Toc4941 \h </w:instrText>
      </w:r>
      <w:r>
        <w:rPr>
          <w:rFonts w:hint="default" w:ascii="Times New Roman" w:hAnsi="Times New Roman" w:cs="Times New Roman"/>
          <w:color w:val="auto"/>
        </w:rPr>
        <w:fldChar w:fldCharType="separate"/>
      </w:r>
      <w:r>
        <w:rPr>
          <w:rFonts w:hint="default" w:ascii="Times New Roman" w:hAnsi="Times New Roman" w:cs="Times New Roman"/>
          <w:color w:val="auto"/>
        </w:rPr>
        <w:t>53</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_Toc16319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3.2.9. </w:t>
      </w:r>
      <w:r>
        <w:rPr>
          <w:rFonts w:hint="default" w:ascii="Times New Roman" w:hAnsi="Times New Roman" w:cs="Times New Roman"/>
          <w:color w:val="auto"/>
        </w:rPr>
        <w:t>工作制度与劳动定员</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_Toc16319 \h </w:instrText>
      </w:r>
      <w:r>
        <w:rPr>
          <w:rFonts w:hint="default" w:ascii="Times New Roman" w:hAnsi="Times New Roman" w:cs="Times New Roman"/>
          <w:color w:val="auto"/>
        </w:rPr>
        <w:fldChar w:fldCharType="separate"/>
      </w:r>
      <w:r>
        <w:rPr>
          <w:rFonts w:hint="default" w:ascii="Times New Roman" w:hAnsi="Times New Roman" w:cs="Times New Roman"/>
          <w:color w:val="auto"/>
        </w:rPr>
        <w:t>54</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_Toc15383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3.2.10. </w:t>
      </w:r>
      <w:r>
        <w:rPr>
          <w:rFonts w:hint="default" w:ascii="Times New Roman" w:hAnsi="Times New Roman" w:cs="Times New Roman"/>
          <w:color w:val="auto"/>
        </w:rPr>
        <w:t>建设周期</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_Toc15383 \h </w:instrText>
      </w:r>
      <w:r>
        <w:rPr>
          <w:rFonts w:hint="default" w:ascii="Times New Roman" w:hAnsi="Times New Roman" w:cs="Times New Roman"/>
          <w:color w:val="auto"/>
        </w:rPr>
        <w:fldChar w:fldCharType="separate"/>
      </w:r>
      <w:r>
        <w:rPr>
          <w:rFonts w:hint="default" w:ascii="Times New Roman" w:hAnsi="Times New Roman" w:cs="Times New Roman"/>
          <w:color w:val="auto"/>
        </w:rPr>
        <w:t>54</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_Toc1842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44"/>
        </w:rPr>
        <w:t xml:space="preserve">4. </w:t>
      </w:r>
      <w:r>
        <w:rPr>
          <w:rFonts w:hint="default" w:ascii="Times New Roman" w:hAnsi="Times New Roman" w:cs="Times New Roman"/>
          <w:color w:val="auto"/>
          <w:szCs w:val="44"/>
          <w:highlight w:val="none"/>
        </w:rPr>
        <w:t>工程分析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_Toc1842 \h </w:instrText>
      </w:r>
      <w:r>
        <w:rPr>
          <w:rFonts w:hint="default" w:ascii="Times New Roman" w:hAnsi="Times New Roman" w:cs="Times New Roman"/>
          <w:color w:val="auto"/>
        </w:rPr>
        <w:fldChar w:fldCharType="separate"/>
      </w:r>
      <w:r>
        <w:rPr>
          <w:rFonts w:hint="default" w:ascii="Times New Roman" w:hAnsi="Times New Roman" w:cs="Times New Roman"/>
          <w:color w:val="auto"/>
        </w:rPr>
        <w:t>55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_Toc21997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4.1. </w:t>
      </w:r>
      <w:r>
        <w:rPr>
          <w:rFonts w:hint="default" w:ascii="Times New Roman" w:hAnsi="Times New Roman" w:cs="Times New Roman"/>
          <w:color w:val="auto"/>
        </w:rPr>
        <w:t>工艺流程简述及产污环节</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_Toc21997 \h </w:instrText>
      </w:r>
      <w:r>
        <w:rPr>
          <w:rFonts w:hint="default" w:ascii="Times New Roman" w:hAnsi="Times New Roman" w:cs="Times New Roman"/>
          <w:color w:val="auto"/>
        </w:rPr>
        <w:fldChar w:fldCharType="separate"/>
      </w:r>
      <w:r>
        <w:rPr>
          <w:rFonts w:hint="default" w:ascii="Times New Roman" w:hAnsi="Times New Roman" w:cs="Times New Roman"/>
          <w:color w:val="auto"/>
        </w:rPr>
        <w:t>55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_Toc18503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1"/>
        </w:rPr>
        <w:t>图 4</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 xml:space="preserve">3 </w:t>
      </w:r>
      <w:r>
        <w:rPr>
          <w:rFonts w:hint="default" w:ascii="Times New Roman" w:hAnsi="Times New Roman" w:cs="Times New Roman"/>
          <w:color w:val="auto"/>
          <w:szCs w:val="21"/>
          <w:lang w:eastAsia="zh-CN"/>
        </w:rPr>
        <w:t>加氢催化剂含镍废水处理工艺流程图</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_Toc18503 \h </w:instrText>
      </w:r>
      <w:r>
        <w:rPr>
          <w:rFonts w:hint="default" w:ascii="Times New Roman" w:hAnsi="Times New Roman" w:cs="Times New Roman"/>
          <w:color w:val="auto"/>
        </w:rPr>
        <w:fldChar w:fldCharType="separate"/>
      </w:r>
      <w:r>
        <w:rPr>
          <w:rFonts w:hint="default" w:ascii="Times New Roman" w:hAnsi="Times New Roman" w:cs="Times New Roman"/>
          <w:color w:val="auto"/>
        </w:rPr>
        <w:t>58</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_Toc18820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4.2. </w:t>
      </w:r>
      <w:r>
        <w:rPr>
          <w:rFonts w:hint="default" w:ascii="Times New Roman" w:hAnsi="Times New Roman" w:cs="Times New Roman"/>
          <w:color w:val="auto"/>
        </w:rPr>
        <w:t>物料平衡</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_Toc18820 \h </w:instrText>
      </w:r>
      <w:r>
        <w:rPr>
          <w:rFonts w:hint="default" w:ascii="Times New Roman" w:hAnsi="Times New Roman" w:cs="Times New Roman"/>
          <w:color w:val="auto"/>
        </w:rPr>
        <w:fldChar w:fldCharType="separate"/>
      </w:r>
      <w:r>
        <w:rPr>
          <w:rFonts w:hint="default" w:ascii="Times New Roman" w:hAnsi="Times New Roman" w:cs="Times New Roman"/>
          <w:color w:val="auto"/>
        </w:rPr>
        <w:t>58</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_Toc8476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4.3. </w:t>
      </w:r>
      <w:r>
        <w:rPr>
          <w:rFonts w:hint="default" w:ascii="Times New Roman" w:hAnsi="Times New Roman" w:cs="Times New Roman"/>
          <w:color w:val="auto"/>
          <w:highlight w:val="none"/>
          <w:lang w:eastAsia="zh-CN"/>
        </w:rPr>
        <w:t>镍平衡</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_Toc8476 \h </w:instrText>
      </w:r>
      <w:r>
        <w:rPr>
          <w:rFonts w:hint="default" w:ascii="Times New Roman" w:hAnsi="Times New Roman" w:cs="Times New Roman"/>
          <w:color w:val="auto"/>
        </w:rPr>
        <w:fldChar w:fldCharType="separate"/>
      </w:r>
      <w:r>
        <w:rPr>
          <w:rFonts w:hint="default" w:ascii="Times New Roman" w:hAnsi="Times New Roman" w:cs="Times New Roman"/>
          <w:color w:val="auto"/>
        </w:rPr>
        <w:t>59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_Toc7131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4.4. </w:t>
      </w:r>
      <w:r>
        <w:rPr>
          <w:rFonts w:hint="default" w:ascii="Times New Roman" w:hAnsi="Times New Roman" w:cs="Times New Roman"/>
          <w:color w:val="auto"/>
          <w:highlight w:val="none"/>
          <w:lang w:eastAsia="zh-CN"/>
        </w:rPr>
        <w:t>溶剂平衡</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_Toc7131 \h </w:instrText>
      </w:r>
      <w:r>
        <w:rPr>
          <w:rFonts w:hint="default" w:ascii="Times New Roman" w:hAnsi="Times New Roman" w:cs="Times New Roman"/>
          <w:color w:val="auto"/>
        </w:rPr>
        <w:fldChar w:fldCharType="separate"/>
      </w:r>
      <w:r>
        <w:rPr>
          <w:rFonts w:hint="default" w:ascii="Times New Roman" w:hAnsi="Times New Roman" w:cs="Times New Roman"/>
          <w:color w:val="auto"/>
        </w:rPr>
        <w:t>59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_Toc11452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4.5. </w:t>
      </w:r>
      <w:r>
        <w:rPr>
          <w:rFonts w:hint="default" w:ascii="Times New Roman" w:hAnsi="Times New Roman" w:cs="Times New Roman"/>
          <w:color w:val="auto"/>
          <w:highlight w:val="none"/>
        </w:rPr>
        <w:t>水平衡</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_Toc11452 \h </w:instrText>
      </w:r>
      <w:r>
        <w:rPr>
          <w:rFonts w:hint="default" w:ascii="Times New Roman" w:hAnsi="Times New Roman" w:cs="Times New Roman"/>
          <w:color w:val="auto"/>
        </w:rPr>
        <w:fldChar w:fldCharType="separate"/>
      </w:r>
      <w:r>
        <w:rPr>
          <w:rFonts w:hint="default" w:ascii="Times New Roman" w:hAnsi="Times New Roman" w:cs="Times New Roman"/>
          <w:color w:val="auto"/>
        </w:rPr>
        <w:t>60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_Toc9644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4.6. </w:t>
      </w:r>
      <w:r>
        <w:rPr>
          <w:rFonts w:hint="default" w:ascii="Times New Roman" w:hAnsi="Times New Roman" w:cs="Times New Roman"/>
          <w:color w:val="auto"/>
        </w:rPr>
        <w:t>污染源源强核算</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_Toc9644 \h </w:instrText>
      </w:r>
      <w:r>
        <w:rPr>
          <w:rFonts w:hint="default" w:ascii="Times New Roman" w:hAnsi="Times New Roman" w:cs="Times New Roman"/>
          <w:color w:val="auto"/>
        </w:rPr>
        <w:fldChar w:fldCharType="separate"/>
      </w:r>
      <w:r>
        <w:rPr>
          <w:rFonts w:hint="default" w:ascii="Times New Roman" w:hAnsi="Times New Roman" w:cs="Times New Roman"/>
          <w:color w:val="auto"/>
        </w:rPr>
        <w:t>61</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_Toc27474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4.6.1. </w:t>
      </w:r>
      <w:r>
        <w:rPr>
          <w:rFonts w:hint="default" w:ascii="Times New Roman" w:hAnsi="Times New Roman" w:cs="Times New Roman"/>
          <w:color w:val="auto"/>
        </w:rPr>
        <w:t>施工期污染源分析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_Toc27474 \h </w:instrText>
      </w:r>
      <w:r>
        <w:rPr>
          <w:rFonts w:hint="default" w:ascii="Times New Roman" w:hAnsi="Times New Roman" w:cs="Times New Roman"/>
          <w:color w:val="auto"/>
        </w:rPr>
        <w:fldChar w:fldCharType="separate"/>
      </w:r>
      <w:r>
        <w:rPr>
          <w:rFonts w:hint="default" w:ascii="Times New Roman" w:hAnsi="Times New Roman" w:cs="Times New Roman"/>
          <w:color w:val="auto"/>
        </w:rPr>
        <w:t>61</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_Toc12142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4.6.2. </w:t>
      </w:r>
      <w:r>
        <w:rPr>
          <w:rFonts w:hint="default" w:ascii="Times New Roman" w:hAnsi="Times New Roman" w:cs="Times New Roman"/>
          <w:color w:val="auto"/>
        </w:rPr>
        <w:t>营运期污染源分析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_Toc12142 \h </w:instrText>
      </w:r>
      <w:r>
        <w:rPr>
          <w:rFonts w:hint="default" w:ascii="Times New Roman" w:hAnsi="Times New Roman" w:cs="Times New Roman"/>
          <w:color w:val="auto"/>
        </w:rPr>
        <w:fldChar w:fldCharType="separate"/>
      </w:r>
      <w:r>
        <w:rPr>
          <w:rFonts w:hint="default" w:ascii="Times New Roman" w:hAnsi="Times New Roman" w:cs="Times New Roman"/>
          <w:color w:val="auto"/>
        </w:rPr>
        <w:t>63</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_Toc28839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4.7. </w:t>
      </w: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eastAsia="zh-CN"/>
        </w:rPr>
        <w:t>建设</w:t>
      </w:r>
      <w:r>
        <w:rPr>
          <w:rFonts w:hint="default" w:ascii="Times New Roman" w:hAnsi="Times New Roman" w:cs="Times New Roman"/>
          <w:color w:val="auto"/>
          <w:highlight w:val="none"/>
        </w:rPr>
        <w:t>前后</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三本帐</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计算情况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_Toc28839 \h </w:instrText>
      </w:r>
      <w:r>
        <w:rPr>
          <w:rFonts w:hint="default" w:ascii="Times New Roman" w:hAnsi="Times New Roman" w:cs="Times New Roman"/>
          <w:color w:val="auto"/>
        </w:rPr>
        <w:fldChar w:fldCharType="separate"/>
      </w:r>
      <w:r>
        <w:rPr>
          <w:rFonts w:hint="default" w:ascii="Times New Roman" w:hAnsi="Times New Roman" w:cs="Times New Roman"/>
          <w:color w:val="auto"/>
        </w:rPr>
        <w:t>68</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_Toc24130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4.8. </w:t>
      </w:r>
      <w:r>
        <w:rPr>
          <w:rFonts w:hint="default" w:ascii="Times New Roman" w:hAnsi="Times New Roman" w:cs="Times New Roman"/>
          <w:color w:val="auto"/>
          <w:highlight w:val="none"/>
        </w:rPr>
        <w:t>总量控制</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_Toc24130 \h </w:instrText>
      </w:r>
      <w:r>
        <w:rPr>
          <w:rFonts w:hint="default" w:ascii="Times New Roman" w:hAnsi="Times New Roman" w:cs="Times New Roman"/>
          <w:color w:val="auto"/>
        </w:rPr>
        <w:fldChar w:fldCharType="separate"/>
      </w:r>
      <w:r>
        <w:rPr>
          <w:rFonts w:hint="default" w:ascii="Times New Roman" w:hAnsi="Times New Roman" w:cs="Times New Roman"/>
          <w:color w:val="auto"/>
        </w:rPr>
        <w:t>69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_Toc13260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44"/>
        </w:rPr>
        <w:t>5. 环境现状调查与评价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_Toc13260 \h </w:instrText>
      </w:r>
      <w:r>
        <w:rPr>
          <w:rFonts w:hint="default" w:ascii="Times New Roman" w:hAnsi="Times New Roman" w:cs="Times New Roman"/>
          <w:color w:val="auto"/>
        </w:rPr>
        <w:fldChar w:fldCharType="separate"/>
      </w:r>
      <w:r>
        <w:rPr>
          <w:rFonts w:hint="default" w:ascii="Times New Roman" w:hAnsi="Times New Roman" w:cs="Times New Roman"/>
          <w:color w:val="auto"/>
        </w:rPr>
        <w:t>70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_Toc396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5.1. </w:t>
      </w:r>
      <w:r>
        <w:rPr>
          <w:rFonts w:hint="default" w:ascii="Times New Roman" w:hAnsi="Times New Roman" w:cs="Times New Roman"/>
          <w:color w:val="auto"/>
        </w:rPr>
        <w:t>区域环境概况调查</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_Toc396 \h </w:instrText>
      </w:r>
      <w:r>
        <w:rPr>
          <w:rFonts w:hint="default" w:ascii="Times New Roman" w:hAnsi="Times New Roman" w:cs="Times New Roman"/>
          <w:color w:val="auto"/>
        </w:rPr>
        <w:fldChar w:fldCharType="separate"/>
      </w:r>
      <w:r>
        <w:rPr>
          <w:rFonts w:hint="default" w:ascii="Times New Roman" w:hAnsi="Times New Roman" w:cs="Times New Roman"/>
          <w:color w:val="auto"/>
        </w:rPr>
        <w:t>70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_Toc28901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5.1.1. </w:t>
      </w:r>
      <w:r>
        <w:rPr>
          <w:rFonts w:hint="default" w:ascii="Times New Roman" w:hAnsi="Times New Roman" w:cs="Times New Roman"/>
          <w:color w:val="auto"/>
        </w:rPr>
        <w:t>地理位置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_Toc28901 \h </w:instrText>
      </w:r>
      <w:r>
        <w:rPr>
          <w:rFonts w:hint="default" w:ascii="Times New Roman" w:hAnsi="Times New Roman" w:cs="Times New Roman"/>
          <w:color w:val="auto"/>
        </w:rPr>
        <w:fldChar w:fldCharType="separate"/>
      </w:r>
      <w:r>
        <w:rPr>
          <w:rFonts w:hint="default" w:ascii="Times New Roman" w:hAnsi="Times New Roman" w:cs="Times New Roman"/>
          <w:color w:val="auto"/>
        </w:rPr>
        <w:t>70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_Toc3585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5.1.2. </w:t>
      </w:r>
      <w:r>
        <w:rPr>
          <w:rFonts w:hint="default" w:ascii="Times New Roman" w:hAnsi="Times New Roman" w:cs="Times New Roman"/>
          <w:color w:val="auto"/>
          <w:highlight w:val="none"/>
        </w:rPr>
        <w:t>地形地貌</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_Toc3585 \h </w:instrText>
      </w:r>
      <w:r>
        <w:rPr>
          <w:rFonts w:hint="default" w:ascii="Times New Roman" w:hAnsi="Times New Roman" w:cs="Times New Roman"/>
          <w:color w:val="auto"/>
        </w:rPr>
        <w:fldChar w:fldCharType="separate"/>
      </w:r>
      <w:r>
        <w:rPr>
          <w:rFonts w:hint="default" w:ascii="Times New Roman" w:hAnsi="Times New Roman" w:cs="Times New Roman"/>
          <w:color w:val="auto"/>
        </w:rPr>
        <w:t>70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_Toc22120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5.1.3. </w:t>
      </w:r>
      <w:r>
        <w:rPr>
          <w:rFonts w:hint="default" w:ascii="Times New Roman" w:hAnsi="Times New Roman" w:cs="Times New Roman"/>
          <w:color w:val="auto"/>
        </w:rPr>
        <w:t>气象、气候</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_Toc22120 \h </w:instrText>
      </w:r>
      <w:r>
        <w:rPr>
          <w:rFonts w:hint="default" w:ascii="Times New Roman" w:hAnsi="Times New Roman" w:cs="Times New Roman"/>
          <w:color w:val="auto"/>
        </w:rPr>
        <w:fldChar w:fldCharType="separate"/>
      </w:r>
      <w:r>
        <w:rPr>
          <w:rFonts w:hint="default" w:ascii="Times New Roman" w:hAnsi="Times New Roman" w:cs="Times New Roman"/>
          <w:color w:val="auto"/>
        </w:rPr>
        <w:t>71</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_Toc14959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5.1.4. </w:t>
      </w:r>
      <w:r>
        <w:rPr>
          <w:rFonts w:hint="default" w:ascii="Times New Roman" w:hAnsi="Times New Roman" w:cs="Times New Roman"/>
          <w:color w:val="auto"/>
        </w:rPr>
        <w:t>水文</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_Toc14959 \h </w:instrText>
      </w:r>
      <w:r>
        <w:rPr>
          <w:rFonts w:hint="default" w:ascii="Times New Roman" w:hAnsi="Times New Roman" w:cs="Times New Roman"/>
          <w:color w:val="auto"/>
        </w:rPr>
        <w:fldChar w:fldCharType="separate"/>
      </w:r>
      <w:r>
        <w:rPr>
          <w:rFonts w:hint="default" w:ascii="Times New Roman" w:hAnsi="Times New Roman" w:cs="Times New Roman"/>
          <w:color w:val="auto"/>
        </w:rPr>
        <w:t>71</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_Toc16727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5.1.5. </w:t>
      </w:r>
      <w:r>
        <w:rPr>
          <w:rFonts w:hint="default" w:ascii="Times New Roman" w:hAnsi="Times New Roman" w:cs="Times New Roman"/>
          <w:color w:val="auto"/>
        </w:rPr>
        <w:t>土壤植被与生态</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_Toc16727 \h </w:instrText>
      </w:r>
      <w:r>
        <w:rPr>
          <w:rFonts w:hint="default" w:ascii="Times New Roman" w:hAnsi="Times New Roman" w:cs="Times New Roman"/>
          <w:color w:val="auto"/>
        </w:rPr>
        <w:fldChar w:fldCharType="separate"/>
      </w:r>
      <w:r>
        <w:rPr>
          <w:rFonts w:hint="default" w:ascii="Times New Roman" w:hAnsi="Times New Roman" w:cs="Times New Roman"/>
          <w:color w:val="auto"/>
        </w:rPr>
        <w:t>72</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_Toc5010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5.2. </w:t>
      </w:r>
      <w:r>
        <w:rPr>
          <w:rFonts w:hint="default" w:ascii="Times New Roman" w:hAnsi="Times New Roman" w:cs="Times New Roman"/>
          <w:color w:val="auto"/>
        </w:rPr>
        <w:t>云溪工业园概况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_Toc5010 \h </w:instrText>
      </w:r>
      <w:r>
        <w:rPr>
          <w:rFonts w:hint="default" w:ascii="Times New Roman" w:hAnsi="Times New Roman" w:cs="Times New Roman"/>
          <w:color w:val="auto"/>
        </w:rPr>
        <w:fldChar w:fldCharType="separate"/>
      </w:r>
      <w:r>
        <w:rPr>
          <w:rFonts w:hint="default" w:ascii="Times New Roman" w:hAnsi="Times New Roman" w:cs="Times New Roman"/>
          <w:color w:val="auto"/>
        </w:rPr>
        <w:t>72</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_Toc10297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5.2.1. </w:t>
      </w:r>
      <w:r>
        <w:rPr>
          <w:rFonts w:hint="default" w:ascii="Times New Roman" w:hAnsi="Times New Roman" w:cs="Times New Roman"/>
          <w:color w:val="auto"/>
        </w:rPr>
        <w:t>规划结构</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_Toc10297 \h </w:instrText>
      </w:r>
      <w:r>
        <w:rPr>
          <w:rFonts w:hint="default" w:ascii="Times New Roman" w:hAnsi="Times New Roman" w:cs="Times New Roman"/>
          <w:color w:val="auto"/>
        </w:rPr>
        <w:fldChar w:fldCharType="separate"/>
      </w:r>
      <w:r>
        <w:rPr>
          <w:rFonts w:hint="default" w:ascii="Times New Roman" w:hAnsi="Times New Roman" w:cs="Times New Roman"/>
          <w:color w:val="auto"/>
        </w:rPr>
        <w:t>72</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_Toc18345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5.2.2. </w:t>
      </w:r>
      <w:r>
        <w:rPr>
          <w:rFonts w:hint="default" w:ascii="Times New Roman" w:hAnsi="Times New Roman" w:cs="Times New Roman"/>
          <w:color w:val="auto"/>
        </w:rPr>
        <w:t>用地布局</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_Toc18345 \h </w:instrText>
      </w:r>
      <w:r>
        <w:rPr>
          <w:rFonts w:hint="default" w:ascii="Times New Roman" w:hAnsi="Times New Roman" w:cs="Times New Roman"/>
          <w:color w:val="auto"/>
        </w:rPr>
        <w:fldChar w:fldCharType="separate"/>
      </w:r>
      <w:r>
        <w:rPr>
          <w:rFonts w:hint="default" w:ascii="Times New Roman" w:hAnsi="Times New Roman" w:cs="Times New Roman"/>
          <w:color w:val="auto"/>
        </w:rPr>
        <w:t>73</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_Toc4827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5.2.3. </w:t>
      </w:r>
      <w:r>
        <w:rPr>
          <w:rFonts w:hint="default" w:ascii="Times New Roman" w:hAnsi="Times New Roman" w:cs="Times New Roman"/>
          <w:color w:val="auto"/>
        </w:rPr>
        <w:t>环境保护规划</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_Toc4827 \h </w:instrText>
      </w:r>
      <w:r>
        <w:rPr>
          <w:rFonts w:hint="default" w:ascii="Times New Roman" w:hAnsi="Times New Roman" w:cs="Times New Roman"/>
          <w:color w:val="auto"/>
        </w:rPr>
        <w:fldChar w:fldCharType="separate"/>
      </w:r>
      <w:r>
        <w:rPr>
          <w:rFonts w:hint="default" w:ascii="Times New Roman" w:hAnsi="Times New Roman" w:cs="Times New Roman"/>
          <w:color w:val="auto"/>
        </w:rPr>
        <w:t>73</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_Toc12208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5.2.4. </w:t>
      </w:r>
      <w:r>
        <w:rPr>
          <w:rFonts w:hint="default" w:ascii="Times New Roman" w:hAnsi="Times New Roman" w:cs="Times New Roman"/>
          <w:color w:val="auto"/>
          <w:highlight w:val="none"/>
        </w:rPr>
        <w:t>项目周边污染源调查</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_Toc12208 \h </w:instrText>
      </w:r>
      <w:r>
        <w:rPr>
          <w:rFonts w:hint="default" w:ascii="Times New Roman" w:hAnsi="Times New Roman" w:cs="Times New Roman"/>
          <w:color w:val="auto"/>
        </w:rPr>
        <w:fldChar w:fldCharType="separate"/>
      </w:r>
      <w:r>
        <w:rPr>
          <w:rFonts w:hint="default" w:ascii="Times New Roman" w:hAnsi="Times New Roman" w:cs="Times New Roman"/>
          <w:color w:val="auto"/>
        </w:rPr>
        <w:t>75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_Toc11554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5.3. </w:t>
      </w:r>
      <w:r>
        <w:rPr>
          <w:rFonts w:hint="default" w:ascii="Times New Roman" w:hAnsi="Times New Roman" w:cs="Times New Roman"/>
          <w:color w:val="auto"/>
        </w:rPr>
        <w:t>环境空气质量现状调查与评价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_Toc11554 \h </w:instrText>
      </w:r>
      <w:r>
        <w:rPr>
          <w:rFonts w:hint="default" w:ascii="Times New Roman" w:hAnsi="Times New Roman" w:cs="Times New Roman"/>
          <w:color w:val="auto"/>
        </w:rPr>
        <w:fldChar w:fldCharType="separate"/>
      </w:r>
      <w:r>
        <w:rPr>
          <w:rFonts w:hint="default" w:ascii="Times New Roman" w:hAnsi="Times New Roman" w:cs="Times New Roman"/>
          <w:color w:val="auto"/>
        </w:rPr>
        <w:t>77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_Toc2918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5.3.1. </w:t>
      </w:r>
      <w:r>
        <w:rPr>
          <w:rFonts w:hint="default" w:ascii="Times New Roman" w:hAnsi="Times New Roman" w:cs="Times New Roman"/>
          <w:color w:val="auto"/>
        </w:rPr>
        <w:t>空气质量达标区判定</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_Toc2918 \h </w:instrText>
      </w:r>
      <w:r>
        <w:rPr>
          <w:rFonts w:hint="default" w:ascii="Times New Roman" w:hAnsi="Times New Roman" w:cs="Times New Roman"/>
          <w:color w:val="auto"/>
        </w:rPr>
        <w:fldChar w:fldCharType="separate"/>
      </w:r>
      <w:r>
        <w:rPr>
          <w:rFonts w:hint="default" w:ascii="Times New Roman" w:hAnsi="Times New Roman" w:cs="Times New Roman"/>
          <w:color w:val="auto"/>
        </w:rPr>
        <w:t>77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_Toc13691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5.3.2. </w:t>
      </w:r>
      <w:r>
        <w:rPr>
          <w:rFonts w:hint="default" w:ascii="Times New Roman" w:hAnsi="Times New Roman" w:cs="Times New Roman"/>
          <w:color w:val="auto"/>
        </w:rPr>
        <w:t>地表水环境质量现状评价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_Toc13691 \h </w:instrText>
      </w:r>
      <w:r>
        <w:rPr>
          <w:rFonts w:hint="default" w:ascii="Times New Roman" w:hAnsi="Times New Roman" w:cs="Times New Roman"/>
          <w:color w:val="auto"/>
        </w:rPr>
        <w:fldChar w:fldCharType="separate"/>
      </w:r>
      <w:r>
        <w:rPr>
          <w:rFonts w:hint="default" w:ascii="Times New Roman" w:hAnsi="Times New Roman" w:cs="Times New Roman"/>
          <w:color w:val="auto"/>
        </w:rPr>
        <w:t>80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_Toc20106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5.3.3. </w:t>
      </w:r>
      <w:r>
        <w:rPr>
          <w:rFonts w:hint="default" w:ascii="Times New Roman" w:hAnsi="Times New Roman" w:cs="Times New Roman"/>
          <w:color w:val="auto"/>
        </w:rPr>
        <w:t>地下水质量现状评价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_Toc20106 \h </w:instrText>
      </w:r>
      <w:r>
        <w:rPr>
          <w:rFonts w:hint="default" w:ascii="Times New Roman" w:hAnsi="Times New Roman" w:cs="Times New Roman"/>
          <w:color w:val="auto"/>
        </w:rPr>
        <w:fldChar w:fldCharType="separate"/>
      </w:r>
      <w:r>
        <w:rPr>
          <w:rFonts w:hint="default" w:ascii="Times New Roman" w:hAnsi="Times New Roman" w:cs="Times New Roman"/>
          <w:color w:val="auto"/>
        </w:rPr>
        <w:t>84</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_Toc19364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5.3.4. </w:t>
      </w:r>
      <w:r>
        <w:rPr>
          <w:rFonts w:hint="default" w:ascii="Times New Roman" w:hAnsi="Times New Roman" w:cs="Times New Roman"/>
          <w:color w:val="auto"/>
        </w:rPr>
        <w:t>声环境质量评价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_Toc19364 \h </w:instrText>
      </w:r>
      <w:r>
        <w:rPr>
          <w:rFonts w:hint="default" w:ascii="Times New Roman" w:hAnsi="Times New Roman" w:cs="Times New Roman"/>
          <w:color w:val="auto"/>
        </w:rPr>
        <w:fldChar w:fldCharType="separate"/>
      </w:r>
      <w:r>
        <w:rPr>
          <w:rFonts w:hint="default" w:ascii="Times New Roman" w:hAnsi="Times New Roman" w:cs="Times New Roman"/>
          <w:color w:val="auto"/>
        </w:rPr>
        <w:t>87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_Toc4338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5.3.5. </w:t>
      </w:r>
      <w:r>
        <w:rPr>
          <w:rFonts w:hint="default" w:ascii="Times New Roman" w:hAnsi="Times New Roman" w:cs="Times New Roman"/>
          <w:color w:val="auto"/>
        </w:rPr>
        <w:t>土壤环境质量现状评价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_Toc4338 \h </w:instrText>
      </w:r>
      <w:r>
        <w:rPr>
          <w:rFonts w:hint="default" w:ascii="Times New Roman" w:hAnsi="Times New Roman" w:cs="Times New Roman"/>
          <w:color w:val="auto"/>
        </w:rPr>
        <w:fldChar w:fldCharType="separate"/>
      </w:r>
      <w:r>
        <w:rPr>
          <w:rFonts w:hint="default" w:ascii="Times New Roman" w:hAnsi="Times New Roman" w:cs="Times New Roman"/>
          <w:color w:val="auto"/>
        </w:rPr>
        <w:t>87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_Toc2789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44"/>
        </w:rPr>
        <w:t>6. 环境影响预测与评价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_Toc2789 \h </w:instrText>
      </w:r>
      <w:r>
        <w:rPr>
          <w:rFonts w:hint="default" w:ascii="Times New Roman" w:hAnsi="Times New Roman" w:cs="Times New Roman"/>
          <w:color w:val="auto"/>
        </w:rPr>
        <w:fldChar w:fldCharType="separate"/>
      </w:r>
      <w:r>
        <w:rPr>
          <w:rFonts w:hint="default" w:ascii="Times New Roman" w:hAnsi="Times New Roman" w:cs="Times New Roman"/>
          <w:color w:val="auto"/>
        </w:rPr>
        <w:t>94</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_Toc105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6.1. </w:t>
      </w:r>
      <w:r>
        <w:rPr>
          <w:rFonts w:hint="default" w:ascii="Times New Roman" w:hAnsi="Times New Roman" w:cs="Times New Roman"/>
          <w:color w:val="auto"/>
        </w:rPr>
        <w:t>施工期环境影响分析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_Toc105 \h </w:instrText>
      </w:r>
      <w:r>
        <w:rPr>
          <w:rFonts w:hint="default" w:ascii="Times New Roman" w:hAnsi="Times New Roman" w:cs="Times New Roman"/>
          <w:color w:val="auto"/>
        </w:rPr>
        <w:fldChar w:fldCharType="separate"/>
      </w:r>
      <w:r>
        <w:rPr>
          <w:rFonts w:hint="default" w:ascii="Times New Roman" w:hAnsi="Times New Roman" w:cs="Times New Roman"/>
          <w:color w:val="auto"/>
        </w:rPr>
        <w:t>94</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_Toc29429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6.1.1. </w:t>
      </w:r>
      <w:r>
        <w:rPr>
          <w:rFonts w:hint="default" w:ascii="Times New Roman" w:hAnsi="Times New Roman" w:cs="Times New Roman"/>
          <w:color w:val="auto"/>
        </w:rPr>
        <w:t>大气环境影响分析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_Toc29429 \h </w:instrText>
      </w:r>
      <w:r>
        <w:rPr>
          <w:rFonts w:hint="default" w:ascii="Times New Roman" w:hAnsi="Times New Roman" w:cs="Times New Roman"/>
          <w:color w:val="auto"/>
        </w:rPr>
        <w:fldChar w:fldCharType="separate"/>
      </w:r>
      <w:r>
        <w:rPr>
          <w:rFonts w:hint="default" w:ascii="Times New Roman" w:hAnsi="Times New Roman" w:cs="Times New Roman"/>
          <w:color w:val="auto"/>
        </w:rPr>
        <w:t>94</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_Toc27259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6.1.2. </w:t>
      </w:r>
      <w:r>
        <w:rPr>
          <w:rFonts w:hint="default" w:ascii="Times New Roman" w:hAnsi="Times New Roman" w:cs="Times New Roman"/>
          <w:color w:val="auto"/>
        </w:rPr>
        <w:t>水环境影响分析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_Toc27259 \h </w:instrText>
      </w:r>
      <w:r>
        <w:rPr>
          <w:rFonts w:hint="default" w:ascii="Times New Roman" w:hAnsi="Times New Roman" w:cs="Times New Roman"/>
          <w:color w:val="auto"/>
        </w:rPr>
        <w:fldChar w:fldCharType="separate"/>
      </w:r>
      <w:r>
        <w:rPr>
          <w:rFonts w:hint="default" w:ascii="Times New Roman" w:hAnsi="Times New Roman" w:cs="Times New Roman"/>
          <w:color w:val="auto"/>
        </w:rPr>
        <w:t>94</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_Toc32027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6.1.3. </w:t>
      </w:r>
      <w:r>
        <w:rPr>
          <w:rFonts w:hint="default" w:ascii="Times New Roman" w:hAnsi="Times New Roman" w:cs="Times New Roman"/>
          <w:color w:val="auto"/>
        </w:rPr>
        <w:t>噪声影响分析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_Toc32027 \h </w:instrText>
      </w:r>
      <w:r>
        <w:rPr>
          <w:rFonts w:hint="default" w:ascii="Times New Roman" w:hAnsi="Times New Roman" w:cs="Times New Roman"/>
          <w:color w:val="auto"/>
        </w:rPr>
        <w:fldChar w:fldCharType="separate"/>
      </w:r>
      <w:r>
        <w:rPr>
          <w:rFonts w:hint="default" w:ascii="Times New Roman" w:hAnsi="Times New Roman" w:cs="Times New Roman"/>
          <w:color w:val="auto"/>
        </w:rPr>
        <w:t>95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_Toc26002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6.1.4. </w:t>
      </w:r>
      <w:r>
        <w:rPr>
          <w:rFonts w:hint="default" w:ascii="Times New Roman" w:hAnsi="Times New Roman" w:cs="Times New Roman"/>
          <w:color w:val="auto"/>
        </w:rPr>
        <w:t>固体废物影响分析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_Toc26002 \h </w:instrText>
      </w:r>
      <w:r>
        <w:rPr>
          <w:rFonts w:hint="default" w:ascii="Times New Roman" w:hAnsi="Times New Roman" w:cs="Times New Roman"/>
          <w:color w:val="auto"/>
        </w:rPr>
        <w:fldChar w:fldCharType="separate"/>
      </w:r>
      <w:r>
        <w:rPr>
          <w:rFonts w:hint="default" w:ascii="Times New Roman" w:hAnsi="Times New Roman" w:cs="Times New Roman"/>
          <w:color w:val="auto"/>
        </w:rPr>
        <w:t>95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_Toc26450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6.1.5. </w:t>
      </w:r>
      <w:r>
        <w:rPr>
          <w:rFonts w:hint="default" w:ascii="Times New Roman" w:hAnsi="Times New Roman" w:cs="Times New Roman"/>
          <w:color w:val="auto"/>
        </w:rPr>
        <w:t>生态环境影响分析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_Toc26450 \h </w:instrText>
      </w:r>
      <w:r>
        <w:rPr>
          <w:rFonts w:hint="default" w:ascii="Times New Roman" w:hAnsi="Times New Roman" w:cs="Times New Roman"/>
          <w:color w:val="auto"/>
        </w:rPr>
        <w:fldChar w:fldCharType="separate"/>
      </w:r>
      <w:r>
        <w:rPr>
          <w:rFonts w:hint="default" w:ascii="Times New Roman" w:hAnsi="Times New Roman" w:cs="Times New Roman"/>
          <w:color w:val="auto"/>
        </w:rPr>
        <w:t>95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_Toc7191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6.2. </w:t>
      </w:r>
      <w:r>
        <w:rPr>
          <w:rFonts w:hint="default" w:ascii="Times New Roman" w:hAnsi="Times New Roman" w:cs="Times New Roman"/>
          <w:color w:val="auto"/>
        </w:rPr>
        <w:t>营运期环境影响预测与评价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_Toc7191 \h </w:instrText>
      </w:r>
      <w:r>
        <w:rPr>
          <w:rFonts w:hint="default" w:ascii="Times New Roman" w:hAnsi="Times New Roman" w:cs="Times New Roman"/>
          <w:color w:val="auto"/>
        </w:rPr>
        <w:fldChar w:fldCharType="separate"/>
      </w:r>
      <w:r>
        <w:rPr>
          <w:rFonts w:hint="default" w:ascii="Times New Roman" w:hAnsi="Times New Roman" w:cs="Times New Roman"/>
          <w:color w:val="auto"/>
        </w:rPr>
        <w:t>95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_Toc19820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6.2.1. </w:t>
      </w:r>
      <w:r>
        <w:rPr>
          <w:rFonts w:hint="default" w:ascii="Times New Roman" w:hAnsi="Times New Roman" w:cs="Times New Roman"/>
          <w:color w:val="auto"/>
        </w:rPr>
        <w:t>大气环境影响评价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_Toc19820 \h </w:instrText>
      </w:r>
      <w:r>
        <w:rPr>
          <w:rFonts w:hint="default" w:ascii="Times New Roman" w:hAnsi="Times New Roman" w:cs="Times New Roman"/>
          <w:color w:val="auto"/>
        </w:rPr>
        <w:fldChar w:fldCharType="separate"/>
      </w:r>
      <w:r>
        <w:rPr>
          <w:rFonts w:hint="default" w:ascii="Times New Roman" w:hAnsi="Times New Roman" w:cs="Times New Roman"/>
          <w:color w:val="auto"/>
        </w:rPr>
        <w:t>95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_Toc4462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6.2.2. </w:t>
      </w:r>
      <w:r>
        <w:rPr>
          <w:rFonts w:hint="default" w:ascii="Times New Roman" w:hAnsi="Times New Roman" w:cs="Times New Roman"/>
          <w:color w:val="auto"/>
        </w:rPr>
        <w:t>地表水环境影响分析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_Toc4462 \h </w:instrText>
      </w:r>
      <w:r>
        <w:rPr>
          <w:rFonts w:hint="default" w:ascii="Times New Roman" w:hAnsi="Times New Roman" w:cs="Times New Roman"/>
          <w:color w:val="auto"/>
        </w:rPr>
        <w:fldChar w:fldCharType="separate"/>
      </w:r>
      <w:r>
        <w:rPr>
          <w:rFonts w:hint="default" w:ascii="Times New Roman" w:hAnsi="Times New Roman" w:cs="Times New Roman"/>
          <w:color w:val="auto"/>
        </w:rPr>
        <w:t>99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_Toc10389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6.2.3. </w:t>
      </w:r>
      <w:r>
        <w:rPr>
          <w:rFonts w:hint="default" w:ascii="Times New Roman" w:hAnsi="Times New Roman" w:cs="Times New Roman"/>
          <w:color w:val="auto"/>
        </w:rPr>
        <w:t>地下水环境影响评价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_Toc10389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101</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_Toc14345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6.2.4. </w:t>
      </w:r>
      <w:r>
        <w:rPr>
          <w:rFonts w:hint="default" w:ascii="Times New Roman" w:hAnsi="Times New Roman" w:cs="Times New Roman"/>
          <w:color w:val="auto"/>
        </w:rPr>
        <w:t>声环境影响分析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_Toc14345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_Toc20387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6.2.5. </w:t>
      </w:r>
      <w:r>
        <w:rPr>
          <w:rFonts w:hint="default" w:ascii="Times New Roman" w:hAnsi="Times New Roman" w:cs="Times New Roman"/>
          <w:color w:val="auto"/>
        </w:rPr>
        <w:t>固体废物影响分析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_Toc20387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_Toc10472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6.2.6. 土壤环境影响分析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_Toc10472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_Toc9994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44"/>
        </w:rPr>
        <w:t xml:space="preserve">7. </w:t>
      </w:r>
      <w:r>
        <w:rPr>
          <w:rFonts w:hint="default" w:ascii="Times New Roman" w:hAnsi="Times New Roman" w:cs="Times New Roman"/>
          <w:color w:val="auto"/>
          <w:szCs w:val="44"/>
          <w:lang w:val="en-US" w:eastAsia="zh-CN"/>
        </w:rPr>
        <w:t>环境</w:t>
      </w:r>
      <w:r>
        <w:rPr>
          <w:rFonts w:hint="default" w:ascii="Times New Roman" w:hAnsi="Times New Roman" w:cs="Times New Roman"/>
          <w:color w:val="auto"/>
          <w:szCs w:val="44"/>
        </w:rPr>
        <w:t>风险</w:t>
      </w:r>
      <w:r>
        <w:rPr>
          <w:rFonts w:hint="default" w:ascii="Times New Roman" w:hAnsi="Times New Roman" w:cs="Times New Roman"/>
          <w:color w:val="auto"/>
          <w:szCs w:val="44"/>
          <w:lang w:val="en-US" w:eastAsia="zh-CN"/>
        </w:rPr>
        <w:t>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_Toc9994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115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_Toc4160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lang w:val="en-US" w:eastAsia="zh-CN"/>
        </w:rPr>
        <w:t xml:space="preserve">7.1. </w:t>
      </w:r>
      <w:r>
        <w:rPr>
          <w:rFonts w:hint="default" w:ascii="Times New Roman" w:hAnsi="Times New Roman" w:cs="Times New Roman"/>
          <w:color w:val="auto"/>
          <w:lang w:val="en-US" w:eastAsia="zh-CN"/>
        </w:rPr>
        <w:t>环境风险评价目的</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_Toc4160 \h </w:instrText>
      </w:r>
      <w:r>
        <w:rPr>
          <w:rFonts w:hint="default" w:ascii="Times New Roman" w:hAnsi="Times New Roman" w:cs="Times New Roman"/>
          <w:color w:val="auto"/>
        </w:rPr>
        <w:fldChar w:fldCharType="separate"/>
      </w:r>
      <w:r>
        <w:rPr>
          <w:rFonts w:hint="default" w:ascii="Times New Roman" w:hAnsi="Times New Roman" w:cs="Times New Roman"/>
          <w:color w:val="auto"/>
        </w:rPr>
        <w:t>115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_Toc25982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7.2. </w:t>
      </w:r>
      <w:r>
        <w:rPr>
          <w:rFonts w:hint="default" w:ascii="Times New Roman" w:hAnsi="Times New Roman" w:cs="Times New Roman"/>
          <w:color w:val="auto"/>
        </w:rPr>
        <w:t>项目风险源调查</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_Toc25982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115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_Toc16407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lang w:val="en-US" w:eastAsia="zh-CN"/>
        </w:rPr>
        <w:t xml:space="preserve">7.3. </w:t>
      </w:r>
      <w:r>
        <w:rPr>
          <w:rFonts w:hint="default" w:ascii="Times New Roman" w:hAnsi="Times New Roman" w:cs="Times New Roman"/>
          <w:color w:val="auto"/>
          <w:lang w:val="en-US" w:eastAsia="zh-CN"/>
        </w:rPr>
        <w:t>环境风险评价等级</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_Toc16407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119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_Toc14975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lang w:val="en-US" w:eastAsia="zh-CN"/>
        </w:rPr>
        <w:t xml:space="preserve">7.3.1. </w:t>
      </w:r>
      <w:r>
        <w:rPr>
          <w:rFonts w:hint="default" w:ascii="Times New Roman" w:hAnsi="Times New Roman" w:cs="Times New Roman"/>
          <w:color w:val="auto"/>
          <w:highlight w:val="none"/>
          <w:lang w:val="en-US" w:eastAsia="zh-CN"/>
        </w:rPr>
        <w:t>危险物质数量与临界量比值（Q）</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_Toc14975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_Toc8480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lang w:val="en-US" w:eastAsia="zh-CN"/>
        </w:rPr>
        <w:t xml:space="preserve">7.3.2. </w:t>
      </w:r>
      <w:r>
        <w:rPr>
          <w:rFonts w:hint="default" w:ascii="Times New Roman" w:hAnsi="Times New Roman" w:cs="Times New Roman"/>
          <w:color w:val="auto"/>
          <w:lang w:val="en-US" w:eastAsia="zh-CN"/>
        </w:rPr>
        <w:t>行业及生产工艺（M）</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_Toc8480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_Toc20066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lang w:val="en-US" w:eastAsia="zh-CN"/>
        </w:rPr>
        <w:t xml:space="preserve">7.3.3. </w:t>
      </w:r>
      <w:r>
        <w:rPr>
          <w:rFonts w:hint="default" w:ascii="Times New Roman" w:hAnsi="Times New Roman" w:cs="Times New Roman"/>
          <w:color w:val="auto"/>
          <w:highlight w:val="none"/>
          <w:lang w:val="en-US" w:eastAsia="zh-CN"/>
        </w:rPr>
        <w:t>危险物质及工艺系统危险性（P）分级</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_Toc20066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121</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_Toc15133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7.3.4. </w:t>
      </w:r>
      <w:r>
        <w:rPr>
          <w:rFonts w:hint="default" w:ascii="Times New Roman" w:hAnsi="Times New Roman" w:cs="Times New Roman"/>
          <w:color w:val="auto"/>
          <w:lang w:val="en-US" w:eastAsia="zh-CN"/>
        </w:rPr>
        <w:t>项目各环境要素敏感程度（E）的分级</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_Toc15133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122</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_Toc3994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7.3.5. </w:t>
      </w:r>
      <w:r>
        <w:rPr>
          <w:rFonts w:hint="default" w:ascii="Times New Roman" w:hAnsi="Times New Roman" w:cs="Times New Roman"/>
          <w:color w:val="auto"/>
          <w:lang w:eastAsia="zh-CN"/>
        </w:rPr>
        <w:t>评价等级判定</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_Toc3994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123</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_Toc6533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7.4. </w:t>
      </w:r>
      <w:r>
        <w:rPr>
          <w:rFonts w:hint="default" w:ascii="Times New Roman" w:hAnsi="Times New Roman" w:cs="Times New Roman"/>
          <w:color w:val="auto"/>
          <w:highlight w:val="none"/>
        </w:rPr>
        <w:t>环境风险评价范围</w:t>
      </w:r>
      <w:r>
        <w:rPr>
          <w:rFonts w:hint="default" w:ascii="Times New Roman" w:hAnsi="Times New Roman" w:cs="Times New Roman"/>
          <w:color w:val="auto"/>
          <w:highlight w:val="none"/>
          <w:lang w:eastAsia="zh-CN"/>
        </w:rPr>
        <w:t>及保护目标</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_Toc6533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124</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_Toc8012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7.4.1. </w:t>
      </w:r>
      <w:r>
        <w:rPr>
          <w:rFonts w:hint="default" w:ascii="Times New Roman" w:hAnsi="Times New Roman" w:cs="Times New Roman"/>
          <w:color w:val="auto"/>
          <w:highlight w:val="none"/>
        </w:rPr>
        <w:t>风险评价范围</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_Toc8012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124</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_Toc13903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7.4.2. </w:t>
      </w:r>
      <w:r>
        <w:rPr>
          <w:rFonts w:hint="default" w:ascii="Times New Roman" w:hAnsi="Times New Roman" w:cs="Times New Roman"/>
          <w:color w:val="auto"/>
        </w:rPr>
        <w:t>环境</w:t>
      </w:r>
      <w:r>
        <w:rPr>
          <w:rFonts w:hint="default" w:ascii="Times New Roman" w:hAnsi="Times New Roman" w:cs="Times New Roman"/>
          <w:color w:val="auto"/>
          <w:lang w:eastAsia="zh-CN"/>
        </w:rPr>
        <w:t>风险保护目标</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_Toc13903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_Toc32624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7.5. </w:t>
      </w:r>
      <w:r>
        <w:rPr>
          <w:rFonts w:hint="default" w:ascii="Times New Roman" w:hAnsi="Times New Roman" w:cs="Times New Roman"/>
          <w:color w:val="auto"/>
        </w:rPr>
        <w:t>风险分析内容概况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_Toc32624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_Toc9221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7.6. </w:t>
      </w:r>
      <w:r>
        <w:rPr>
          <w:rFonts w:hint="default" w:ascii="Times New Roman" w:hAnsi="Times New Roman" w:cs="Times New Roman"/>
          <w:color w:val="auto"/>
          <w:lang w:eastAsia="zh-CN"/>
        </w:rPr>
        <w:t>环境</w:t>
      </w:r>
      <w:r>
        <w:rPr>
          <w:rFonts w:hint="default" w:ascii="Times New Roman" w:hAnsi="Times New Roman" w:cs="Times New Roman"/>
          <w:color w:val="auto"/>
        </w:rPr>
        <w:t>风险识别</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_Toc9221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126</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_Toc30475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7.6.1. </w:t>
      </w:r>
      <w:r>
        <w:rPr>
          <w:rFonts w:hint="default" w:ascii="Times New Roman" w:hAnsi="Times New Roman" w:cs="Times New Roman"/>
          <w:color w:val="auto"/>
        </w:rPr>
        <w:t>空气环境风险影响分析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_Toc30475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_Toc14742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7.6.2. </w:t>
      </w:r>
      <w:r>
        <w:rPr>
          <w:rFonts w:hint="default" w:ascii="Times New Roman" w:hAnsi="Times New Roman" w:cs="Times New Roman"/>
          <w:color w:val="auto"/>
        </w:rPr>
        <w:t>地表水环境风险影响分析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_Toc14742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_Toc1362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7.6.3. </w:t>
      </w:r>
      <w:r>
        <w:rPr>
          <w:rFonts w:hint="default" w:ascii="Times New Roman" w:hAnsi="Times New Roman" w:cs="Times New Roman"/>
          <w:color w:val="auto"/>
        </w:rPr>
        <w:t>地下水环境风险影响分析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_Toc1362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_Toc21878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7.6.4. </w:t>
      </w:r>
      <w:r>
        <w:rPr>
          <w:rFonts w:hint="default" w:ascii="Times New Roman" w:hAnsi="Times New Roman" w:cs="Times New Roman"/>
          <w:color w:val="auto"/>
        </w:rPr>
        <w:t>环境风险防范措施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_Toc21878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_Toc17069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7.6.5. </w:t>
      </w:r>
      <w:r>
        <w:rPr>
          <w:rFonts w:hint="default" w:ascii="Times New Roman" w:hAnsi="Times New Roman" w:cs="Times New Roman"/>
          <w:color w:val="auto"/>
        </w:rPr>
        <w:t>总图布置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_Toc17069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_Toc15124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7.6.6. </w:t>
      </w:r>
      <w:r>
        <w:rPr>
          <w:rFonts w:hint="default" w:ascii="Times New Roman" w:hAnsi="Times New Roman" w:cs="Times New Roman"/>
          <w:color w:val="auto"/>
        </w:rPr>
        <w:t>仓储区防范措施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_Toc15124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_Toc18154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7.6.7. </w:t>
      </w:r>
      <w:r>
        <w:rPr>
          <w:rFonts w:hint="default" w:ascii="Times New Roman" w:hAnsi="Times New Roman" w:cs="Times New Roman"/>
          <w:color w:val="auto"/>
        </w:rPr>
        <w:t>事故废水环境风险防范措施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_Toc18154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_Toc25776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7.7. </w:t>
      </w:r>
      <w:r>
        <w:rPr>
          <w:rFonts w:hint="default" w:ascii="Times New Roman" w:hAnsi="Times New Roman" w:cs="Times New Roman"/>
          <w:color w:val="auto"/>
        </w:rPr>
        <w:t>应急预案</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_Toc25776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131</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_Toc9783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7.7.1. </w:t>
      </w:r>
      <w:r>
        <w:rPr>
          <w:rFonts w:hint="default" w:ascii="Times New Roman" w:hAnsi="Times New Roman" w:cs="Times New Roman"/>
          <w:color w:val="auto"/>
        </w:rPr>
        <w:t>应急指挥体系及职责</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_Toc9783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132</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_Toc13579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7.7.2. </w:t>
      </w:r>
      <w:r>
        <w:rPr>
          <w:rFonts w:hint="default" w:ascii="Times New Roman" w:hAnsi="Times New Roman" w:cs="Times New Roman"/>
          <w:color w:val="auto"/>
        </w:rPr>
        <w:t>风险事故处理措施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_Toc13579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133</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_Toc25224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7.7.3. </w:t>
      </w:r>
      <w:r>
        <w:rPr>
          <w:rFonts w:hint="default" w:ascii="Times New Roman" w:hAnsi="Times New Roman" w:cs="Times New Roman"/>
          <w:color w:val="auto"/>
        </w:rPr>
        <w:t>环境风险评价小结</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_Toc25224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134</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_Toc3988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44"/>
        </w:rPr>
        <w:t>8. 环境保护措施及其可行性论证</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_Toc3988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_Toc23961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8.1. </w:t>
      </w:r>
      <w:r>
        <w:rPr>
          <w:rFonts w:hint="default" w:ascii="Times New Roman" w:hAnsi="Times New Roman" w:cs="Times New Roman"/>
          <w:color w:val="auto"/>
        </w:rPr>
        <w:t>大气污染防治措施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_Toc23961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_Toc21243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8.2. </w:t>
      </w:r>
      <w:r>
        <w:rPr>
          <w:rFonts w:hint="default" w:ascii="Times New Roman" w:hAnsi="Times New Roman" w:cs="Times New Roman"/>
          <w:color w:val="auto"/>
        </w:rPr>
        <w:t>地表水污染防治措施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_Toc21243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_Toc30646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8.2.1. </w:t>
      </w:r>
      <w:r>
        <w:rPr>
          <w:rFonts w:hint="default" w:ascii="Times New Roman" w:hAnsi="Times New Roman" w:cs="Times New Roman"/>
          <w:color w:val="auto"/>
        </w:rPr>
        <w:t>污水收集排放系统</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_Toc30646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_Toc20814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8.2.2. </w:t>
      </w:r>
      <w:r>
        <w:rPr>
          <w:rFonts w:hint="default" w:ascii="Times New Roman" w:hAnsi="Times New Roman" w:cs="Times New Roman"/>
          <w:color w:val="auto"/>
        </w:rPr>
        <w:t>初期雨水和事故废水防治措施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_Toc20814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136</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_Toc10720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8.2.3. </w:t>
      </w:r>
      <w:r>
        <w:rPr>
          <w:rFonts w:hint="default" w:ascii="Times New Roman" w:hAnsi="Times New Roman" w:cs="Times New Roman"/>
          <w:color w:val="auto"/>
        </w:rPr>
        <w:t>污水处理厂对本工程废水的可接纳性分析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_Toc10720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136</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_Toc31243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8.3. </w:t>
      </w:r>
      <w:r>
        <w:rPr>
          <w:rFonts w:hint="default" w:ascii="Times New Roman" w:hAnsi="Times New Roman" w:cs="Times New Roman"/>
          <w:color w:val="auto"/>
        </w:rPr>
        <w:t>地下水污染防治措施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_Toc31243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138</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_Toc7698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8.3.1. </w:t>
      </w:r>
      <w:r>
        <w:rPr>
          <w:rFonts w:hint="default" w:ascii="Times New Roman" w:hAnsi="Times New Roman" w:cs="Times New Roman"/>
          <w:color w:val="auto"/>
        </w:rPr>
        <w:t>防渗原则</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_Toc7698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138</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_Toc19926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8.3.2. </w:t>
      </w:r>
      <w:r>
        <w:rPr>
          <w:rFonts w:hint="default" w:ascii="Times New Roman" w:hAnsi="Times New Roman" w:cs="Times New Roman"/>
          <w:color w:val="auto"/>
        </w:rPr>
        <w:t>源头控制措施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_Toc19926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138</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_Toc7854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8.3.3. </w:t>
      </w:r>
      <w:r>
        <w:rPr>
          <w:rFonts w:hint="default" w:ascii="Times New Roman" w:hAnsi="Times New Roman" w:cs="Times New Roman"/>
          <w:color w:val="auto"/>
        </w:rPr>
        <w:t>分区防控措施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_Toc7854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_Toc12458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8.3.4. </w:t>
      </w:r>
      <w:r>
        <w:rPr>
          <w:rFonts w:hint="default" w:ascii="Times New Roman" w:hAnsi="Times New Roman" w:cs="Times New Roman"/>
          <w:color w:val="auto"/>
        </w:rPr>
        <w:t>日常管理措施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_Toc12458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141</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_Toc15965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8.4. </w:t>
      </w:r>
      <w:r>
        <w:rPr>
          <w:rFonts w:hint="default" w:ascii="Times New Roman" w:hAnsi="Times New Roman" w:cs="Times New Roman"/>
          <w:color w:val="auto"/>
        </w:rPr>
        <w:t>噪声污染防治措施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_Toc15965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142</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_Toc5821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8.5. </w:t>
      </w:r>
      <w:r>
        <w:rPr>
          <w:rFonts w:hint="default" w:ascii="Times New Roman" w:hAnsi="Times New Roman" w:cs="Times New Roman"/>
          <w:color w:val="auto"/>
        </w:rPr>
        <w:t>固体废物污染防治措施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_Toc5821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142</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_Toc25575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8.5.1. </w:t>
      </w:r>
      <w:r>
        <w:rPr>
          <w:rFonts w:hint="default" w:ascii="Times New Roman" w:hAnsi="Times New Roman" w:cs="Times New Roman"/>
          <w:color w:val="auto"/>
        </w:rPr>
        <w:t>固体处置措施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_Toc25575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142</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_Toc10614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8.5.2. </w:t>
      </w:r>
      <w:r>
        <w:rPr>
          <w:rFonts w:hint="default" w:ascii="Times New Roman" w:hAnsi="Times New Roman" w:cs="Times New Roman"/>
          <w:color w:val="auto"/>
        </w:rPr>
        <w:t>本项目依托现有固废暂存场所的可靠性分析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_Toc10614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143</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_Toc463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8.5.3. </w:t>
      </w:r>
      <w:r>
        <w:rPr>
          <w:rFonts w:hint="default" w:ascii="Times New Roman" w:hAnsi="Times New Roman" w:cs="Times New Roman"/>
          <w:color w:val="auto"/>
        </w:rPr>
        <w:t>固废管理要求</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_Toc463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143</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_Toc11558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44"/>
        </w:rPr>
        <w:t xml:space="preserve">9. </w:t>
      </w:r>
      <w:r>
        <w:rPr>
          <w:rFonts w:hint="default" w:ascii="Times New Roman" w:hAnsi="Times New Roman" w:cs="Times New Roman"/>
          <w:color w:val="auto"/>
          <w:szCs w:val="44"/>
          <w:lang w:eastAsia="zh-CN"/>
        </w:rPr>
        <w:t>总量控制分析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_Toc11558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146</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_Toc16302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lang w:val="en-US" w:eastAsia="zh-CN"/>
        </w:rPr>
        <w:t xml:space="preserve">9.1. </w:t>
      </w:r>
      <w:r>
        <w:rPr>
          <w:rFonts w:hint="default" w:ascii="Times New Roman" w:hAnsi="Times New Roman" w:cs="Times New Roman"/>
          <w:color w:val="auto"/>
          <w:lang w:val="en-US" w:eastAsia="zh-CN"/>
        </w:rPr>
        <w:t>总量控制因子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_Toc16302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146</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_Toc30045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lang w:val="en-US" w:eastAsia="zh-CN"/>
        </w:rPr>
        <w:t xml:space="preserve">9.2. </w:t>
      </w:r>
      <w:r>
        <w:rPr>
          <w:rFonts w:hint="default" w:ascii="Times New Roman" w:hAnsi="Times New Roman" w:cs="Times New Roman"/>
          <w:color w:val="auto"/>
          <w:lang w:val="en-US" w:eastAsia="zh-CN"/>
        </w:rPr>
        <w:t>水污染物排放总量控制分析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_Toc30045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146</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_Toc19373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44"/>
        </w:rPr>
        <w:t>10. 环境影响经济损益分析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_Toc19373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_Toc25875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10.1. </w:t>
      </w:r>
      <w:r>
        <w:rPr>
          <w:rFonts w:hint="default" w:ascii="Times New Roman" w:hAnsi="Times New Roman" w:cs="Times New Roman"/>
          <w:color w:val="auto"/>
        </w:rPr>
        <w:t>经济效益分析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_Toc25875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_Toc31888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10.2. </w:t>
      </w:r>
      <w:r>
        <w:rPr>
          <w:rFonts w:hint="default" w:ascii="Times New Roman" w:hAnsi="Times New Roman" w:cs="Times New Roman"/>
          <w:color w:val="auto"/>
        </w:rPr>
        <w:t>社会效益分析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_Toc31888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_Toc28958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10.3. </w:t>
      </w:r>
      <w:r>
        <w:rPr>
          <w:rFonts w:hint="default" w:ascii="Times New Roman" w:hAnsi="Times New Roman" w:cs="Times New Roman"/>
          <w:color w:val="auto"/>
        </w:rPr>
        <w:t>环境效益分析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_Toc28958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_Toc3554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44"/>
        </w:rPr>
        <w:t>11. 环境管理与监测计划</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_Toc3554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_Toc32766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11.1. </w:t>
      </w:r>
      <w:r>
        <w:rPr>
          <w:rFonts w:hint="default" w:ascii="Times New Roman" w:hAnsi="Times New Roman" w:cs="Times New Roman"/>
          <w:color w:val="auto"/>
        </w:rPr>
        <w:t>环境管理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_Toc32766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_Toc16738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11.1.1. </w:t>
      </w:r>
      <w:r>
        <w:rPr>
          <w:rFonts w:hint="default" w:ascii="Times New Roman" w:hAnsi="Times New Roman" w:cs="Times New Roman"/>
          <w:color w:val="auto"/>
        </w:rPr>
        <w:t>环境管理机构</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_Toc16738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_Toc9019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11.1.2. </w:t>
      </w:r>
      <w:r>
        <w:rPr>
          <w:rFonts w:hint="default" w:ascii="Times New Roman" w:hAnsi="Times New Roman" w:cs="Times New Roman"/>
          <w:color w:val="auto"/>
        </w:rPr>
        <w:t>环境管理机构主要职责</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_Toc9019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_Toc1047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11.1.3. </w:t>
      </w:r>
      <w:r>
        <w:rPr>
          <w:rFonts w:hint="default" w:ascii="Times New Roman" w:hAnsi="Times New Roman" w:cs="Times New Roman"/>
          <w:color w:val="auto"/>
        </w:rPr>
        <w:t>不同时期环境管理内容</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_Toc1047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_Toc9473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11.2. </w:t>
      </w:r>
      <w:r>
        <w:rPr>
          <w:rFonts w:hint="default" w:ascii="Times New Roman" w:hAnsi="Times New Roman" w:cs="Times New Roman"/>
          <w:color w:val="auto"/>
        </w:rPr>
        <w:t>排污口信息</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_Toc9473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151</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_Toc13239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11.3. </w:t>
      </w:r>
      <w:r>
        <w:rPr>
          <w:rFonts w:hint="default" w:ascii="Times New Roman" w:hAnsi="Times New Roman" w:cs="Times New Roman"/>
          <w:color w:val="auto"/>
        </w:rPr>
        <w:t>环境监理计划</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_Toc13239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152</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_Toc16229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11.3.1. </w:t>
      </w:r>
      <w:r>
        <w:rPr>
          <w:rFonts w:hint="default" w:ascii="Times New Roman" w:hAnsi="Times New Roman" w:cs="Times New Roman"/>
          <w:color w:val="auto"/>
        </w:rPr>
        <w:t>施工期环境监测计划</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_Toc16229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152</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_Toc4187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11.3.2. </w:t>
      </w:r>
      <w:r>
        <w:rPr>
          <w:rFonts w:hint="default" w:ascii="Times New Roman" w:hAnsi="Times New Roman" w:cs="Times New Roman"/>
          <w:color w:val="auto"/>
        </w:rPr>
        <w:t>营运期环境监测计划</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_Toc4187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152</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_Toc12073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11.4. </w:t>
      </w:r>
      <w:r>
        <w:rPr>
          <w:rFonts w:hint="default" w:ascii="Times New Roman" w:hAnsi="Times New Roman" w:cs="Times New Roman"/>
          <w:color w:val="auto"/>
        </w:rPr>
        <w:t>竣工环境保护验收</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_Toc12073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153</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_Toc5277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11.5. </w:t>
      </w:r>
      <w:r>
        <w:rPr>
          <w:rFonts w:hint="default" w:ascii="Times New Roman" w:hAnsi="Times New Roman" w:cs="Times New Roman"/>
          <w:color w:val="auto"/>
        </w:rPr>
        <w:t>信息公开</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_Toc5277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156</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_Toc31195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44"/>
        </w:rPr>
        <w:t>12. 环境影响评价结论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_Toc31195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_Toc14277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12.1. </w:t>
      </w:r>
      <w:r>
        <w:rPr>
          <w:rFonts w:hint="default" w:ascii="Times New Roman" w:hAnsi="Times New Roman" w:cs="Times New Roman"/>
          <w:color w:val="auto"/>
        </w:rPr>
        <w:t>建设项目的建设概况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_Toc14277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_Toc27079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12.2. </w:t>
      </w:r>
      <w:r>
        <w:rPr>
          <w:rFonts w:hint="default" w:ascii="Times New Roman" w:hAnsi="Times New Roman" w:cs="Times New Roman"/>
          <w:color w:val="auto"/>
        </w:rPr>
        <w:t>环境质量现状</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_Toc27079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_Toc12915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12.2.1. </w:t>
      </w:r>
      <w:r>
        <w:rPr>
          <w:rFonts w:hint="default" w:ascii="Times New Roman" w:hAnsi="Times New Roman" w:cs="Times New Roman"/>
          <w:color w:val="auto"/>
        </w:rPr>
        <w:t>地表水环境质量现状</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_Toc12915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_Toc5771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12.2.2. </w:t>
      </w:r>
      <w:r>
        <w:rPr>
          <w:rFonts w:hint="default" w:ascii="Times New Roman" w:hAnsi="Times New Roman" w:cs="Times New Roman"/>
          <w:color w:val="auto"/>
        </w:rPr>
        <w:t>地下水环境质量现状</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_Toc5771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_Toc24921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12.2.3. </w:t>
      </w:r>
      <w:r>
        <w:rPr>
          <w:rFonts w:hint="default" w:ascii="Times New Roman" w:hAnsi="Times New Roman" w:cs="Times New Roman"/>
          <w:color w:val="auto"/>
        </w:rPr>
        <w:t>环境空气质量现状</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_Toc24921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_Toc18267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12.2.4. </w:t>
      </w:r>
      <w:r>
        <w:rPr>
          <w:rFonts w:hint="default" w:ascii="Times New Roman" w:hAnsi="Times New Roman" w:cs="Times New Roman"/>
          <w:color w:val="auto"/>
        </w:rPr>
        <w:t>声环境质量现状</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_Toc18267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_Toc32516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12.2.5. </w:t>
      </w:r>
      <w:r>
        <w:rPr>
          <w:rFonts w:hint="default" w:ascii="Times New Roman" w:hAnsi="Times New Roman" w:cs="Times New Roman"/>
          <w:color w:val="auto"/>
          <w:lang w:val="en-US" w:eastAsia="zh-CN"/>
        </w:rPr>
        <w:t>土壤环境</w:t>
      </w:r>
      <w:r>
        <w:rPr>
          <w:rFonts w:hint="default" w:ascii="Times New Roman" w:hAnsi="Times New Roman" w:cs="Times New Roman"/>
          <w:color w:val="auto"/>
        </w:rPr>
        <w:t>质量现状</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_Toc32516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_Toc9257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12.3. </w:t>
      </w:r>
      <w:r>
        <w:rPr>
          <w:rFonts w:hint="default" w:ascii="Times New Roman" w:hAnsi="Times New Roman" w:cs="Times New Roman"/>
          <w:color w:val="auto"/>
        </w:rPr>
        <w:t>污染物排放情况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_Toc9257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158</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_Toc29902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12.3.1. </w:t>
      </w:r>
      <w:r>
        <w:rPr>
          <w:rFonts w:hint="default" w:ascii="Times New Roman" w:hAnsi="Times New Roman" w:cs="Times New Roman"/>
          <w:color w:val="auto"/>
        </w:rPr>
        <w:t>废气</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_Toc29902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158</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_Toc5456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12.3.2. </w:t>
      </w:r>
      <w:r>
        <w:rPr>
          <w:rFonts w:hint="default" w:ascii="Times New Roman" w:hAnsi="Times New Roman" w:cs="Times New Roman"/>
          <w:color w:val="auto"/>
        </w:rPr>
        <w:t>废水</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_Toc5456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158</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_Toc17510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12.3.3. </w:t>
      </w:r>
      <w:r>
        <w:rPr>
          <w:rFonts w:hint="default" w:ascii="Times New Roman" w:hAnsi="Times New Roman" w:cs="Times New Roman"/>
          <w:color w:val="auto"/>
        </w:rPr>
        <w:t>噪声</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_Toc17510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158</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_Toc28031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12.3.4. </w:t>
      </w:r>
      <w:r>
        <w:rPr>
          <w:rFonts w:hint="default" w:ascii="Times New Roman" w:hAnsi="Times New Roman" w:cs="Times New Roman"/>
          <w:color w:val="auto"/>
        </w:rPr>
        <w:t>固废</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_Toc28031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158</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_Toc22165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12.4. </w:t>
      </w:r>
      <w:r>
        <w:rPr>
          <w:rFonts w:hint="default" w:ascii="Times New Roman" w:hAnsi="Times New Roman" w:cs="Times New Roman"/>
          <w:color w:val="auto"/>
        </w:rPr>
        <w:t>主要环境影响</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_Toc22165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158</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_Toc6119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12.4.1. </w:t>
      </w:r>
      <w:r>
        <w:rPr>
          <w:rFonts w:hint="default" w:ascii="Times New Roman" w:hAnsi="Times New Roman" w:cs="Times New Roman"/>
          <w:color w:val="auto"/>
        </w:rPr>
        <w:t>废气</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_Toc6119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158</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_Toc8483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12.4.2. </w:t>
      </w:r>
      <w:r>
        <w:rPr>
          <w:rFonts w:hint="default" w:ascii="Times New Roman" w:hAnsi="Times New Roman" w:cs="Times New Roman"/>
          <w:color w:val="auto"/>
        </w:rPr>
        <w:t>废水</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_Toc8483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_Toc5380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12.4.3. </w:t>
      </w:r>
      <w:r>
        <w:rPr>
          <w:rFonts w:hint="default" w:ascii="Times New Roman" w:hAnsi="Times New Roman" w:cs="Times New Roman"/>
          <w:color w:val="auto"/>
        </w:rPr>
        <w:t>噪声</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_Toc5380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17"/>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_Toc25878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12.4.4. </w:t>
      </w:r>
      <w:r>
        <w:rPr>
          <w:rFonts w:hint="default" w:ascii="Times New Roman" w:hAnsi="Times New Roman" w:cs="Times New Roman"/>
          <w:color w:val="auto"/>
        </w:rPr>
        <w:t>固废</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_Toc25878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_Toc8818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12.5. </w:t>
      </w:r>
      <w:r>
        <w:rPr>
          <w:rFonts w:hint="default" w:ascii="Times New Roman" w:hAnsi="Times New Roman" w:cs="Times New Roman"/>
          <w:color w:val="auto"/>
        </w:rPr>
        <w:t>选址可行性</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_Toc8818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_Toc3991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 xml:space="preserve">12.6. </w:t>
      </w:r>
      <w:r>
        <w:rPr>
          <w:rFonts w:hint="default" w:ascii="Times New Roman" w:hAnsi="Times New Roman" w:cs="Times New Roman"/>
          <w:color w:val="auto"/>
        </w:rPr>
        <w:t>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_Toc3991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160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_Toc3759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8"/>
          <w:lang w:eastAsia="zh-CN"/>
        </w:rPr>
        <w:t>附件</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_Toc3759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161</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_Toc23357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8"/>
          <w:lang w:eastAsia="zh-CN"/>
        </w:rPr>
        <w:t>附件</w:t>
      </w:r>
      <w:r>
        <w:rPr>
          <w:rFonts w:hint="default" w:ascii="Times New Roman" w:hAnsi="Times New Roman" w:cs="Times New Roman"/>
          <w:color w:val="auto"/>
          <w:szCs w:val="28"/>
          <w:lang w:val="en-US" w:eastAsia="zh-CN"/>
        </w:rPr>
        <w:t xml:space="preserve">1 </w:t>
      </w:r>
      <w:r>
        <w:rPr>
          <w:rFonts w:hint="default" w:ascii="Times New Roman" w:hAnsi="Times New Roman" w:cs="Times New Roman"/>
          <w:color w:val="auto"/>
          <w:szCs w:val="28"/>
          <w:lang w:eastAsia="zh-CN"/>
        </w:rPr>
        <w:t>项目委托书</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_Toc23357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161</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_Toc32706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8"/>
          <w:lang w:val="en-US" w:eastAsia="zh-CN"/>
        </w:rPr>
        <w:t>附件2 企业营业执照</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_Toc32706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162</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_Toc31897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8"/>
          <w:lang w:eastAsia="zh-CN"/>
        </w:rPr>
        <w:t>附件</w:t>
      </w:r>
      <w:r>
        <w:rPr>
          <w:rFonts w:hint="default" w:ascii="Times New Roman" w:hAnsi="Times New Roman" w:cs="Times New Roman"/>
          <w:color w:val="auto"/>
          <w:szCs w:val="28"/>
          <w:lang w:val="en-US" w:eastAsia="zh-CN"/>
        </w:rPr>
        <w:t>3 现有工程（年产抗氧化剂TNP1000吨、氯化锂400吨、催化剂二氯二茂钛12吨项目）环评批复</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_Toc31897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163</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_Toc27661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8"/>
          <w:lang w:eastAsia="zh-CN"/>
        </w:rPr>
        <w:t>附件</w:t>
      </w:r>
      <w:r>
        <w:rPr>
          <w:rFonts w:hint="default" w:ascii="Times New Roman" w:hAnsi="Times New Roman" w:cs="Times New Roman"/>
          <w:color w:val="auto"/>
          <w:szCs w:val="28"/>
          <w:lang w:val="en-US" w:eastAsia="zh-CN"/>
        </w:rPr>
        <w:t>4 云溪工业园规划环评批复</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_Toc27661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165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_Toc12638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kern w:val="44"/>
          <w:szCs w:val="28"/>
          <w:lang w:val="en-US" w:eastAsia="zh-CN" w:bidi="ar-SA"/>
        </w:rPr>
        <w:t xml:space="preserve">附件5 </w:t>
      </w:r>
      <w:r>
        <w:rPr>
          <w:rFonts w:hint="default" w:ascii="Times New Roman" w:hAnsi="Times New Roman" w:cs="Times New Roman"/>
          <w:color w:val="auto"/>
          <w:szCs w:val="28"/>
          <w:lang w:val="en-US" w:eastAsia="zh-CN"/>
        </w:rPr>
        <w:t>项目</w:t>
      </w:r>
      <w:r>
        <w:rPr>
          <w:rFonts w:hint="default" w:ascii="Times New Roman" w:hAnsi="Times New Roman" w:eastAsia="宋体" w:cs="Times New Roman"/>
          <w:bCs/>
          <w:color w:val="auto"/>
          <w:kern w:val="44"/>
          <w:szCs w:val="28"/>
          <w:lang w:val="en-US" w:eastAsia="zh-CN" w:bidi="ar-SA"/>
        </w:rPr>
        <w:t>发改委备案证明</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_Toc12638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167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_Toc11379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8"/>
          <w:lang w:val="en-US" w:eastAsia="zh-CN"/>
        </w:rPr>
        <w:t>附件6 鑫达催化剂项目环评执行标准函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_Toc11379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168</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_Toc5273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8"/>
          <w:lang w:val="en-US" w:eastAsia="zh-CN"/>
        </w:rPr>
        <w:t>附件7</w:t>
      </w:r>
      <w:r>
        <w:rPr>
          <w:rFonts w:hint="eastAsia" w:cs="Times New Roman"/>
          <w:color w:val="auto"/>
          <w:szCs w:val="28"/>
          <w:lang w:val="en-US" w:eastAsia="zh-CN"/>
        </w:rPr>
        <w:t xml:space="preserve"> </w:t>
      </w:r>
      <w:r>
        <w:rPr>
          <w:rFonts w:hint="default" w:ascii="Times New Roman" w:hAnsi="Times New Roman" w:cs="Times New Roman"/>
          <w:color w:val="auto"/>
          <w:szCs w:val="28"/>
          <w:lang w:val="en-US" w:eastAsia="zh-CN"/>
        </w:rPr>
        <w:t xml:space="preserve"> HSSE管理协议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_Toc5273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169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_Toc23543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8"/>
          <w:lang w:val="en-US" w:eastAsia="zh-CN"/>
        </w:rPr>
        <w:t>附件8 危废处置单位经营许可证</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_Toc23543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171</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_Toc1767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8"/>
          <w:lang w:eastAsia="zh-CN"/>
        </w:rPr>
        <w:t>附件</w:t>
      </w:r>
      <w:r>
        <w:rPr>
          <w:rFonts w:hint="default" w:ascii="Times New Roman" w:hAnsi="Times New Roman" w:cs="Times New Roman"/>
          <w:color w:val="auto"/>
          <w:szCs w:val="28"/>
          <w:lang w:val="en-US" w:eastAsia="zh-CN"/>
        </w:rPr>
        <w:t xml:space="preserve">9 </w:t>
      </w:r>
      <w:r>
        <w:rPr>
          <w:rFonts w:hint="default" w:ascii="Times New Roman" w:hAnsi="Times New Roman" w:cs="Times New Roman"/>
          <w:color w:val="auto"/>
          <w:szCs w:val="28"/>
          <w:lang w:eastAsia="zh-CN"/>
        </w:rPr>
        <w:t>危险废物处置合同</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_Toc1767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172</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_Toc26062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8"/>
          <w:lang w:val="en-US" w:eastAsia="zh-CN"/>
        </w:rPr>
        <w:t>附件10 鑫达副产品粗镍质检合格证明</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_Toc26062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173</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_Toc11887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8"/>
          <w:lang w:val="en-US" w:eastAsia="zh-CN"/>
        </w:rPr>
        <w:t>附件11</w:t>
      </w:r>
      <w:r>
        <w:rPr>
          <w:rFonts w:hint="eastAsia" w:ascii="Times New Roman" w:hAnsi="Times New Roman" w:cs="Times New Roman"/>
          <w:color w:val="auto"/>
          <w:szCs w:val="28"/>
          <w:lang w:val="en-US" w:eastAsia="zh-CN"/>
        </w:rPr>
        <w:t xml:space="preserve"> </w:t>
      </w:r>
      <w:r>
        <w:rPr>
          <w:rFonts w:hint="default" w:ascii="Times New Roman" w:hAnsi="Times New Roman" w:cs="Times New Roman"/>
          <w:color w:val="auto"/>
          <w:szCs w:val="28"/>
          <w:lang w:val="en-US" w:eastAsia="zh-CN"/>
        </w:rPr>
        <w:t>鑫达含镍废水处理流程及小试出水水质检测报告</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_Toc11887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174</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_Toc29196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8"/>
          <w:lang w:eastAsia="zh-CN"/>
        </w:rPr>
        <w:t>附件</w:t>
      </w:r>
      <w:r>
        <w:rPr>
          <w:rFonts w:hint="default" w:ascii="Times New Roman" w:hAnsi="Times New Roman" w:cs="Times New Roman"/>
          <w:color w:val="auto"/>
          <w:szCs w:val="28"/>
          <w:lang w:val="en-US" w:eastAsia="zh-CN"/>
        </w:rPr>
        <w:t xml:space="preserve">12 </w:t>
      </w:r>
      <w:r>
        <w:rPr>
          <w:rFonts w:hint="default" w:ascii="Times New Roman" w:hAnsi="Times New Roman" w:cs="Times New Roman"/>
          <w:color w:val="auto"/>
          <w:szCs w:val="28"/>
          <w:lang w:eastAsia="zh-CN"/>
        </w:rPr>
        <w:t>巴陵石化公司质量检验报告</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_Toc29196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175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_Toc18652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8"/>
          <w:lang w:val="en-US" w:eastAsia="zh-CN"/>
        </w:rPr>
        <w:t>附件13 突发环境事件应急预案备案登记表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_Toc18652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176</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_Toc23044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8"/>
          <w:lang w:eastAsia="zh-CN"/>
        </w:rPr>
        <w:t>附件</w:t>
      </w:r>
      <w:r>
        <w:rPr>
          <w:rFonts w:hint="default" w:ascii="Times New Roman" w:hAnsi="Times New Roman" w:cs="Times New Roman"/>
          <w:color w:val="auto"/>
          <w:szCs w:val="28"/>
          <w:lang w:val="en-US" w:eastAsia="zh-CN"/>
        </w:rPr>
        <w:t>14 巴陵石化火炬台接纳</w:t>
      </w:r>
      <w:r>
        <w:rPr>
          <w:rFonts w:hint="default" w:ascii="Times New Roman" w:hAnsi="Times New Roman" w:cs="Times New Roman"/>
          <w:color w:val="auto"/>
          <w:szCs w:val="28"/>
          <w:lang w:eastAsia="zh-CN"/>
        </w:rPr>
        <w:t>鑫达废气的证明</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_Toc23044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177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_Toc17845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lang w:eastAsia="zh-CN"/>
        </w:rPr>
        <w:t>附件</w:t>
      </w:r>
      <w:r>
        <w:rPr>
          <w:rFonts w:hint="default" w:ascii="Times New Roman" w:hAnsi="Times New Roman" w:cs="Times New Roman"/>
          <w:color w:val="auto"/>
          <w:szCs w:val="24"/>
          <w:lang w:val="en-US" w:eastAsia="zh-CN"/>
        </w:rPr>
        <w:t>15 巴陵石化污水处理厂接纳</w:t>
      </w:r>
      <w:r>
        <w:rPr>
          <w:rFonts w:hint="default" w:ascii="Times New Roman" w:hAnsi="Times New Roman" w:cs="Times New Roman"/>
          <w:color w:val="auto"/>
          <w:szCs w:val="24"/>
          <w:lang w:eastAsia="zh-CN"/>
        </w:rPr>
        <w:t>鑫达废水的证明</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_Toc17845 \h </w:instrText>
      </w:r>
      <w:r>
        <w:rPr>
          <w:rFonts w:hint="default" w:ascii="Times New Roman" w:hAnsi="Times New Roman" w:cs="Times New Roman"/>
          <w:color w:val="auto"/>
        </w:rPr>
        <w:fldChar w:fldCharType="separate"/>
      </w:r>
      <w:r>
        <w:rPr>
          <w:rFonts w:hint="default" w:ascii="Times New Roman" w:hAnsi="Times New Roman" w:cs="Times New Roman"/>
          <w:color w:val="auto"/>
        </w:rPr>
        <w:t>178</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_Toc17746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lang w:eastAsia="zh-CN"/>
        </w:rPr>
        <w:t>附件</w:t>
      </w:r>
      <w:r>
        <w:rPr>
          <w:rFonts w:hint="default" w:ascii="Times New Roman" w:hAnsi="Times New Roman" w:cs="Times New Roman"/>
          <w:color w:val="auto"/>
          <w:szCs w:val="24"/>
          <w:lang w:val="en-US" w:eastAsia="zh-CN"/>
        </w:rPr>
        <w:t>16 岳阳</w:t>
      </w:r>
      <w:r>
        <w:rPr>
          <w:rFonts w:hint="default" w:ascii="Times New Roman" w:hAnsi="Times New Roman" w:cs="Times New Roman"/>
          <w:color w:val="auto"/>
          <w:szCs w:val="24"/>
          <w:lang w:eastAsia="zh-CN"/>
        </w:rPr>
        <w:t>鑫达实业公司</w:t>
      </w:r>
      <w:r>
        <w:rPr>
          <w:rFonts w:hint="default" w:ascii="Times New Roman" w:hAnsi="Times New Roman" w:cs="Times New Roman"/>
          <w:color w:val="auto"/>
          <w:szCs w:val="24"/>
          <w:lang w:val="en-US" w:eastAsia="zh-CN"/>
        </w:rPr>
        <w:t>COD排污权证</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_Toc17746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179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_Toc24024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lang w:eastAsia="zh-CN"/>
        </w:rPr>
        <w:t>附件</w:t>
      </w:r>
      <w:r>
        <w:rPr>
          <w:rFonts w:hint="default" w:ascii="Times New Roman" w:hAnsi="Times New Roman" w:cs="Times New Roman"/>
          <w:color w:val="auto"/>
          <w:szCs w:val="24"/>
          <w:lang w:val="en-US" w:eastAsia="zh-CN"/>
        </w:rPr>
        <w:t xml:space="preserve">17 </w:t>
      </w:r>
      <w:r>
        <w:rPr>
          <w:rFonts w:hint="default" w:ascii="Times New Roman" w:hAnsi="Times New Roman" w:cs="Times New Roman"/>
          <w:color w:val="auto"/>
          <w:szCs w:val="24"/>
          <w:lang w:eastAsia="zh-CN"/>
        </w:rPr>
        <w:t>鑫达一期项目验收监测报告</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_Toc24024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180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_Toc28641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lang w:eastAsia="zh-CN"/>
        </w:rPr>
        <w:t>附件</w:t>
      </w:r>
      <w:r>
        <w:rPr>
          <w:rFonts w:hint="default" w:ascii="Times New Roman" w:hAnsi="Times New Roman" w:cs="Times New Roman"/>
          <w:color w:val="auto"/>
          <w:szCs w:val="24"/>
          <w:lang w:val="en-US" w:eastAsia="zh-CN"/>
        </w:rPr>
        <w:t xml:space="preserve">18 </w:t>
      </w:r>
      <w:r>
        <w:rPr>
          <w:rFonts w:hint="default" w:ascii="Times New Roman" w:hAnsi="Times New Roman" w:cs="Times New Roman"/>
          <w:color w:val="auto"/>
          <w:szCs w:val="24"/>
          <w:lang w:eastAsia="zh-CN"/>
        </w:rPr>
        <w:t>鑫达催化剂项目环评土壤现状监测报告</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_Toc28641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184</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_Toc8859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kern w:val="44"/>
          <w:szCs w:val="28"/>
          <w:lang w:val="en-US" w:eastAsia="zh-CN" w:bidi="ar-SA"/>
        </w:rPr>
        <w:t>附件19 鑫达</w:t>
      </w:r>
      <w:r>
        <w:rPr>
          <w:rFonts w:hint="default" w:ascii="Times New Roman" w:hAnsi="Times New Roman" w:cs="Times New Roman"/>
          <w:color w:val="auto"/>
          <w:szCs w:val="28"/>
          <w:lang w:val="en-US" w:eastAsia="zh-CN"/>
        </w:rPr>
        <w:t>催化剂</w:t>
      </w:r>
      <w:r>
        <w:rPr>
          <w:rFonts w:hint="default" w:ascii="Times New Roman" w:hAnsi="Times New Roman" w:eastAsia="宋体" w:cs="Times New Roman"/>
          <w:bCs/>
          <w:color w:val="auto"/>
          <w:kern w:val="44"/>
          <w:szCs w:val="28"/>
          <w:lang w:val="en-US" w:eastAsia="zh-CN" w:bidi="ar-SA"/>
        </w:rPr>
        <w:t>项目环评土壤现状补充监测报告（一）</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_Toc8859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193</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_Toc28312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lang w:eastAsia="zh-CN"/>
        </w:rPr>
        <w:t>附件</w:t>
      </w:r>
      <w:r>
        <w:rPr>
          <w:rFonts w:hint="default" w:ascii="Times New Roman" w:hAnsi="Times New Roman" w:cs="Times New Roman"/>
          <w:color w:val="auto"/>
          <w:szCs w:val="24"/>
          <w:lang w:val="en-US" w:eastAsia="zh-CN"/>
        </w:rPr>
        <w:t>20  鑫达催化剂项目环评土壤现状监测报告（二）</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_Toc28312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196</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_Toc10520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lang w:eastAsia="zh-CN"/>
        </w:rPr>
        <w:t>附件</w:t>
      </w:r>
      <w:r>
        <w:rPr>
          <w:rFonts w:hint="default" w:ascii="Times New Roman" w:hAnsi="Times New Roman" w:cs="Times New Roman"/>
          <w:color w:val="auto"/>
          <w:szCs w:val="24"/>
          <w:lang w:val="en-US" w:eastAsia="zh-CN"/>
        </w:rPr>
        <w:t xml:space="preserve">21 </w:t>
      </w:r>
      <w:r>
        <w:rPr>
          <w:rFonts w:hint="default" w:ascii="Times New Roman" w:hAnsi="Times New Roman" w:cs="Times New Roman"/>
          <w:color w:val="auto"/>
          <w:szCs w:val="24"/>
          <w:lang w:eastAsia="zh-CN"/>
        </w:rPr>
        <w:t>鑫达环评审查会议专家审查意见</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_Toc10520 \h </w:instrText>
      </w:r>
      <w:r>
        <w:rPr>
          <w:rFonts w:hint="default" w:ascii="Times New Roman" w:hAnsi="Times New Roman" w:cs="Times New Roman"/>
          <w:color w:val="auto"/>
        </w:rPr>
        <w:fldChar w:fldCharType="separate"/>
      </w:r>
      <w:r>
        <w:rPr>
          <w:rFonts w:hint="default" w:ascii="Times New Roman" w:hAnsi="Times New Roman" w:cs="Times New Roman"/>
          <w:color w:val="auto"/>
        </w:rPr>
        <w:t>199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_Toc25629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lang w:eastAsia="zh-CN"/>
        </w:rPr>
        <w:t>附件</w:t>
      </w:r>
      <w:r>
        <w:rPr>
          <w:rFonts w:hint="default" w:ascii="Times New Roman" w:hAnsi="Times New Roman" w:cs="Times New Roman"/>
          <w:color w:val="auto"/>
          <w:szCs w:val="24"/>
          <w:lang w:val="en-US" w:eastAsia="zh-CN"/>
        </w:rPr>
        <w:t xml:space="preserve">22 </w:t>
      </w:r>
      <w:r>
        <w:rPr>
          <w:rFonts w:hint="default" w:ascii="Times New Roman" w:hAnsi="Times New Roman" w:cs="Times New Roman"/>
          <w:color w:val="auto"/>
          <w:szCs w:val="24"/>
          <w:lang w:eastAsia="zh-CN"/>
        </w:rPr>
        <w:t>鑫达环评审查会议专家签名表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_Toc25629 \h </w:instrText>
      </w:r>
      <w:r>
        <w:rPr>
          <w:rFonts w:hint="default" w:ascii="Times New Roman" w:hAnsi="Times New Roman" w:cs="Times New Roman"/>
          <w:color w:val="auto"/>
        </w:rPr>
        <w:fldChar w:fldCharType="separate"/>
      </w:r>
      <w:r>
        <w:rPr>
          <w:rFonts w:hint="default" w:ascii="Times New Roman" w:hAnsi="Times New Roman" w:cs="Times New Roman"/>
          <w:color w:val="auto"/>
        </w:rPr>
        <w:t>200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_Toc25006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lang w:eastAsia="zh-CN"/>
        </w:rPr>
        <w:t>附图</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_Toc25006 \h </w:instrText>
      </w:r>
      <w:r>
        <w:rPr>
          <w:rFonts w:hint="default" w:ascii="Times New Roman" w:hAnsi="Times New Roman" w:cs="Times New Roman"/>
          <w:color w:val="auto"/>
        </w:rPr>
        <w:fldChar w:fldCharType="separate"/>
      </w:r>
      <w:r>
        <w:rPr>
          <w:rFonts w:hint="default" w:ascii="Times New Roman" w:hAnsi="Times New Roman" w:cs="Times New Roman"/>
          <w:color w:val="auto"/>
        </w:rPr>
        <w:t>201</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_Toc21135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lang w:eastAsia="zh-CN"/>
        </w:rPr>
        <w:t>附图1：项目地理位置图</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_Toc21135 \h </w:instrText>
      </w:r>
      <w:r>
        <w:rPr>
          <w:rFonts w:hint="default" w:ascii="Times New Roman" w:hAnsi="Times New Roman" w:cs="Times New Roman"/>
          <w:color w:val="auto"/>
        </w:rPr>
        <w:fldChar w:fldCharType="separate"/>
      </w:r>
      <w:r>
        <w:rPr>
          <w:rFonts w:hint="default" w:ascii="Times New Roman" w:hAnsi="Times New Roman" w:cs="Times New Roman"/>
          <w:color w:val="auto"/>
        </w:rPr>
        <w:t>201</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_Toc8928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lang w:eastAsia="zh-CN"/>
        </w:rPr>
        <w:t>附图</w:t>
      </w:r>
      <w:r>
        <w:rPr>
          <w:rFonts w:hint="default" w:ascii="Times New Roman" w:hAnsi="Times New Roman" w:cs="Times New Roman"/>
          <w:color w:val="auto"/>
          <w:szCs w:val="24"/>
          <w:lang w:val="en-US" w:eastAsia="zh-CN"/>
        </w:rPr>
        <w:t>2</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岳阳鑫达实业公司现状</w:t>
      </w:r>
      <w:r>
        <w:rPr>
          <w:rFonts w:hint="default" w:ascii="Times New Roman" w:hAnsi="Times New Roman" w:cs="Times New Roman"/>
          <w:color w:val="auto"/>
          <w:szCs w:val="24"/>
          <w:lang w:eastAsia="zh-CN"/>
        </w:rPr>
        <w:t>平面布置图</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_Toc8928 \h </w:instrText>
      </w:r>
      <w:r>
        <w:rPr>
          <w:rFonts w:hint="default" w:ascii="Times New Roman" w:hAnsi="Times New Roman" w:cs="Times New Roman"/>
          <w:color w:val="auto"/>
        </w:rPr>
        <w:fldChar w:fldCharType="separate"/>
      </w:r>
      <w:r>
        <w:rPr>
          <w:rFonts w:hint="default" w:ascii="Times New Roman" w:hAnsi="Times New Roman" w:cs="Times New Roman"/>
          <w:color w:val="auto"/>
        </w:rPr>
        <w:t>202</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_Toc27138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lang w:eastAsia="zh-CN"/>
        </w:rPr>
        <w:t>附图</w:t>
      </w:r>
      <w:r>
        <w:rPr>
          <w:rFonts w:hint="default" w:ascii="Times New Roman" w:hAnsi="Times New Roman" w:cs="Times New Roman"/>
          <w:color w:val="auto"/>
          <w:szCs w:val="24"/>
          <w:lang w:val="en-US" w:eastAsia="zh-CN"/>
        </w:rPr>
        <w:t>3</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岳阳鑫达实业公司加氢催化剂改扩建项目总</w:t>
      </w:r>
      <w:r>
        <w:rPr>
          <w:rFonts w:hint="default" w:ascii="Times New Roman" w:hAnsi="Times New Roman" w:cs="Times New Roman"/>
          <w:color w:val="auto"/>
          <w:szCs w:val="24"/>
          <w:lang w:eastAsia="zh-CN"/>
        </w:rPr>
        <w:t>平面布置图</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_Toc27138 \h </w:instrText>
      </w:r>
      <w:r>
        <w:rPr>
          <w:rFonts w:hint="default" w:ascii="Times New Roman" w:hAnsi="Times New Roman" w:cs="Times New Roman"/>
          <w:color w:val="auto"/>
        </w:rPr>
        <w:fldChar w:fldCharType="separate"/>
      </w:r>
      <w:r>
        <w:rPr>
          <w:rFonts w:hint="default" w:ascii="Times New Roman" w:hAnsi="Times New Roman" w:cs="Times New Roman"/>
          <w:color w:val="auto"/>
        </w:rPr>
        <w:t>203</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_Toc18827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lang w:eastAsia="zh-CN"/>
        </w:rPr>
        <w:t>附图</w:t>
      </w:r>
      <w:r>
        <w:rPr>
          <w:rFonts w:hint="default" w:ascii="Times New Roman" w:hAnsi="Times New Roman" w:cs="Times New Roman"/>
          <w:color w:val="auto"/>
          <w:szCs w:val="24"/>
          <w:lang w:val="en-US" w:eastAsia="zh-CN"/>
        </w:rPr>
        <w:t>4</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加氢催化剂项目一层平面布置图</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_Toc18827 \h </w:instrText>
      </w:r>
      <w:r>
        <w:rPr>
          <w:rFonts w:hint="default" w:ascii="Times New Roman" w:hAnsi="Times New Roman" w:cs="Times New Roman"/>
          <w:color w:val="auto"/>
        </w:rPr>
        <w:fldChar w:fldCharType="separate"/>
      </w:r>
      <w:r>
        <w:rPr>
          <w:rFonts w:hint="default" w:ascii="Times New Roman" w:hAnsi="Times New Roman" w:cs="Times New Roman"/>
          <w:color w:val="auto"/>
        </w:rPr>
        <w:t>204</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_Toc13460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lang w:eastAsia="zh-CN"/>
        </w:rPr>
        <w:t>附图</w:t>
      </w:r>
      <w:r>
        <w:rPr>
          <w:rFonts w:hint="default" w:ascii="Times New Roman" w:hAnsi="Times New Roman" w:cs="Times New Roman"/>
          <w:color w:val="auto"/>
          <w:szCs w:val="24"/>
          <w:lang w:val="en-US" w:eastAsia="zh-CN"/>
        </w:rPr>
        <w:t>5</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加氢催化剂项目二层平面布置图</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_Toc13460 \h </w:instrText>
      </w:r>
      <w:r>
        <w:rPr>
          <w:rFonts w:hint="default" w:ascii="Times New Roman" w:hAnsi="Times New Roman" w:cs="Times New Roman"/>
          <w:color w:val="auto"/>
        </w:rPr>
        <w:fldChar w:fldCharType="separate"/>
      </w:r>
      <w:r>
        <w:rPr>
          <w:rFonts w:hint="default" w:ascii="Times New Roman" w:hAnsi="Times New Roman" w:cs="Times New Roman"/>
          <w:color w:val="auto"/>
        </w:rPr>
        <w:t>205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_Toc7491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lang w:eastAsia="zh-CN"/>
        </w:rPr>
        <w:t>附图</w:t>
      </w:r>
      <w:r>
        <w:rPr>
          <w:rFonts w:hint="default" w:ascii="Times New Roman" w:hAnsi="Times New Roman" w:cs="Times New Roman"/>
          <w:color w:val="auto"/>
          <w:szCs w:val="24"/>
          <w:lang w:val="en-US" w:eastAsia="zh-CN"/>
        </w:rPr>
        <w:t>6</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加氢催化剂项目三层平面布置图</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_Toc7491 \h </w:instrText>
      </w:r>
      <w:r>
        <w:rPr>
          <w:rFonts w:hint="default" w:ascii="Times New Roman" w:hAnsi="Times New Roman" w:cs="Times New Roman"/>
          <w:color w:val="auto"/>
        </w:rPr>
        <w:fldChar w:fldCharType="separate"/>
      </w:r>
      <w:r>
        <w:rPr>
          <w:rFonts w:hint="default" w:ascii="Times New Roman" w:hAnsi="Times New Roman" w:cs="Times New Roman"/>
          <w:color w:val="auto"/>
        </w:rPr>
        <w:t>206</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_Toc20935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lang w:eastAsia="zh-CN"/>
        </w:rPr>
        <w:t>附图</w:t>
      </w:r>
      <w:r>
        <w:rPr>
          <w:rFonts w:hint="default" w:ascii="Times New Roman" w:hAnsi="Times New Roman" w:cs="Times New Roman"/>
          <w:color w:val="auto"/>
          <w:szCs w:val="24"/>
          <w:lang w:val="en-US" w:eastAsia="zh-CN"/>
        </w:rPr>
        <w:t>7</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加氢催化剂项目顶层平面布置图</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_Toc20935 \h </w:instrText>
      </w:r>
      <w:r>
        <w:rPr>
          <w:rFonts w:hint="default" w:ascii="Times New Roman" w:hAnsi="Times New Roman" w:cs="Times New Roman"/>
          <w:color w:val="auto"/>
        </w:rPr>
        <w:fldChar w:fldCharType="separate"/>
      </w:r>
      <w:r>
        <w:rPr>
          <w:rFonts w:hint="default" w:ascii="Times New Roman" w:hAnsi="Times New Roman" w:cs="Times New Roman"/>
          <w:color w:val="auto"/>
        </w:rPr>
        <w:t>207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_Toc25782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lang w:eastAsia="zh-CN"/>
        </w:rPr>
        <w:t>附图</w:t>
      </w:r>
      <w:r>
        <w:rPr>
          <w:rFonts w:hint="default" w:ascii="Times New Roman" w:hAnsi="Times New Roman" w:cs="Times New Roman"/>
          <w:color w:val="auto"/>
          <w:szCs w:val="24"/>
          <w:lang w:val="en-US" w:eastAsia="zh-CN"/>
        </w:rPr>
        <w:t>8</w:t>
      </w:r>
      <w:r>
        <w:rPr>
          <w:rFonts w:hint="default" w:ascii="Times New Roman" w:hAnsi="Times New Roman" w:cs="Times New Roman"/>
          <w:color w:val="auto"/>
          <w:szCs w:val="24"/>
          <w:lang w:eastAsia="zh-CN"/>
        </w:rPr>
        <w:t>：鑫达公司</w:t>
      </w:r>
      <w:r>
        <w:rPr>
          <w:rFonts w:hint="default" w:ascii="Times New Roman" w:hAnsi="Times New Roman" w:cs="Times New Roman"/>
          <w:color w:val="auto"/>
          <w:szCs w:val="24"/>
          <w:lang w:val="en-US" w:eastAsia="zh-CN"/>
        </w:rPr>
        <w:t>安全疏散平面示意图</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_Toc25782 \h </w:instrText>
      </w:r>
      <w:r>
        <w:rPr>
          <w:rFonts w:hint="default" w:ascii="Times New Roman" w:hAnsi="Times New Roman" w:cs="Times New Roman"/>
          <w:color w:val="auto"/>
        </w:rPr>
        <w:fldChar w:fldCharType="separate"/>
      </w:r>
      <w:r>
        <w:rPr>
          <w:rFonts w:hint="default" w:ascii="Times New Roman" w:hAnsi="Times New Roman" w:cs="Times New Roman"/>
          <w:color w:val="auto"/>
        </w:rPr>
        <w:t>208</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_Toc26084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lang w:eastAsia="zh-CN"/>
        </w:rPr>
        <w:t>附图</w:t>
      </w:r>
      <w:r>
        <w:rPr>
          <w:rFonts w:hint="default" w:ascii="Times New Roman" w:hAnsi="Times New Roman" w:cs="Times New Roman"/>
          <w:color w:val="auto"/>
          <w:szCs w:val="24"/>
          <w:lang w:val="en-US" w:eastAsia="zh-CN"/>
        </w:rPr>
        <w:t>9</w:t>
      </w:r>
      <w:r>
        <w:rPr>
          <w:rFonts w:hint="default" w:ascii="Times New Roman" w:hAnsi="Times New Roman" w:cs="Times New Roman"/>
          <w:color w:val="auto"/>
          <w:szCs w:val="24"/>
          <w:lang w:eastAsia="zh-CN"/>
        </w:rPr>
        <w:t>：项目所在地岳阳市云溪区规划图</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_Toc26084 \h </w:instrText>
      </w:r>
      <w:r>
        <w:rPr>
          <w:rFonts w:hint="default" w:ascii="Times New Roman" w:hAnsi="Times New Roman" w:cs="Times New Roman"/>
          <w:color w:val="auto"/>
        </w:rPr>
        <w:fldChar w:fldCharType="separate"/>
      </w:r>
      <w:r>
        <w:rPr>
          <w:rFonts w:hint="default" w:ascii="Times New Roman" w:hAnsi="Times New Roman" w:cs="Times New Roman"/>
          <w:color w:val="auto"/>
        </w:rPr>
        <w:t>209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_Toc4630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lang w:eastAsia="zh-CN"/>
        </w:rPr>
        <w:t>附图</w:t>
      </w:r>
      <w:r>
        <w:rPr>
          <w:rFonts w:hint="default" w:ascii="Times New Roman" w:hAnsi="Times New Roman" w:cs="Times New Roman"/>
          <w:color w:val="auto"/>
          <w:szCs w:val="24"/>
          <w:lang w:val="en-US" w:eastAsia="zh-CN"/>
        </w:rPr>
        <w:t>10</w:t>
      </w:r>
      <w:r>
        <w:rPr>
          <w:rFonts w:hint="default" w:ascii="Times New Roman" w:hAnsi="Times New Roman" w:cs="Times New Roman"/>
          <w:color w:val="auto"/>
          <w:szCs w:val="24"/>
          <w:lang w:eastAsia="zh-CN"/>
        </w:rPr>
        <w:t>：地表水监测断面及排水路径图</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_Toc4630 \h </w:instrText>
      </w:r>
      <w:r>
        <w:rPr>
          <w:rFonts w:hint="default" w:ascii="Times New Roman" w:hAnsi="Times New Roman" w:cs="Times New Roman"/>
          <w:color w:val="auto"/>
        </w:rPr>
        <w:fldChar w:fldCharType="separate"/>
      </w:r>
      <w:r>
        <w:rPr>
          <w:rFonts w:hint="default" w:ascii="Times New Roman" w:hAnsi="Times New Roman" w:cs="Times New Roman"/>
          <w:color w:val="auto"/>
        </w:rPr>
        <w:t>210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_Toc9530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lang w:eastAsia="zh-CN"/>
        </w:rPr>
        <w:t>附图</w:t>
      </w:r>
      <w:r>
        <w:rPr>
          <w:rFonts w:hint="default" w:ascii="Times New Roman" w:hAnsi="Times New Roman" w:cs="Times New Roman"/>
          <w:color w:val="auto"/>
          <w:szCs w:val="24"/>
          <w:lang w:val="en-US" w:eastAsia="zh-CN"/>
        </w:rPr>
        <w:t>11</w:t>
      </w:r>
      <w:r>
        <w:rPr>
          <w:rFonts w:hint="default" w:ascii="Times New Roman" w:hAnsi="Times New Roman" w:cs="Times New Roman"/>
          <w:color w:val="auto"/>
          <w:szCs w:val="24"/>
          <w:lang w:eastAsia="zh-CN"/>
        </w:rPr>
        <w:t>：巴陵石化污水处理厂与鑫达公司废水排放衔接图</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_Toc9530 \h </w:instrText>
      </w:r>
      <w:r>
        <w:rPr>
          <w:rFonts w:hint="default" w:ascii="Times New Roman" w:hAnsi="Times New Roman" w:cs="Times New Roman"/>
          <w:color w:val="auto"/>
        </w:rPr>
        <w:fldChar w:fldCharType="separate"/>
      </w:r>
      <w:r>
        <w:rPr>
          <w:rFonts w:hint="default" w:ascii="Times New Roman" w:hAnsi="Times New Roman" w:cs="Times New Roman"/>
          <w:color w:val="auto"/>
        </w:rPr>
        <w:t>211</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_Toc28627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lang w:eastAsia="zh-CN"/>
        </w:rPr>
        <w:t>附图</w:t>
      </w:r>
      <w:r>
        <w:rPr>
          <w:rFonts w:hint="default" w:ascii="Times New Roman" w:hAnsi="Times New Roman" w:cs="Times New Roman"/>
          <w:color w:val="auto"/>
          <w:szCs w:val="24"/>
          <w:lang w:val="en-US" w:eastAsia="zh-CN"/>
        </w:rPr>
        <w:t>12</w:t>
      </w:r>
      <w:r>
        <w:rPr>
          <w:rFonts w:hint="default" w:ascii="Times New Roman" w:hAnsi="Times New Roman" w:cs="Times New Roman"/>
          <w:color w:val="auto"/>
          <w:szCs w:val="24"/>
          <w:lang w:eastAsia="zh-CN"/>
        </w:rPr>
        <w:t>：鑫达催化剂项目环评现状监测土壤点位图</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_Toc28627 \h </w:instrText>
      </w:r>
      <w:r>
        <w:rPr>
          <w:rFonts w:hint="default" w:ascii="Times New Roman" w:hAnsi="Times New Roman" w:cs="Times New Roman"/>
          <w:color w:val="auto"/>
        </w:rPr>
        <w:fldChar w:fldCharType="separate"/>
      </w:r>
      <w:r>
        <w:rPr>
          <w:rFonts w:hint="default" w:ascii="Times New Roman" w:hAnsi="Times New Roman" w:cs="Times New Roman"/>
          <w:color w:val="auto"/>
        </w:rPr>
        <w:t>212</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_Toc25195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lang w:eastAsia="zh-CN"/>
        </w:rPr>
        <w:t>附图</w:t>
      </w:r>
      <w:r>
        <w:rPr>
          <w:rFonts w:hint="default" w:ascii="Times New Roman" w:hAnsi="Times New Roman" w:cs="Times New Roman"/>
          <w:color w:val="auto"/>
          <w:szCs w:val="24"/>
          <w:lang w:val="en-US" w:eastAsia="zh-CN"/>
        </w:rPr>
        <w:t>13</w:t>
      </w:r>
      <w:r>
        <w:rPr>
          <w:rFonts w:hint="default" w:ascii="Times New Roman" w:hAnsi="Times New Roman" w:cs="Times New Roman"/>
          <w:color w:val="auto"/>
          <w:szCs w:val="24"/>
          <w:lang w:eastAsia="zh-CN"/>
        </w:rPr>
        <w:t>：项目所在区域水文地质图</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_Toc25195 \h </w:instrText>
      </w:r>
      <w:r>
        <w:rPr>
          <w:rFonts w:hint="default" w:ascii="Times New Roman" w:hAnsi="Times New Roman" w:cs="Times New Roman"/>
          <w:color w:val="auto"/>
        </w:rPr>
        <w:fldChar w:fldCharType="separate"/>
      </w:r>
      <w:r>
        <w:rPr>
          <w:rFonts w:hint="default" w:ascii="Times New Roman" w:hAnsi="Times New Roman" w:cs="Times New Roman"/>
          <w:color w:val="auto"/>
        </w:rPr>
        <w:t>213</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_Toc14382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lang w:eastAsia="zh-CN"/>
        </w:rPr>
        <w:t>附图</w:t>
      </w:r>
      <w:r>
        <w:rPr>
          <w:rFonts w:hint="default" w:ascii="Times New Roman" w:hAnsi="Times New Roman" w:cs="Times New Roman"/>
          <w:color w:val="auto"/>
          <w:szCs w:val="24"/>
          <w:lang w:val="en-US" w:eastAsia="zh-CN"/>
        </w:rPr>
        <w:t>14</w:t>
      </w:r>
      <w:r>
        <w:rPr>
          <w:rFonts w:hint="default" w:ascii="Times New Roman" w:hAnsi="Times New Roman" w:cs="Times New Roman"/>
          <w:color w:val="auto"/>
          <w:szCs w:val="24"/>
          <w:lang w:eastAsia="zh-CN"/>
        </w:rPr>
        <w:t>：岳阳鑫达公司厂区地下水防治分区图</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_Toc14382 \h </w:instrText>
      </w:r>
      <w:r>
        <w:rPr>
          <w:rFonts w:hint="default" w:ascii="Times New Roman" w:hAnsi="Times New Roman" w:cs="Times New Roman"/>
          <w:color w:val="auto"/>
        </w:rPr>
        <w:fldChar w:fldCharType="separate"/>
      </w:r>
      <w:r>
        <w:rPr>
          <w:rFonts w:hint="default" w:ascii="Times New Roman" w:hAnsi="Times New Roman" w:cs="Times New Roman"/>
          <w:color w:val="auto"/>
        </w:rPr>
        <w:t>214</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_Toc5747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lang w:eastAsia="zh-CN"/>
        </w:rPr>
        <w:t>附图</w:t>
      </w:r>
      <w:r>
        <w:rPr>
          <w:rFonts w:hint="default" w:ascii="Times New Roman" w:hAnsi="Times New Roman" w:cs="Times New Roman"/>
          <w:color w:val="auto"/>
          <w:szCs w:val="24"/>
          <w:lang w:val="en-US" w:eastAsia="zh-CN"/>
        </w:rPr>
        <w:t>15</w:t>
      </w:r>
      <w:r>
        <w:rPr>
          <w:rFonts w:hint="default" w:ascii="Times New Roman" w:hAnsi="Times New Roman" w:cs="Times New Roman"/>
          <w:color w:val="auto"/>
          <w:szCs w:val="24"/>
          <w:lang w:eastAsia="zh-CN"/>
        </w:rPr>
        <w:t>：催化剂项目环评现状监测布点图</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_Toc5747 \h </w:instrText>
      </w:r>
      <w:r>
        <w:rPr>
          <w:rFonts w:hint="default" w:ascii="Times New Roman" w:hAnsi="Times New Roman" w:cs="Times New Roman"/>
          <w:color w:val="auto"/>
        </w:rPr>
        <w:fldChar w:fldCharType="separate"/>
      </w:r>
      <w:r>
        <w:rPr>
          <w:rFonts w:hint="default" w:ascii="Times New Roman" w:hAnsi="Times New Roman" w:cs="Times New Roman"/>
          <w:color w:val="auto"/>
        </w:rPr>
        <w:t>215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_Toc27199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lang w:eastAsia="zh-CN"/>
        </w:rPr>
        <w:t>附图</w:t>
      </w:r>
      <w:r>
        <w:rPr>
          <w:rFonts w:hint="default" w:ascii="Times New Roman" w:hAnsi="Times New Roman" w:cs="Times New Roman"/>
          <w:color w:val="auto"/>
          <w:szCs w:val="24"/>
          <w:lang w:val="en-US" w:eastAsia="zh-CN"/>
        </w:rPr>
        <w:t>16</w:t>
      </w:r>
      <w:r>
        <w:rPr>
          <w:rFonts w:hint="default" w:ascii="Times New Roman" w:hAnsi="Times New Roman" w:cs="Times New Roman"/>
          <w:color w:val="auto"/>
          <w:szCs w:val="24"/>
          <w:lang w:eastAsia="zh-CN"/>
        </w:rPr>
        <w:t>：催化剂项目环评现状监测地下水监测布点图</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_Toc27199 \h </w:instrText>
      </w:r>
      <w:r>
        <w:rPr>
          <w:rFonts w:hint="default" w:ascii="Times New Roman" w:hAnsi="Times New Roman" w:cs="Times New Roman"/>
          <w:color w:val="auto"/>
        </w:rPr>
        <w:fldChar w:fldCharType="separate"/>
      </w:r>
      <w:r>
        <w:rPr>
          <w:rFonts w:hint="default" w:ascii="Times New Roman" w:hAnsi="Times New Roman" w:cs="Times New Roman"/>
          <w:color w:val="auto"/>
        </w:rPr>
        <w:t>216</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_Toc18129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lang w:eastAsia="zh-CN"/>
        </w:rPr>
        <w:t>附图</w:t>
      </w:r>
      <w:r>
        <w:rPr>
          <w:rFonts w:hint="default" w:ascii="Times New Roman" w:hAnsi="Times New Roman" w:cs="Times New Roman"/>
          <w:color w:val="auto"/>
          <w:szCs w:val="24"/>
          <w:lang w:val="en-US" w:eastAsia="zh-CN"/>
        </w:rPr>
        <w:t>17</w:t>
      </w:r>
      <w:r>
        <w:rPr>
          <w:rFonts w:hint="default" w:ascii="Times New Roman" w:hAnsi="Times New Roman" w:cs="Times New Roman"/>
          <w:color w:val="auto"/>
          <w:szCs w:val="24"/>
          <w:lang w:eastAsia="zh-CN"/>
        </w:rPr>
        <w:t>：岳阳鑫达公司环境保护目标图</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_Toc18129 \h </w:instrText>
      </w:r>
      <w:r>
        <w:rPr>
          <w:rFonts w:hint="default" w:ascii="Times New Roman" w:hAnsi="Times New Roman" w:cs="Times New Roman"/>
          <w:color w:val="auto"/>
        </w:rPr>
        <w:fldChar w:fldCharType="separate"/>
      </w:r>
      <w:r>
        <w:rPr>
          <w:rFonts w:hint="default" w:ascii="Times New Roman" w:hAnsi="Times New Roman" w:cs="Times New Roman"/>
          <w:color w:val="auto"/>
        </w:rPr>
        <w:t>217</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_Toc5672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lang w:val="en-US" w:eastAsia="zh-CN"/>
        </w:rPr>
        <w:t>附图18：岳阳市云溪区生态红线分布图</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_Toc5672 \h </w:instrText>
      </w:r>
      <w:r>
        <w:rPr>
          <w:rFonts w:hint="default" w:ascii="Times New Roman" w:hAnsi="Times New Roman" w:cs="Times New Roman"/>
          <w:color w:val="auto"/>
        </w:rPr>
        <w:fldChar w:fldCharType="separate"/>
      </w:r>
      <w:r>
        <w:rPr>
          <w:rFonts w:hint="default" w:ascii="Times New Roman" w:hAnsi="Times New Roman" w:cs="Times New Roman"/>
          <w:color w:val="auto"/>
        </w:rPr>
        <w:t>218</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_Toc29230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lang w:val="en-US" w:eastAsia="zh-CN"/>
        </w:rPr>
        <w:t>附图19：岳阳市环境管控单元图</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_Toc29230 \h </w:instrText>
      </w:r>
      <w:r>
        <w:rPr>
          <w:rFonts w:hint="default" w:ascii="Times New Roman" w:hAnsi="Times New Roman" w:cs="Times New Roman"/>
          <w:color w:val="auto"/>
        </w:rPr>
        <w:fldChar w:fldCharType="separate"/>
      </w:r>
      <w:r>
        <w:rPr>
          <w:rFonts w:hint="default" w:ascii="Times New Roman" w:hAnsi="Times New Roman" w:cs="Times New Roman"/>
          <w:color w:val="auto"/>
        </w:rPr>
        <w:t>219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_Toc21614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lang w:val="en-US" w:eastAsia="zh-CN"/>
        </w:rPr>
        <w:t>附图20  网络平台、报纸、张贴公告的公示照片</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_Toc21614 \h </w:instrText>
      </w:r>
      <w:r>
        <w:rPr>
          <w:rFonts w:hint="default" w:ascii="Times New Roman" w:hAnsi="Times New Roman" w:cs="Times New Roman"/>
          <w:color w:val="auto"/>
        </w:rPr>
        <w:fldChar w:fldCharType="separate"/>
      </w:r>
      <w:r>
        <w:rPr>
          <w:rFonts w:hint="default" w:ascii="Times New Roman" w:hAnsi="Times New Roman" w:cs="Times New Roman"/>
          <w:color w:val="auto"/>
        </w:rPr>
        <w:t>220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_Toc3435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lang w:val="en-US" w:eastAsia="zh-CN"/>
        </w:rPr>
        <w:t>附图21  湖南岳阳绿色化工产业园总体规划图（2012-2030）</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_Toc3435 \h </w:instrText>
      </w:r>
      <w:r>
        <w:rPr>
          <w:rFonts w:hint="default" w:ascii="Times New Roman" w:hAnsi="Times New Roman" w:cs="Times New Roman"/>
          <w:color w:val="auto"/>
        </w:rPr>
        <w:fldChar w:fldCharType="separate"/>
      </w:r>
      <w:r>
        <w:rPr>
          <w:rFonts w:hint="default" w:ascii="Times New Roman" w:hAnsi="Times New Roman" w:cs="Times New Roman"/>
          <w:color w:val="auto"/>
        </w:rPr>
        <w:t>221</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_Toc15147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lang w:eastAsia="zh-CN"/>
        </w:rPr>
        <w:t>附图</w:t>
      </w:r>
      <w:r>
        <w:rPr>
          <w:rFonts w:hint="default" w:ascii="Times New Roman" w:hAnsi="Times New Roman" w:cs="Times New Roman"/>
          <w:color w:val="auto"/>
          <w:szCs w:val="24"/>
          <w:lang w:val="en-US" w:eastAsia="zh-CN"/>
        </w:rPr>
        <w:t>22</w:t>
      </w:r>
      <w:r>
        <w:rPr>
          <w:rFonts w:hint="default" w:ascii="Times New Roman" w:hAnsi="Times New Roman" w:cs="Times New Roman"/>
          <w:color w:val="auto"/>
          <w:szCs w:val="24"/>
          <w:lang w:eastAsia="zh-CN"/>
        </w:rPr>
        <w:t>：鑫达公司厂区环境现状照片</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_Toc15147 \h </w:instrText>
      </w:r>
      <w:r>
        <w:rPr>
          <w:rFonts w:hint="default" w:ascii="Times New Roman" w:hAnsi="Times New Roman" w:cs="Times New Roman"/>
          <w:color w:val="auto"/>
        </w:rPr>
        <w:fldChar w:fldCharType="separate"/>
      </w:r>
      <w:r>
        <w:rPr>
          <w:rFonts w:hint="default" w:ascii="Times New Roman" w:hAnsi="Times New Roman" w:cs="Times New Roman"/>
          <w:color w:val="auto"/>
        </w:rPr>
        <w:t>222</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_Toc32754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lang w:eastAsia="zh-CN"/>
        </w:rPr>
        <w:t>附图</w:t>
      </w:r>
      <w:r>
        <w:rPr>
          <w:rFonts w:hint="default" w:ascii="Times New Roman" w:hAnsi="Times New Roman" w:cs="Times New Roman"/>
          <w:color w:val="auto"/>
          <w:szCs w:val="24"/>
          <w:lang w:val="en-US" w:eastAsia="zh-CN"/>
        </w:rPr>
        <w:t>23</w:t>
      </w:r>
      <w:r>
        <w:rPr>
          <w:rFonts w:hint="default" w:ascii="Times New Roman" w:hAnsi="Times New Roman" w:cs="Times New Roman"/>
          <w:color w:val="auto"/>
          <w:szCs w:val="24"/>
          <w:lang w:eastAsia="zh-CN"/>
        </w:rPr>
        <w:t>：巴陵石化公司云溪生化装置及火炬台照片</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_Toc32754 \h </w:instrText>
      </w:r>
      <w:r>
        <w:rPr>
          <w:rFonts w:hint="default" w:ascii="Times New Roman" w:hAnsi="Times New Roman" w:cs="Times New Roman"/>
          <w:color w:val="auto"/>
        </w:rPr>
        <w:fldChar w:fldCharType="separate"/>
      </w:r>
      <w:r>
        <w:rPr>
          <w:rFonts w:hint="default" w:ascii="Times New Roman" w:hAnsi="Times New Roman" w:cs="Times New Roman"/>
          <w:color w:val="auto"/>
        </w:rPr>
        <w:t>228</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_Toc32505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lang w:eastAsia="zh-CN"/>
        </w:rPr>
        <w:t>附表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_Toc32505 \h </w:instrText>
      </w:r>
      <w:r>
        <w:rPr>
          <w:rFonts w:hint="default" w:ascii="Times New Roman" w:hAnsi="Times New Roman" w:cs="Times New Roman"/>
          <w:color w:val="auto"/>
        </w:rPr>
        <w:fldChar w:fldCharType="separate"/>
      </w:r>
      <w:r>
        <w:rPr>
          <w:rFonts w:hint="default" w:ascii="Times New Roman" w:hAnsi="Times New Roman" w:cs="Times New Roman"/>
          <w:color w:val="auto"/>
        </w:rPr>
        <w:t>229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_Toc13186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rPr>
        <w:t>附表</w:t>
      </w:r>
      <w:r>
        <w:rPr>
          <w:rFonts w:hint="default" w:ascii="Times New Roman" w:hAnsi="Times New Roman" w:cs="Times New Roman"/>
          <w:color w:val="auto"/>
          <w:szCs w:val="24"/>
          <w:lang w:val="en-US" w:eastAsia="zh-CN"/>
        </w:rPr>
        <w:t>1</w:t>
      </w:r>
      <w:r>
        <w:rPr>
          <w:rFonts w:hint="default" w:ascii="Times New Roman" w:hAnsi="Times New Roman" w:cs="Times New Roman"/>
          <w:color w:val="auto"/>
          <w:szCs w:val="24"/>
        </w:rPr>
        <w:t xml:space="preserve"> </w:t>
      </w:r>
      <w:r>
        <w:rPr>
          <w:rFonts w:hint="default" w:ascii="Times New Roman" w:hAnsi="Times New Roman" w:cs="Times New Roman"/>
          <w:color w:val="auto"/>
          <w:szCs w:val="24"/>
          <w:lang w:eastAsia="zh-CN"/>
        </w:rPr>
        <w:t>建设项目环评审批基础信息表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_Toc13186 \h </w:instrText>
      </w:r>
      <w:r>
        <w:rPr>
          <w:rFonts w:hint="default" w:ascii="Times New Roman" w:hAnsi="Times New Roman" w:cs="Times New Roman"/>
          <w:color w:val="auto"/>
        </w:rPr>
        <w:fldChar w:fldCharType="separate"/>
      </w:r>
      <w:r>
        <w:rPr>
          <w:rFonts w:hint="default" w:ascii="Times New Roman" w:hAnsi="Times New Roman" w:cs="Times New Roman"/>
          <w:color w:val="auto"/>
        </w:rPr>
        <w:t>229</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_Toc29687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rPr>
        <w:t>附表</w:t>
      </w:r>
      <w:r>
        <w:rPr>
          <w:rFonts w:hint="default" w:ascii="Times New Roman" w:hAnsi="Times New Roman" w:cs="Times New Roman"/>
          <w:color w:val="auto"/>
          <w:szCs w:val="24"/>
          <w:lang w:val="en-US" w:eastAsia="zh-CN"/>
        </w:rPr>
        <w:t>2</w:t>
      </w:r>
      <w:r>
        <w:rPr>
          <w:rFonts w:hint="default" w:ascii="Times New Roman" w:hAnsi="Times New Roman" w:cs="Times New Roman"/>
          <w:color w:val="auto"/>
          <w:szCs w:val="24"/>
        </w:rPr>
        <w:t xml:space="preserve">  大气环境影响评价自查表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_Toc29687 \h </w:instrText>
      </w:r>
      <w:r>
        <w:rPr>
          <w:rFonts w:hint="default" w:ascii="Times New Roman" w:hAnsi="Times New Roman" w:cs="Times New Roman"/>
          <w:color w:val="auto"/>
        </w:rPr>
        <w:fldChar w:fldCharType="separate"/>
      </w:r>
      <w:r>
        <w:rPr>
          <w:rFonts w:hint="default" w:ascii="Times New Roman" w:hAnsi="Times New Roman" w:cs="Times New Roman"/>
          <w:color w:val="auto"/>
        </w:rPr>
        <w:t>230</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_Toc32666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rPr>
        <w:t>附表</w:t>
      </w:r>
      <w:r>
        <w:rPr>
          <w:rFonts w:hint="default" w:ascii="Times New Roman" w:hAnsi="Times New Roman" w:cs="Times New Roman"/>
          <w:color w:val="auto"/>
          <w:szCs w:val="24"/>
          <w:lang w:val="en-US" w:eastAsia="zh-CN"/>
        </w:rPr>
        <w:t>3</w:t>
      </w:r>
      <w:r>
        <w:rPr>
          <w:rFonts w:hint="default" w:ascii="Times New Roman" w:hAnsi="Times New Roman" w:cs="Times New Roman"/>
          <w:color w:val="auto"/>
          <w:szCs w:val="24"/>
        </w:rPr>
        <w:t xml:space="preserve"> 地表水环境影响评价自查表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_Toc32666 \h </w:instrText>
      </w:r>
      <w:r>
        <w:rPr>
          <w:rFonts w:hint="default" w:ascii="Times New Roman" w:hAnsi="Times New Roman" w:cs="Times New Roman"/>
          <w:color w:val="auto"/>
        </w:rPr>
        <w:fldChar w:fldCharType="separate"/>
      </w:r>
      <w:r>
        <w:rPr>
          <w:rFonts w:hint="default" w:ascii="Times New Roman" w:hAnsi="Times New Roman" w:cs="Times New Roman"/>
          <w:color w:val="auto"/>
        </w:rPr>
        <w:t>231</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_Toc32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rPr>
        <w:t>附表</w:t>
      </w:r>
      <w:r>
        <w:rPr>
          <w:rFonts w:hint="default" w:ascii="Times New Roman" w:hAnsi="Times New Roman" w:cs="Times New Roman"/>
          <w:color w:val="auto"/>
          <w:szCs w:val="24"/>
          <w:lang w:val="en-US" w:eastAsia="zh-CN"/>
        </w:rPr>
        <w:t>4</w:t>
      </w:r>
      <w:r>
        <w:rPr>
          <w:rFonts w:hint="default" w:ascii="Times New Roman" w:hAnsi="Times New Roman" w:cs="Times New Roman"/>
          <w:color w:val="auto"/>
          <w:szCs w:val="24"/>
        </w:rPr>
        <w:t xml:space="preserve">  环境风险评价自查表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_Toc32 \h </w:instrText>
      </w:r>
      <w:r>
        <w:rPr>
          <w:rFonts w:hint="default" w:ascii="Times New Roman" w:hAnsi="Times New Roman" w:cs="Times New Roman"/>
          <w:color w:val="auto"/>
        </w:rPr>
        <w:fldChar w:fldCharType="separate"/>
      </w:r>
      <w:r>
        <w:rPr>
          <w:rFonts w:hint="default" w:ascii="Times New Roman" w:hAnsi="Times New Roman" w:cs="Times New Roman"/>
          <w:color w:val="auto"/>
        </w:rPr>
        <w:t>23</w:t>
      </w:r>
      <w:r>
        <w:rPr>
          <w:rFonts w:hint="eastAsia" w:cs="Times New Roman"/>
          <w:color w:val="auto"/>
          <w:lang w:val="en-US" w:eastAsia="zh-CN"/>
        </w:rPr>
        <w:t>4</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pStyle w:val="21"/>
        <w:keepNext w:val="0"/>
        <w:keepLines w:val="0"/>
        <w:pageBreakBefore w:val="0"/>
        <w:widowControl w:val="0"/>
        <w:tabs>
          <w:tab w:val="right" w:leader="dot" w:pos="8787"/>
        </w:tabs>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_Toc20828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szCs w:val="24"/>
        </w:rPr>
        <w:t>附表</w:t>
      </w:r>
      <w:r>
        <w:rPr>
          <w:rFonts w:hint="default" w:ascii="Times New Roman" w:hAnsi="Times New Roman" w:cs="Times New Roman"/>
          <w:color w:val="auto"/>
          <w:szCs w:val="24"/>
          <w:lang w:val="en-US" w:eastAsia="zh-CN"/>
        </w:rPr>
        <w:t>5</w:t>
      </w:r>
      <w:r>
        <w:rPr>
          <w:rFonts w:hint="default" w:ascii="Times New Roman" w:hAnsi="Times New Roman" w:cs="Times New Roman"/>
          <w:color w:val="auto"/>
          <w:szCs w:val="24"/>
        </w:rPr>
        <w:t xml:space="preserve">  土壤环境影响评价自查表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_Toc20828 \h </w:instrText>
      </w:r>
      <w:r>
        <w:rPr>
          <w:rFonts w:hint="default" w:ascii="Times New Roman" w:hAnsi="Times New Roman" w:cs="Times New Roman"/>
          <w:color w:val="auto"/>
        </w:rPr>
        <w:fldChar w:fldCharType="separate"/>
      </w:r>
      <w:r>
        <w:rPr>
          <w:rFonts w:hint="default" w:ascii="Times New Roman" w:hAnsi="Times New Roman" w:cs="Times New Roman"/>
          <w:color w:val="auto"/>
        </w:rPr>
        <w:t>23</w:t>
      </w:r>
      <w:r>
        <w:rPr>
          <w:rFonts w:hint="eastAsia" w:cs="Times New Roman"/>
          <w:color w:val="auto"/>
          <w:lang w:val="en-US" w:eastAsia="zh-CN"/>
        </w:rPr>
        <w:t>5</w:t>
      </w:r>
      <w:r>
        <w:rPr>
          <w:rFonts w:hint="default" w:ascii="Times New Roman" w:hAnsi="Times New Roman" w:cs="Times New Roman"/>
          <w:color w:val="auto"/>
        </w:rPr>
        <w:fldChar w:fldCharType="end"/>
      </w:r>
      <w:r>
        <w:rPr>
          <w:rFonts w:hint="default" w:ascii="Times New Roman" w:hAnsi="Times New Roman" w:eastAsia="宋体" w:cs="Times New Roman"/>
          <w:color w:val="auto"/>
        </w:rPr>
        <w:fldChar w:fldCharType="end"/>
      </w:r>
    </w:p>
    <w:p>
      <w:pPr>
        <w:keepNext w:val="0"/>
        <w:keepLines w:val="0"/>
        <w:pageBreakBefore w:val="0"/>
        <w:widowControl w:val="0"/>
        <w:kinsoku/>
        <w:wordWrap/>
        <w:overflowPunct/>
        <w:topLinePunct w:val="0"/>
        <w:autoSpaceDE/>
        <w:autoSpaceDN/>
        <w:bidi w:val="0"/>
        <w:adjustRightInd w:val="0"/>
        <w:snapToGrid w:val="0"/>
        <w:spacing w:line="330" w:lineRule="exact"/>
        <w:textAlignment w:val="auto"/>
        <w:rPr>
          <w:rFonts w:hint="default" w:ascii="Times New Roman" w:hAnsi="Times New Roman" w:cs="Times New Roman"/>
          <w:color w:val="auto"/>
        </w:rPr>
        <w:sectPr>
          <w:headerReference r:id="rId8" w:type="default"/>
          <w:footerReference r:id="rId9" w:type="default"/>
          <w:pgSz w:w="11905" w:h="16838"/>
          <w:pgMar w:top="1417" w:right="1417" w:bottom="1134" w:left="1701" w:header="850" w:footer="992" w:gutter="0"/>
          <w:pgBorders>
            <w:top w:val="none" w:sz="0" w:space="0"/>
            <w:left w:val="none" w:sz="0" w:space="0"/>
            <w:bottom w:val="none" w:sz="0" w:space="0"/>
            <w:right w:val="none" w:sz="0" w:space="0"/>
          </w:pgBorders>
          <w:pgNumType w:fmt="lowerRoman" w:start="1"/>
          <w:cols w:space="0" w:num="1"/>
          <w:rtlGutter w:val="0"/>
          <w:docGrid w:linePitch="312" w:charSpace="0"/>
        </w:sectPr>
      </w:pPr>
      <w:r>
        <w:rPr>
          <w:rFonts w:hint="default" w:ascii="Times New Roman" w:hAnsi="Times New Roman" w:eastAsia="宋体" w:cs="Times New Roman"/>
          <w:color w:val="auto"/>
        </w:rPr>
        <w:fldChar w:fldCharType="end"/>
      </w:r>
    </w:p>
    <w:p>
      <w:pPr>
        <w:bidi w:val="0"/>
        <w:spacing w:line="360" w:lineRule="auto"/>
        <w:jc w:val="center"/>
        <w:rPr>
          <w:rFonts w:hint="default" w:ascii="Times New Roman" w:hAnsi="Times New Roman" w:cs="Times New Roman"/>
          <w:b/>
          <w:bCs/>
          <w:color w:val="auto"/>
          <w:kern w:val="44"/>
          <w:sz w:val="24"/>
          <w:szCs w:val="24"/>
          <w:lang w:val="en-US" w:eastAsia="zh-CN" w:bidi="ar-SA"/>
        </w:rPr>
      </w:pPr>
      <w:bookmarkStart w:id="19" w:name="_Toc5049"/>
      <w:bookmarkStart w:id="20" w:name="_Toc21080"/>
      <w:bookmarkStart w:id="21" w:name="_Toc24729"/>
      <w:bookmarkStart w:id="22" w:name="_Toc30690"/>
      <w:bookmarkStart w:id="23" w:name="_Toc21994"/>
      <w:bookmarkStart w:id="24" w:name="_Toc13324"/>
      <w:r>
        <w:rPr>
          <w:rFonts w:hint="default" w:ascii="Times New Roman" w:hAnsi="Times New Roman" w:cs="Times New Roman"/>
          <w:b/>
          <w:bCs/>
          <w:color w:val="auto"/>
          <w:kern w:val="44"/>
          <w:sz w:val="24"/>
          <w:szCs w:val="24"/>
          <w:lang w:val="en-US" w:eastAsia="zh-CN" w:bidi="ar-SA"/>
        </w:rPr>
        <w:t>岳阳鑫达实业有限公司500吨/年加氢催化剂生产项目</w:t>
      </w:r>
      <w:bookmarkEnd w:id="19"/>
      <w:bookmarkEnd w:id="20"/>
      <w:bookmarkEnd w:id="21"/>
      <w:bookmarkEnd w:id="22"/>
      <w:bookmarkEnd w:id="23"/>
      <w:bookmarkEnd w:id="24"/>
    </w:p>
    <w:p>
      <w:pPr>
        <w:bidi w:val="0"/>
        <w:spacing w:line="360" w:lineRule="auto"/>
        <w:jc w:val="center"/>
        <w:rPr>
          <w:rFonts w:hint="default" w:ascii="Times New Roman" w:hAnsi="Times New Roman" w:cs="Times New Roman"/>
          <w:b/>
          <w:bCs/>
          <w:color w:val="auto"/>
          <w:kern w:val="44"/>
          <w:sz w:val="24"/>
          <w:szCs w:val="24"/>
          <w:lang w:val="en-US" w:eastAsia="zh-CN" w:bidi="ar-SA"/>
        </w:rPr>
      </w:pPr>
      <w:bookmarkStart w:id="25" w:name="_Toc9085"/>
      <w:bookmarkStart w:id="26" w:name="_Toc6817"/>
      <w:bookmarkStart w:id="27" w:name="_Toc20786"/>
      <w:bookmarkStart w:id="28" w:name="_Toc14608"/>
      <w:bookmarkStart w:id="29" w:name="_Toc6404"/>
      <w:bookmarkStart w:id="30" w:name="_Toc6367"/>
      <w:r>
        <w:rPr>
          <w:rFonts w:hint="default" w:ascii="Times New Roman" w:hAnsi="Times New Roman" w:cs="Times New Roman"/>
          <w:b/>
          <w:bCs/>
          <w:color w:val="auto"/>
          <w:kern w:val="44"/>
          <w:sz w:val="24"/>
          <w:szCs w:val="24"/>
          <w:lang w:val="en-US" w:eastAsia="zh-CN" w:bidi="ar-SA"/>
        </w:rPr>
        <w:t>环境影响报告书专家评审意见修改说明</w:t>
      </w:r>
      <w:bookmarkEnd w:id="25"/>
      <w:bookmarkEnd w:id="26"/>
      <w:bookmarkEnd w:id="27"/>
      <w:bookmarkEnd w:id="28"/>
      <w:bookmarkEnd w:id="29"/>
      <w:bookmarkEnd w:id="30"/>
    </w:p>
    <w:tbl>
      <w:tblPr>
        <w:tblStyle w:val="25"/>
        <w:tblW w:w="107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75"/>
        <w:gridCol w:w="3463"/>
        <w:gridCol w:w="56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2" w:hRule="atLeast"/>
          <w:tblHeader/>
          <w:jc w:val="center"/>
        </w:trPr>
        <w:tc>
          <w:tcPr>
            <w:tcW w:w="16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章节</w:t>
            </w:r>
          </w:p>
        </w:tc>
        <w:tc>
          <w:tcPr>
            <w:tcW w:w="346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专家评审意见</w:t>
            </w:r>
          </w:p>
        </w:tc>
        <w:tc>
          <w:tcPr>
            <w:tcW w:w="560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修改说明</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（修改的地方在报告中用下划线表示出来）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0" w:hRule="atLeast"/>
          <w:tblHeader/>
          <w:jc w:val="center"/>
        </w:trPr>
        <w:tc>
          <w:tcPr>
            <w:tcW w:w="1675"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一、项目概况</w:t>
            </w:r>
          </w:p>
        </w:tc>
        <w:tc>
          <w:tcPr>
            <w:tcW w:w="346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1、完善项目建设背景，核实评价依据，完善评价因子。</w:t>
            </w:r>
          </w:p>
        </w:tc>
        <w:tc>
          <w:tcPr>
            <w:tcW w:w="560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已</w:t>
            </w:r>
            <w:r>
              <w:rPr>
                <w:rFonts w:hint="default" w:ascii="Times New Roman" w:hAnsi="Times New Roman" w:eastAsia="宋体" w:cs="Times New Roman"/>
                <w:color w:val="auto"/>
                <w:sz w:val="21"/>
                <w:szCs w:val="21"/>
              </w:rPr>
              <w:t>完善项目建设背景</w:t>
            </w:r>
            <w:r>
              <w:rPr>
                <w:rFonts w:hint="default" w:ascii="Times New Roman" w:hAnsi="Times New Roman" w:eastAsia="宋体" w:cs="Times New Roman"/>
                <w:color w:val="auto"/>
                <w:sz w:val="21"/>
                <w:szCs w:val="21"/>
                <w:lang w:eastAsia="zh-CN"/>
              </w:rPr>
              <w:t>，详见</w:t>
            </w:r>
            <w:r>
              <w:rPr>
                <w:rFonts w:hint="default" w:ascii="Times New Roman" w:hAnsi="Times New Roman" w:eastAsia="宋体" w:cs="Times New Roman"/>
                <w:color w:val="auto"/>
                <w:sz w:val="21"/>
                <w:szCs w:val="21"/>
                <w:lang w:val="en-US" w:eastAsia="zh-CN"/>
              </w:rPr>
              <w:t>P</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评价依据</w:t>
            </w:r>
            <w:r>
              <w:rPr>
                <w:rFonts w:hint="default" w:ascii="Times New Roman" w:hAnsi="Times New Roman" w:eastAsia="宋体" w:cs="Times New Roman"/>
                <w:color w:val="auto"/>
                <w:sz w:val="21"/>
                <w:szCs w:val="21"/>
                <w:lang w:eastAsia="zh-CN"/>
              </w:rPr>
              <w:t>已</w:t>
            </w:r>
            <w:r>
              <w:rPr>
                <w:rFonts w:hint="default" w:ascii="Times New Roman" w:hAnsi="Times New Roman" w:eastAsia="宋体" w:cs="Times New Roman"/>
                <w:color w:val="auto"/>
                <w:sz w:val="21"/>
                <w:szCs w:val="21"/>
              </w:rPr>
              <w:t>核实，</w:t>
            </w:r>
            <w:r>
              <w:rPr>
                <w:rFonts w:hint="default" w:ascii="Times New Roman" w:hAnsi="Times New Roman" w:eastAsia="宋体" w:cs="Times New Roman"/>
                <w:color w:val="auto"/>
                <w:sz w:val="21"/>
                <w:szCs w:val="21"/>
                <w:lang w:eastAsia="zh-CN"/>
              </w:rPr>
              <w:t>详见</w:t>
            </w:r>
            <w:r>
              <w:rPr>
                <w:rFonts w:hint="default" w:ascii="Times New Roman" w:hAnsi="Times New Roman" w:eastAsia="宋体" w:cs="Times New Roman"/>
                <w:color w:val="auto"/>
                <w:sz w:val="21"/>
                <w:szCs w:val="21"/>
                <w:lang w:val="en-US" w:eastAsia="zh-CN"/>
              </w:rPr>
              <w:t>P</w:t>
            </w:r>
            <w:r>
              <w:rPr>
                <w:rFonts w:hint="eastAsia" w:cs="Times New Roman"/>
                <w:color w:val="auto"/>
                <w:sz w:val="21"/>
                <w:szCs w:val="21"/>
                <w:lang w:val="en-US" w:eastAsia="zh-CN"/>
              </w:rPr>
              <w:t>10-13</w:t>
            </w:r>
            <w:r>
              <w:rPr>
                <w:rFonts w:hint="default" w:ascii="Times New Roman" w:hAnsi="Times New Roman" w:eastAsia="宋体" w:cs="Times New Roman"/>
                <w:color w:val="auto"/>
                <w:sz w:val="21"/>
                <w:szCs w:val="21"/>
                <w:lang w:val="en-US" w:eastAsia="zh-CN"/>
              </w:rPr>
              <w:t>、P22。</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评价因子</w:t>
            </w:r>
            <w:r>
              <w:rPr>
                <w:rFonts w:hint="default" w:ascii="Times New Roman" w:hAnsi="Times New Roman" w:eastAsia="宋体" w:cs="Times New Roman"/>
                <w:color w:val="auto"/>
                <w:sz w:val="21"/>
                <w:szCs w:val="21"/>
                <w:lang w:eastAsia="zh-CN"/>
              </w:rPr>
              <w:t>已</w:t>
            </w:r>
            <w:r>
              <w:rPr>
                <w:rFonts w:hint="default" w:ascii="Times New Roman" w:hAnsi="Times New Roman" w:eastAsia="宋体" w:cs="Times New Roman"/>
                <w:color w:val="auto"/>
                <w:sz w:val="21"/>
                <w:szCs w:val="21"/>
              </w:rPr>
              <w:t>完善</w:t>
            </w:r>
            <w:r>
              <w:rPr>
                <w:rFonts w:hint="default" w:ascii="Times New Roman" w:hAnsi="Times New Roman" w:eastAsia="宋体" w:cs="Times New Roman"/>
                <w:color w:val="auto"/>
                <w:sz w:val="21"/>
                <w:szCs w:val="21"/>
                <w:lang w:eastAsia="zh-CN"/>
              </w:rPr>
              <w:t>，详见</w:t>
            </w:r>
            <w:r>
              <w:rPr>
                <w:rFonts w:hint="default" w:ascii="Times New Roman" w:hAnsi="Times New Roman" w:eastAsia="宋体" w:cs="Times New Roman"/>
                <w:color w:val="auto"/>
                <w:sz w:val="21"/>
                <w:szCs w:val="21"/>
                <w:lang w:val="en-US" w:eastAsia="zh-CN"/>
              </w:rPr>
              <w:t>P</w:t>
            </w:r>
            <w:r>
              <w:rPr>
                <w:rFonts w:hint="eastAsia" w:cs="Times New Roman"/>
                <w:color w:val="auto"/>
                <w:sz w:val="21"/>
                <w:szCs w:val="21"/>
                <w:lang w:val="en-US" w:eastAsia="zh-CN"/>
              </w:rPr>
              <w:t>16</w:t>
            </w:r>
            <w:r>
              <w:rPr>
                <w:rFonts w:hint="default" w:ascii="Times New Roman" w:hAnsi="Times New Roman" w:eastAsia="宋体" w:cs="Times New Roman"/>
                <w:color w:val="auto"/>
                <w:sz w:val="21"/>
                <w:szCs w:val="21"/>
                <w:lang w:val="en-US" w:eastAsia="zh-CN"/>
              </w:rPr>
              <w:t>，表2-2。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80" w:hRule="atLeast"/>
          <w:tblHeader/>
          <w:jc w:val="center"/>
        </w:trPr>
        <w:tc>
          <w:tcPr>
            <w:tcW w:w="167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346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2、核实细化建设内容一览表，明确依托工程并分析依托可靠性，说明异辛酸、30%液碱、硝酸镍、环己烷储存方式、最大储存量，核实能源消耗情况，核实设备规格，核实产品方案，完善产品理化性质。</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560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建设内容一览表</w:t>
            </w:r>
            <w:r>
              <w:rPr>
                <w:rFonts w:hint="default" w:ascii="Times New Roman" w:hAnsi="Times New Roman" w:eastAsia="宋体" w:cs="Times New Roman"/>
                <w:color w:val="auto"/>
                <w:sz w:val="21"/>
                <w:szCs w:val="21"/>
                <w:lang w:eastAsia="zh-CN"/>
              </w:rPr>
              <w:t>已</w:t>
            </w:r>
            <w:r>
              <w:rPr>
                <w:rFonts w:hint="default" w:ascii="Times New Roman" w:hAnsi="Times New Roman" w:eastAsia="宋体" w:cs="Times New Roman"/>
                <w:color w:val="auto"/>
                <w:sz w:val="21"/>
                <w:szCs w:val="21"/>
              </w:rPr>
              <w:t>核实细化，</w:t>
            </w:r>
            <w:r>
              <w:rPr>
                <w:rFonts w:hint="default" w:ascii="Times New Roman" w:hAnsi="Times New Roman" w:eastAsia="宋体" w:cs="Times New Roman"/>
                <w:color w:val="auto"/>
                <w:sz w:val="21"/>
                <w:szCs w:val="21"/>
                <w:lang w:eastAsia="zh-CN"/>
              </w:rPr>
              <w:t>详见</w:t>
            </w:r>
            <w:r>
              <w:rPr>
                <w:rFonts w:hint="default" w:ascii="Times New Roman" w:hAnsi="Times New Roman" w:eastAsia="宋体" w:cs="Times New Roman"/>
                <w:color w:val="auto"/>
                <w:sz w:val="21"/>
                <w:szCs w:val="21"/>
                <w:lang w:val="en-US" w:eastAsia="zh-CN"/>
              </w:rPr>
              <w:t>P</w:t>
            </w:r>
            <w:r>
              <w:rPr>
                <w:rFonts w:hint="eastAsia" w:cs="Times New Roman"/>
                <w:color w:val="auto"/>
                <w:sz w:val="21"/>
                <w:szCs w:val="21"/>
                <w:lang w:val="en-US" w:eastAsia="zh-CN"/>
              </w:rPr>
              <w:t>43</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STYLEREF 1 \s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lang w:val="en-US" w:eastAsia="zh-CN"/>
              </w:rPr>
              <w:t>-13。</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已</w:t>
            </w:r>
            <w:r>
              <w:rPr>
                <w:rFonts w:hint="default" w:ascii="Times New Roman" w:hAnsi="Times New Roman" w:eastAsia="宋体" w:cs="Times New Roman"/>
                <w:color w:val="auto"/>
                <w:sz w:val="21"/>
                <w:szCs w:val="21"/>
              </w:rPr>
              <w:t>明确依托工程并分析依托可靠性，</w:t>
            </w:r>
            <w:r>
              <w:rPr>
                <w:rFonts w:hint="default" w:ascii="Times New Roman" w:hAnsi="Times New Roman" w:eastAsia="宋体" w:cs="Times New Roman"/>
                <w:color w:val="auto"/>
                <w:sz w:val="21"/>
                <w:szCs w:val="21"/>
                <w:lang w:eastAsia="zh-CN"/>
              </w:rPr>
              <w:t>详见</w:t>
            </w:r>
            <w:r>
              <w:rPr>
                <w:rFonts w:hint="default" w:ascii="Times New Roman" w:hAnsi="Times New Roman" w:eastAsia="宋体" w:cs="Times New Roman"/>
                <w:color w:val="auto"/>
                <w:sz w:val="21"/>
                <w:szCs w:val="21"/>
                <w:lang w:val="en-US" w:eastAsia="zh-CN"/>
              </w:rPr>
              <w:t>P</w:t>
            </w:r>
            <w:r>
              <w:rPr>
                <w:rFonts w:hint="eastAsia" w:cs="Times New Roman"/>
                <w:color w:val="auto"/>
                <w:sz w:val="21"/>
                <w:szCs w:val="21"/>
                <w:lang w:val="en-US" w:eastAsia="zh-CN"/>
              </w:rPr>
              <w:t>44-45</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 xml:space="preserve">表 </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STYLEREF 1 \s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lang w:val="en-US" w:eastAsia="zh-CN"/>
              </w:rPr>
              <w:t>-15。</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已</w:t>
            </w:r>
            <w:r>
              <w:rPr>
                <w:rFonts w:hint="default" w:ascii="Times New Roman" w:hAnsi="Times New Roman" w:eastAsia="宋体" w:cs="Times New Roman"/>
                <w:color w:val="auto"/>
                <w:sz w:val="21"/>
                <w:szCs w:val="21"/>
              </w:rPr>
              <w:t>说明异辛酸、30%液碱、硝酸镍、环己烷储存方式、最大储存量，</w:t>
            </w:r>
            <w:r>
              <w:rPr>
                <w:rFonts w:hint="default" w:ascii="Times New Roman" w:hAnsi="Times New Roman" w:eastAsia="宋体" w:cs="Times New Roman"/>
                <w:color w:val="auto"/>
                <w:sz w:val="21"/>
                <w:szCs w:val="21"/>
                <w:lang w:eastAsia="zh-CN"/>
              </w:rPr>
              <w:t>详见</w:t>
            </w:r>
            <w:r>
              <w:rPr>
                <w:rFonts w:hint="default" w:ascii="Times New Roman" w:hAnsi="Times New Roman" w:eastAsia="宋体" w:cs="Times New Roman"/>
                <w:color w:val="auto"/>
                <w:sz w:val="21"/>
                <w:szCs w:val="21"/>
                <w:lang w:val="en-US" w:eastAsia="zh-CN"/>
              </w:rPr>
              <w:t>P</w:t>
            </w:r>
            <w:r>
              <w:rPr>
                <w:rFonts w:hint="eastAsia" w:cs="Times New Roman"/>
                <w:color w:val="auto"/>
                <w:sz w:val="21"/>
                <w:szCs w:val="21"/>
                <w:lang w:val="en-US" w:eastAsia="zh-CN"/>
              </w:rPr>
              <w:t>47</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STYLEREF 1 \s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lang w:val="en-US" w:eastAsia="zh-CN"/>
              </w:rPr>
              <w:t>-16。</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能源消耗情况</w:t>
            </w:r>
            <w:r>
              <w:rPr>
                <w:rFonts w:hint="default" w:ascii="Times New Roman" w:hAnsi="Times New Roman" w:eastAsia="宋体" w:cs="Times New Roman"/>
                <w:color w:val="auto"/>
                <w:sz w:val="21"/>
                <w:szCs w:val="21"/>
                <w:lang w:eastAsia="zh-CN"/>
              </w:rPr>
              <w:t>已</w:t>
            </w:r>
            <w:r>
              <w:rPr>
                <w:rFonts w:hint="default" w:ascii="Times New Roman" w:hAnsi="Times New Roman" w:eastAsia="宋体" w:cs="Times New Roman"/>
                <w:color w:val="auto"/>
                <w:sz w:val="21"/>
                <w:szCs w:val="21"/>
              </w:rPr>
              <w:t>核实，</w:t>
            </w:r>
            <w:r>
              <w:rPr>
                <w:rFonts w:hint="default" w:ascii="Times New Roman" w:hAnsi="Times New Roman" w:eastAsia="宋体" w:cs="Times New Roman"/>
                <w:color w:val="auto"/>
                <w:sz w:val="21"/>
                <w:szCs w:val="21"/>
                <w:lang w:eastAsia="zh-CN"/>
              </w:rPr>
              <w:t>详见</w:t>
            </w:r>
            <w:r>
              <w:rPr>
                <w:rFonts w:hint="default" w:ascii="Times New Roman" w:hAnsi="Times New Roman" w:eastAsia="宋体" w:cs="Times New Roman"/>
                <w:color w:val="auto"/>
                <w:sz w:val="21"/>
                <w:szCs w:val="21"/>
                <w:lang w:val="en-US" w:eastAsia="zh-CN"/>
              </w:rPr>
              <w:t>P</w:t>
            </w:r>
            <w:r>
              <w:rPr>
                <w:rFonts w:hint="eastAsia" w:cs="Times New Roman"/>
                <w:color w:val="auto"/>
                <w:sz w:val="21"/>
                <w:szCs w:val="21"/>
                <w:lang w:val="en-US" w:eastAsia="zh-CN"/>
              </w:rPr>
              <w:t>46</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STYLEREF 1 \s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lang w:val="en-US" w:eastAsia="zh-CN"/>
              </w:rPr>
              <w:t>-18。</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设备规格</w:t>
            </w:r>
            <w:r>
              <w:rPr>
                <w:rFonts w:hint="default" w:ascii="Times New Roman" w:hAnsi="Times New Roman" w:eastAsia="宋体" w:cs="Times New Roman"/>
                <w:color w:val="auto"/>
                <w:sz w:val="21"/>
                <w:szCs w:val="21"/>
                <w:lang w:eastAsia="zh-CN"/>
              </w:rPr>
              <w:t>已</w:t>
            </w:r>
            <w:r>
              <w:rPr>
                <w:rFonts w:hint="default" w:ascii="Times New Roman" w:hAnsi="Times New Roman" w:eastAsia="宋体" w:cs="Times New Roman"/>
                <w:color w:val="auto"/>
                <w:sz w:val="21"/>
                <w:szCs w:val="21"/>
              </w:rPr>
              <w:t>核实，</w:t>
            </w:r>
            <w:r>
              <w:rPr>
                <w:rFonts w:hint="default" w:ascii="Times New Roman" w:hAnsi="Times New Roman" w:eastAsia="宋体" w:cs="Times New Roman"/>
                <w:color w:val="auto"/>
                <w:sz w:val="21"/>
                <w:szCs w:val="21"/>
                <w:lang w:eastAsia="zh-CN"/>
              </w:rPr>
              <w:t>详见</w:t>
            </w:r>
            <w:r>
              <w:rPr>
                <w:rFonts w:hint="default" w:ascii="Times New Roman" w:hAnsi="Times New Roman" w:eastAsia="宋体" w:cs="Times New Roman"/>
                <w:color w:val="auto"/>
                <w:sz w:val="21"/>
                <w:szCs w:val="21"/>
                <w:lang w:val="en-US" w:eastAsia="zh-CN"/>
              </w:rPr>
              <w:t>P</w:t>
            </w:r>
            <w:r>
              <w:rPr>
                <w:rFonts w:hint="eastAsia" w:cs="Times New Roman"/>
                <w:color w:val="auto"/>
                <w:sz w:val="21"/>
                <w:szCs w:val="21"/>
                <w:lang w:val="en-US" w:eastAsia="zh-CN"/>
              </w:rPr>
              <w:t>47</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STYLEREF 1 \s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lang w:val="en-US" w:eastAsia="zh-CN"/>
              </w:rPr>
              <w:t>-19。</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产品方案</w:t>
            </w:r>
            <w:r>
              <w:rPr>
                <w:rFonts w:hint="default" w:ascii="Times New Roman" w:hAnsi="Times New Roman" w:eastAsia="宋体" w:cs="Times New Roman"/>
                <w:color w:val="auto"/>
                <w:sz w:val="21"/>
                <w:szCs w:val="21"/>
                <w:lang w:eastAsia="zh-CN"/>
              </w:rPr>
              <w:t>已</w:t>
            </w:r>
            <w:r>
              <w:rPr>
                <w:rFonts w:hint="default" w:ascii="Times New Roman" w:hAnsi="Times New Roman" w:eastAsia="宋体" w:cs="Times New Roman"/>
                <w:color w:val="auto"/>
                <w:sz w:val="21"/>
                <w:szCs w:val="21"/>
              </w:rPr>
              <w:t>核实，</w:t>
            </w:r>
            <w:r>
              <w:rPr>
                <w:rFonts w:hint="default" w:ascii="Times New Roman" w:hAnsi="Times New Roman" w:eastAsia="宋体" w:cs="Times New Roman"/>
                <w:color w:val="auto"/>
                <w:sz w:val="21"/>
                <w:szCs w:val="21"/>
                <w:lang w:eastAsia="zh-CN"/>
              </w:rPr>
              <w:t>详见</w:t>
            </w:r>
            <w:r>
              <w:rPr>
                <w:rFonts w:hint="default" w:ascii="Times New Roman" w:hAnsi="Times New Roman" w:eastAsia="宋体" w:cs="Times New Roman"/>
                <w:color w:val="auto"/>
                <w:sz w:val="21"/>
                <w:szCs w:val="21"/>
                <w:lang w:val="en-US" w:eastAsia="zh-CN"/>
              </w:rPr>
              <w:t>P</w:t>
            </w:r>
            <w:r>
              <w:rPr>
                <w:rFonts w:hint="eastAsia" w:cs="Times New Roman"/>
                <w:color w:val="auto"/>
                <w:sz w:val="21"/>
                <w:szCs w:val="21"/>
                <w:lang w:val="en-US" w:eastAsia="zh-CN"/>
              </w:rPr>
              <w:t>44</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STYLEREF 1 \s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lang w:val="en-US" w:eastAsia="zh-CN"/>
              </w:rPr>
              <w:t>-14。</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产品理化性质</w:t>
            </w:r>
            <w:r>
              <w:rPr>
                <w:rFonts w:hint="default" w:ascii="Times New Roman" w:hAnsi="Times New Roman" w:eastAsia="宋体" w:cs="Times New Roman"/>
                <w:color w:val="auto"/>
                <w:sz w:val="21"/>
                <w:szCs w:val="21"/>
                <w:lang w:eastAsia="zh-CN"/>
              </w:rPr>
              <w:t>已</w:t>
            </w:r>
            <w:r>
              <w:rPr>
                <w:rFonts w:hint="default" w:ascii="Times New Roman" w:hAnsi="Times New Roman" w:eastAsia="宋体" w:cs="Times New Roman"/>
                <w:color w:val="auto"/>
                <w:sz w:val="21"/>
                <w:szCs w:val="21"/>
              </w:rPr>
              <w:t>完善，</w:t>
            </w:r>
            <w:r>
              <w:rPr>
                <w:rFonts w:hint="default" w:ascii="Times New Roman" w:hAnsi="Times New Roman" w:eastAsia="宋体" w:cs="Times New Roman"/>
                <w:color w:val="auto"/>
                <w:sz w:val="21"/>
                <w:szCs w:val="21"/>
                <w:lang w:eastAsia="zh-CN"/>
              </w:rPr>
              <w:t>详见</w:t>
            </w:r>
            <w:r>
              <w:rPr>
                <w:rFonts w:hint="default" w:ascii="Times New Roman" w:hAnsi="Times New Roman" w:eastAsia="宋体" w:cs="Times New Roman"/>
                <w:color w:val="auto"/>
                <w:sz w:val="21"/>
                <w:szCs w:val="21"/>
                <w:lang w:val="en-US" w:eastAsia="zh-CN"/>
              </w:rPr>
              <w:t>P</w:t>
            </w:r>
            <w:r>
              <w:rPr>
                <w:rFonts w:hint="eastAsia" w:cs="Times New Roman"/>
                <w:color w:val="auto"/>
                <w:sz w:val="21"/>
                <w:szCs w:val="21"/>
                <w:lang w:val="en-US" w:eastAsia="zh-CN"/>
              </w:rPr>
              <w:t>45-46</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STYLEREF 1 \s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lang w:val="en-US" w:eastAsia="zh-CN"/>
              </w:rPr>
              <w:t>-17。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17" w:hRule="atLeast"/>
          <w:tblHeader/>
          <w:jc w:val="center"/>
        </w:trPr>
        <w:tc>
          <w:tcPr>
            <w:tcW w:w="167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346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3、核实评价标准；补充大气评价等级及评价范围，核实地表水、风险评价等级，核实地下水评价范围。</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560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评价标准</w:t>
            </w:r>
            <w:r>
              <w:rPr>
                <w:rFonts w:hint="default" w:ascii="Times New Roman" w:hAnsi="Times New Roman" w:eastAsia="宋体" w:cs="Times New Roman"/>
                <w:color w:val="auto"/>
                <w:sz w:val="21"/>
                <w:szCs w:val="21"/>
                <w:lang w:eastAsia="zh-CN"/>
              </w:rPr>
              <w:t>已</w:t>
            </w:r>
            <w:r>
              <w:rPr>
                <w:rFonts w:hint="default" w:ascii="Times New Roman" w:hAnsi="Times New Roman" w:eastAsia="宋体" w:cs="Times New Roman"/>
                <w:color w:val="auto"/>
                <w:sz w:val="21"/>
                <w:szCs w:val="21"/>
              </w:rPr>
              <w:t>核实</w:t>
            </w:r>
            <w:r>
              <w:rPr>
                <w:rFonts w:hint="default" w:ascii="Times New Roman" w:hAnsi="Times New Roman" w:eastAsia="宋体" w:cs="Times New Roman"/>
                <w:color w:val="auto"/>
                <w:sz w:val="21"/>
                <w:szCs w:val="21"/>
                <w:lang w:eastAsia="zh-CN"/>
              </w:rPr>
              <w:t>，详见</w:t>
            </w:r>
            <w:r>
              <w:rPr>
                <w:rFonts w:hint="default" w:ascii="Times New Roman" w:hAnsi="Times New Roman" w:eastAsia="宋体" w:cs="Times New Roman"/>
                <w:color w:val="auto"/>
                <w:sz w:val="21"/>
                <w:szCs w:val="21"/>
                <w:lang w:val="en-US" w:eastAsia="zh-CN"/>
              </w:rPr>
              <w:t>P</w:t>
            </w:r>
            <w:r>
              <w:rPr>
                <w:rFonts w:hint="eastAsia" w:cs="Times New Roman"/>
                <w:color w:val="auto"/>
                <w:sz w:val="21"/>
                <w:szCs w:val="21"/>
                <w:lang w:val="en-US" w:eastAsia="zh-CN"/>
              </w:rPr>
              <w:t>20-21</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lang w:val="en-US" w:eastAsia="zh-CN"/>
              </w:rPr>
              <w:t>2-8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lang w:val="en-US" w:eastAsia="zh-CN"/>
              </w:rPr>
              <w:t>2-9。</w:t>
            </w:r>
            <w:r>
              <w:rPr>
                <w:rFonts w:hint="default" w:ascii="Times New Roman" w:hAnsi="Times New Roman" w:eastAsia="宋体" w:cs="Times New Roman"/>
                <w:color w:val="auto"/>
                <w:sz w:val="21"/>
                <w:szCs w:val="21"/>
              </w:rPr>
              <w:t>大气评价等级及评价范围</w:t>
            </w:r>
            <w:r>
              <w:rPr>
                <w:rFonts w:hint="default" w:ascii="Times New Roman" w:hAnsi="Times New Roman" w:eastAsia="宋体" w:cs="Times New Roman"/>
                <w:color w:val="auto"/>
                <w:sz w:val="21"/>
                <w:szCs w:val="21"/>
                <w:lang w:eastAsia="zh-CN"/>
              </w:rPr>
              <w:t>已</w:t>
            </w:r>
            <w:r>
              <w:rPr>
                <w:rFonts w:hint="default" w:ascii="Times New Roman" w:hAnsi="Times New Roman" w:eastAsia="宋体" w:cs="Times New Roman"/>
                <w:color w:val="auto"/>
                <w:sz w:val="21"/>
                <w:szCs w:val="21"/>
              </w:rPr>
              <w:t>补充，</w:t>
            </w:r>
            <w:r>
              <w:rPr>
                <w:rFonts w:hint="default" w:ascii="Times New Roman" w:hAnsi="Times New Roman" w:eastAsia="宋体" w:cs="Times New Roman"/>
                <w:color w:val="auto"/>
                <w:sz w:val="21"/>
                <w:szCs w:val="21"/>
                <w:lang w:eastAsia="zh-CN"/>
              </w:rPr>
              <w:t>评价等级详见</w:t>
            </w:r>
            <w:r>
              <w:rPr>
                <w:rFonts w:hint="default" w:ascii="Times New Roman" w:hAnsi="Times New Roman" w:eastAsia="宋体" w:cs="Times New Roman"/>
                <w:color w:val="auto"/>
                <w:sz w:val="21"/>
                <w:szCs w:val="21"/>
                <w:lang w:val="en-US" w:eastAsia="zh-CN"/>
              </w:rPr>
              <w:t>P</w:t>
            </w:r>
            <w:r>
              <w:rPr>
                <w:rFonts w:hint="eastAsia" w:cs="Times New Roman"/>
                <w:color w:val="auto"/>
                <w:sz w:val="21"/>
                <w:szCs w:val="21"/>
                <w:lang w:val="en-US" w:eastAsia="zh-CN"/>
              </w:rPr>
              <w:t>21-23</w:t>
            </w:r>
            <w:r>
              <w:rPr>
                <w:rFonts w:hint="default" w:ascii="Times New Roman" w:hAnsi="Times New Roman" w:eastAsia="宋体" w:cs="Times New Roman"/>
                <w:color w:val="auto"/>
                <w:sz w:val="21"/>
                <w:szCs w:val="21"/>
                <w:lang w:val="en-US" w:eastAsia="zh-CN"/>
              </w:rPr>
              <w:t>，2-12-</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z w:val="21"/>
                <w:szCs w:val="21"/>
                <w:lang w:val="en-US" w:eastAsia="zh-CN"/>
              </w:rPr>
              <w:t>2-14，评价范围见P</w:t>
            </w:r>
            <w:r>
              <w:rPr>
                <w:rFonts w:hint="eastAsia" w:cs="Times New Roman"/>
                <w:color w:val="auto"/>
                <w:sz w:val="21"/>
                <w:szCs w:val="21"/>
                <w:lang w:val="en-US" w:eastAsia="zh-CN"/>
              </w:rPr>
              <w:t>23</w:t>
            </w:r>
            <w:r>
              <w:rPr>
                <w:rFonts w:hint="default" w:ascii="Times New Roman" w:hAnsi="Times New Roman" w:eastAsia="宋体" w:cs="Times New Roman"/>
                <w:color w:val="auto"/>
                <w:sz w:val="21"/>
                <w:szCs w:val="21"/>
                <w:lang w:val="en-US" w:eastAsia="zh-CN"/>
              </w:rPr>
              <w:t>相关文字。</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r>
              <w:rPr>
                <w:rFonts w:hint="default" w:ascii="Times New Roman" w:hAnsi="Times New Roman" w:eastAsia="宋体" w:cs="Times New Roman"/>
                <w:color w:val="auto"/>
                <w:sz w:val="21"/>
                <w:szCs w:val="21"/>
                <w:lang w:eastAsia="zh-CN"/>
              </w:rPr>
              <w:t>评价等级已</w:t>
            </w:r>
            <w:r>
              <w:rPr>
                <w:rFonts w:hint="default" w:ascii="Times New Roman" w:hAnsi="Times New Roman" w:eastAsia="宋体" w:cs="Times New Roman"/>
                <w:color w:val="auto"/>
                <w:sz w:val="21"/>
                <w:szCs w:val="21"/>
              </w:rPr>
              <w:t>核实</w:t>
            </w:r>
            <w:r>
              <w:rPr>
                <w:rFonts w:hint="default" w:ascii="Times New Roman" w:hAnsi="Times New Roman" w:eastAsia="宋体" w:cs="Times New Roman"/>
                <w:color w:val="auto"/>
                <w:sz w:val="21"/>
                <w:szCs w:val="21"/>
                <w:lang w:eastAsia="zh-CN"/>
              </w:rPr>
              <w:t>，详见</w:t>
            </w:r>
            <w:r>
              <w:rPr>
                <w:rFonts w:hint="default" w:ascii="Times New Roman" w:hAnsi="Times New Roman" w:eastAsia="宋体" w:cs="Times New Roman"/>
                <w:color w:val="auto"/>
                <w:sz w:val="21"/>
                <w:szCs w:val="21"/>
                <w:lang w:val="en-US" w:eastAsia="zh-CN"/>
              </w:rPr>
              <w:t>P</w:t>
            </w:r>
            <w:r>
              <w:rPr>
                <w:rFonts w:hint="eastAsia" w:cs="Times New Roman"/>
                <w:color w:val="auto"/>
                <w:sz w:val="21"/>
                <w:szCs w:val="21"/>
                <w:lang w:val="en-US" w:eastAsia="zh-CN"/>
              </w:rPr>
              <w:t>23-24</w:t>
            </w:r>
            <w:r>
              <w:rPr>
                <w:rFonts w:hint="default" w:ascii="Times New Roman" w:hAnsi="Times New Roman" w:eastAsia="宋体" w:cs="Times New Roman"/>
                <w:color w:val="auto"/>
                <w:sz w:val="21"/>
                <w:szCs w:val="21"/>
                <w:lang w:val="en-US" w:eastAsia="zh-CN"/>
              </w:rPr>
              <w:t>。</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风险评价等级</w:t>
            </w:r>
            <w:r>
              <w:rPr>
                <w:rFonts w:hint="default" w:ascii="Times New Roman" w:hAnsi="Times New Roman" w:eastAsia="宋体" w:cs="Times New Roman"/>
                <w:color w:val="auto"/>
                <w:sz w:val="21"/>
                <w:szCs w:val="21"/>
                <w:lang w:eastAsia="zh-CN"/>
              </w:rPr>
              <w:t>已核实</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详见</w:t>
            </w:r>
            <w:r>
              <w:rPr>
                <w:rFonts w:hint="default" w:ascii="Times New Roman" w:hAnsi="Times New Roman" w:eastAsia="宋体" w:cs="Times New Roman"/>
                <w:color w:val="auto"/>
                <w:sz w:val="21"/>
                <w:szCs w:val="21"/>
                <w:lang w:val="en-US" w:eastAsia="zh-CN"/>
              </w:rPr>
              <w:t>P</w:t>
            </w:r>
            <w:r>
              <w:rPr>
                <w:rFonts w:hint="eastAsia" w:cs="Times New Roman"/>
                <w:color w:val="auto"/>
                <w:sz w:val="21"/>
                <w:szCs w:val="21"/>
                <w:lang w:val="en-US" w:eastAsia="zh-CN"/>
              </w:rPr>
              <w:t>27-28</w:t>
            </w:r>
            <w:r>
              <w:rPr>
                <w:rFonts w:hint="default" w:ascii="Times New Roman" w:hAnsi="Times New Roman" w:eastAsia="宋体" w:cs="Times New Roman"/>
                <w:color w:val="auto"/>
                <w:sz w:val="21"/>
                <w:szCs w:val="21"/>
                <w:lang w:val="en-US" w:eastAsia="zh-CN"/>
              </w:rPr>
              <w:t>。</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地下水评价范围</w:t>
            </w:r>
            <w:r>
              <w:rPr>
                <w:rFonts w:hint="default" w:ascii="Times New Roman" w:hAnsi="Times New Roman" w:eastAsia="宋体" w:cs="Times New Roman"/>
                <w:color w:val="auto"/>
                <w:sz w:val="21"/>
                <w:szCs w:val="21"/>
                <w:lang w:eastAsia="zh-CN"/>
              </w:rPr>
              <w:t>已</w:t>
            </w:r>
            <w:r>
              <w:rPr>
                <w:rFonts w:hint="default" w:ascii="Times New Roman" w:hAnsi="Times New Roman" w:eastAsia="宋体" w:cs="Times New Roman"/>
                <w:color w:val="auto"/>
                <w:sz w:val="21"/>
                <w:szCs w:val="21"/>
              </w:rPr>
              <w:t>核实</w:t>
            </w:r>
            <w:r>
              <w:rPr>
                <w:rFonts w:hint="default" w:ascii="Times New Roman" w:hAnsi="Times New Roman" w:eastAsia="宋体" w:cs="Times New Roman"/>
                <w:color w:val="auto"/>
                <w:sz w:val="21"/>
                <w:szCs w:val="21"/>
                <w:lang w:eastAsia="zh-CN"/>
              </w:rPr>
              <w:t>，详见</w:t>
            </w:r>
            <w:r>
              <w:rPr>
                <w:rFonts w:hint="default" w:ascii="Times New Roman" w:hAnsi="Times New Roman" w:eastAsia="宋体" w:cs="Times New Roman"/>
                <w:color w:val="auto"/>
                <w:sz w:val="21"/>
                <w:szCs w:val="21"/>
                <w:lang w:val="en-US" w:eastAsia="zh-CN"/>
              </w:rPr>
              <w:t>P</w:t>
            </w:r>
            <w:r>
              <w:rPr>
                <w:rFonts w:hint="eastAsia" w:cs="Times New Roman"/>
                <w:color w:val="auto"/>
                <w:sz w:val="21"/>
                <w:szCs w:val="21"/>
                <w:lang w:val="en-US" w:eastAsia="zh-CN"/>
              </w:rPr>
              <w:t>24-25</w:t>
            </w:r>
            <w:r>
              <w:rPr>
                <w:rFonts w:hint="default"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8" w:hRule="atLeast"/>
          <w:tblHeader/>
          <w:jc w:val="center"/>
        </w:trPr>
        <w:tc>
          <w:tcPr>
            <w:tcW w:w="1675"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二、环境保护目标及区域环境状况</w:t>
            </w:r>
          </w:p>
        </w:tc>
        <w:tc>
          <w:tcPr>
            <w:tcW w:w="346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1、核实环境保护目标方位、距离及规模。</w:t>
            </w:r>
          </w:p>
        </w:tc>
        <w:tc>
          <w:tcPr>
            <w:tcW w:w="560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环境保护目标方位、距离及规模</w:t>
            </w:r>
            <w:r>
              <w:rPr>
                <w:rFonts w:hint="default" w:ascii="Times New Roman" w:hAnsi="Times New Roman" w:eastAsia="宋体" w:cs="Times New Roman"/>
                <w:color w:val="auto"/>
                <w:sz w:val="21"/>
                <w:szCs w:val="21"/>
                <w:lang w:eastAsia="zh-CN"/>
              </w:rPr>
              <w:t>已</w:t>
            </w:r>
            <w:r>
              <w:rPr>
                <w:rFonts w:hint="default" w:ascii="Times New Roman" w:hAnsi="Times New Roman" w:eastAsia="宋体" w:cs="Times New Roman"/>
                <w:color w:val="auto"/>
                <w:sz w:val="21"/>
                <w:szCs w:val="21"/>
              </w:rPr>
              <w:t>核实，</w:t>
            </w:r>
            <w:r>
              <w:rPr>
                <w:rFonts w:hint="default" w:ascii="Times New Roman" w:hAnsi="Times New Roman" w:eastAsia="宋体" w:cs="Times New Roman"/>
                <w:color w:val="auto"/>
                <w:sz w:val="21"/>
                <w:szCs w:val="21"/>
                <w:lang w:eastAsia="zh-CN"/>
              </w:rPr>
              <w:t>详见</w:t>
            </w:r>
            <w:r>
              <w:rPr>
                <w:rFonts w:hint="eastAsia" w:cs="Times New Roman"/>
                <w:color w:val="auto"/>
                <w:sz w:val="21"/>
                <w:szCs w:val="21"/>
                <w:lang w:val="en-US" w:eastAsia="zh-CN"/>
              </w:rPr>
              <w:t>P28-29</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lang w:val="en-US" w:eastAsia="zh-CN"/>
              </w:rPr>
              <w:t>2-22</w:t>
            </w: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9" w:hRule="atLeast"/>
          <w:tblHeader/>
          <w:jc w:val="center"/>
        </w:trPr>
        <w:tc>
          <w:tcPr>
            <w:tcW w:w="167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346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2、明确大气特征因子监测时间，完善地表水、地下水、土壤环境质量现状监测与评价内容。</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560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大气特征因子监测时间</w:t>
            </w:r>
            <w:r>
              <w:rPr>
                <w:rFonts w:hint="default" w:ascii="Times New Roman" w:hAnsi="Times New Roman" w:eastAsia="宋体" w:cs="Times New Roman"/>
                <w:color w:val="auto"/>
                <w:sz w:val="21"/>
                <w:szCs w:val="21"/>
                <w:lang w:eastAsia="zh-CN"/>
              </w:rPr>
              <w:t>已</w:t>
            </w:r>
            <w:r>
              <w:rPr>
                <w:rFonts w:hint="default" w:ascii="Times New Roman" w:hAnsi="Times New Roman" w:eastAsia="宋体" w:cs="Times New Roman"/>
                <w:color w:val="auto"/>
                <w:sz w:val="21"/>
                <w:szCs w:val="21"/>
              </w:rPr>
              <w:t>明确，</w:t>
            </w:r>
            <w:r>
              <w:rPr>
                <w:rFonts w:hint="default" w:ascii="Times New Roman" w:hAnsi="Times New Roman" w:eastAsia="宋体" w:cs="Times New Roman"/>
                <w:color w:val="auto"/>
                <w:sz w:val="21"/>
                <w:szCs w:val="21"/>
                <w:lang w:eastAsia="zh-CN"/>
              </w:rPr>
              <w:t>详见</w:t>
            </w:r>
            <w:r>
              <w:rPr>
                <w:rFonts w:hint="default" w:ascii="Times New Roman" w:hAnsi="Times New Roman" w:eastAsia="宋体" w:cs="Times New Roman"/>
                <w:color w:val="auto"/>
                <w:sz w:val="21"/>
                <w:szCs w:val="21"/>
                <w:lang w:val="en-US" w:eastAsia="zh-CN"/>
              </w:rPr>
              <w:t>P</w:t>
            </w:r>
            <w:r>
              <w:rPr>
                <w:rFonts w:hint="eastAsia" w:cs="Times New Roman"/>
                <w:color w:val="auto"/>
                <w:sz w:val="21"/>
                <w:szCs w:val="21"/>
                <w:lang w:val="en-US" w:eastAsia="zh-CN"/>
              </w:rPr>
              <w:t>79-80</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lang w:val="en-US" w:eastAsia="zh-CN"/>
              </w:rPr>
              <w:t>5-5</w:t>
            </w:r>
            <w:r>
              <w:rPr>
                <w:rFonts w:hint="default" w:ascii="Times New Roman" w:hAnsi="Times New Roman" w:eastAsia="宋体" w:cs="Times New Roman"/>
                <w:color w:val="auto"/>
                <w:sz w:val="21"/>
                <w:szCs w:val="21"/>
              </w:rPr>
              <w:t>。</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地表水环境质量现状监测与评价内容</w:t>
            </w:r>
            <w:r>
              <w:rPr>
                <w:rFonts w:hint="default" w:ascii="Times New Roman" w:hAnsi="Times New Roman" w:eastAsia="宋体" w:cs="Times New Roman"/>
                <w:color w:val="auto"/>
                <w:sz w:val="21"/>
                <w:szCs w:val="21"/>
                <w:lang w:eastAsia="zh-CN"/>
              </w:rPr>
              <w:t>已</w:t>
            </w:r>
            <w:r>
              <w:rPr>
                <w:rFonts w:hint="default" w:ascii="Times New Roman" w:hAnsi="Times New Roman" w:eastAsia="宋体" w:cs="Times New Roman"/>
                <w:color w:val="auto"/>
                <w:sz w:val="21"/>
                <w:szCs w:val="21"/>
              </w:rPr>
              <w:t>完善</w:t>
            </w:r>
            <w:r>
              <w:rPr>
                <w:rFonts w:hint="default" w:ascii="Times New Roman" w:hAnsi="Times New Roman" w:eastAsia="宋体" w:cs="Times New Roman"/>
                <w:color w:val="auto"/>
                <w:sz w:val="21"/>
                <w:szCs w:val="21"/>
                <w:lang w:eastAsia="zh-CN"/>
              </w:rPr>
              <w:t>，详见</w:t>
            </w:r>
            <w:r>
              <w:rPr>
                <w:rFonts w:hint="default" w:ascii="Times New Roman" w:hAnsi="Times New Roman" w:eastAsia="宋体" w:cs="Times New Roman"/>
                <w:color w:val="auto"/>
                <w:sz w:val="21"/>
                <w:szCs w:val="21"/>
                <w:lang w:val="en-US" w:eastAsia="zh-CN"/>
              </w:rPr>
              <w:t>P</w:t>
            </w:r>
            <w:r>
              <w:rPr>
                <w:rFonts w:hint="eastAsia" w:cs="Times New Roman"/>
                <w:color w:val="auto"/>
                <w:sz w:val="21"/>
                <w:szCs w:val="21"/>
                <w:lang w:val="en-US" w:eastAsia="zh-CN"/>
              </w:rPr>
              <w:t>80-84</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lang w:val="en-US" w:eastAsia="zh-CN"/>
              </w:rPr>
              <w:t>5-6、</w:t>
            </w: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lang w:val="en-US" w:eastAsia="zh-CN"/>
              </w:rPr>
              <w:t>5-7、</w:t>
            </w: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lang w:val="en-US" w:eastAsia="zh-CN"/>
              </w:rPr>
              <w:t>5-8。</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地下水环境质量现状监测与评价内容</w:t>
            </w:r>
            <w:r>
              <w:rPr>
                <w:rFonts w:hint="default" w:ascii="Times New Roman" w:hAnsi="Times New Roman" w:eastAsia="宋体" w:cs="Times New Roman"/>
                <w:color w:val="auto"/>
                <w:sz w:val="21"/>
                <w:szCs w:val="21"/>
                <w:lang w:eastAsia="zh-CN"/>
              </w:rPr>
              <w:t>已</w:t>
            </w:r>
            <w:r>
              <w:rPr>
                <w:rFonts w:hint="default" w:ascii="Times New Roman" w:hAnsi="Times New Roman" w:eastAsia="宋体" w:cs="Times New Roman"/>
                <w:color w:val="auto"/>
                <w:sz w:val="21"/>
                <w:szCs w:val="21"/>
              </w:rPr>
              <w:t>完善</w:t>
            </w:r>
            <w:r>
              <w:rPr>
                <w:rFonts w:hint="default" w:ascii="Times New Roman" w:hAnsi="Times New Roman" w:eastAsia="宋体" w:cs="Times New Roman"/>
                <w:color w:val="auto"/>
                <w:sz w:val="21"/>
                <w:szCs w:val="21"/>
                <w:lang w:eastAsia="zh-CN"/>
              </w:rPr>
              <w:t>，详见</w:t>
            </w:r>
            <w:r>
              <w:rPr>
                <w:rFonts w:hint="default" w:ascii="Times New Roman" w:hAnsi="Times New Roman" w:eastAsia="宋体" w:cs="Times New Roman"/>
                <w:color w:val="auto"/>
                <w:sz w:val="21"/>
                <w:szCs w:val="21"/>
                <w:lang w:val="en-US" w:eastAsia="zh-CN"/>
              </w:rPr>
              <w:t>P</w:t>
            </w:r>
            <w:r>
              <w:rPr>
                <w:rFonts w:hint="eastAsia" w:cs="Times New Roman"/>
                <w:color w:val="auto"/>
                <w:sz w:val="21"/>
                <w:szCs w:val="21"/>
                <w:lang w:val="en-US" w:eastAsia="zh-CN"/>
              </w:rPr>
              <w:t>84-87</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lang w:val="en-US" w:eastAsia="zh-CN"/>
              </w:rPr>
              <w:t>5-9、表5-10、</w:t>
            </w: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lang w:val="en-US" w:eastAsia="zh-CN"/>
              </w:rPr>
              <w:t>5-11。</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土壤环境质量现状监测与评价内容</w:t>
            </w:r>
            <w:r>
              <w:rPr>
                <w:rFonts w:hint="default" w:ascii="Times New Roman" w:hAnsi="Times New Roman" w:eastAsia="宋体" w:cs="Times New Roman"/>
                <w:color w:val="auto"/>
                <w:sz w:val="21"/>
                <w:szCs w:val="21"/>
                <w:lang w:eastAsia="zh-CN"/>
              </w:rPr>
              <w:t>已</w:t>
            </w:r>
            <w:r>
              <w:rPr>
                <w:rFonts w:hint="default" w:ascii="Times New Roman" w:hAnsi="Times New Roman" w:eastAsia="宋体" w:cs="Times New Roman"/>
                <w:color w:val="auto"/>
                <w:sz w:val="21"/>
                <w:szCs w:val="21"/>
              </w:rPr>
              <w:t>完善</w:t>
            </w:r>
            <w:r>
              <w:rPr>
                <w:rFonts w:hint="default" w:ascii="Times New Roman" w:hAnsi="Times New Roman" w:eastAsia="宋体" w:cs="Times New Roman"/>
                <w:color w:val="auto"/>
                <w:sz w:val="21"/>
                <w:szCs w:val="21"/>
                <w:lang w:eastAsia="zh-CN"/>
              </w:rPr>
              <w:t>，详见</w:t>
            </w:r>
            <w:r>
              <w:rPr>
                <w:rFonts w:hint="default" w:ascii="Times New Roman" w:hAnsi="Times New Roman" w:eastAsia="宋体" w:cs="Times New Roman"/>
                <w:color w:val="auto"/>
                <w:sz w:val="21"/>
                <w:szCs w:val="21"/>
                <w:lang w:val="en-US" w:eastAsia="zh-CN"/>
              </w:rPr>
              <w:t>P</w:t>
            </w:r>
            <w:r>
              <w:rPr>
                <w:rFonts w:hint="eastAsia" w:cs="Times New Roman"/>
                <w:color w:val="auto"/>
                <w:sz w:val="21"/>
                <w:szCs w:val="21"/>
                <w:lang w:val="en-US" w:eastAsia="zh-CN"/>
              </w:rPr>
              <w:t>87-93</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lang w:val="en-US" w:eastAsia="zh-CN"/>
              </w:rPr>
              <w:t>5-13、</w:t>
            </w: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lang w:val="en-US" w:eastAsia="zh-CN"/>
              </w:rPr>
              <w:t>5-15、</w:t>
            </w: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lang w:val="en-US" w:eastAsia="zh-CN"/>
              </w:rPr>
              <w:t>5-16、</w:t>
            </w: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lang w:val="en-US" w:eastAsia="zh-CN"/>
              </w:rPr>
              <w:t>5-17和表5-18等5个表</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土壤已补充</w:t>
            </w:r>
            <w:r>
              <w:rPr>
                <w:rFonts w:hint="default" w:ascii="Times New Roman" w:hAnsi="Times New Roman" w:eastAsia="宋体" w:cs="Times New Roman"/>
                <w:color w:val="auto"/>
                <w:sz w:val="21"/>
                <w:szCs w:val="21"/>
                <w:lang w:val="en-US" w:eastAsia="zh-CN"/>
              </w:rPr>
              <w:t>45项检测，详见</w:t>
            </w: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lang w:val="en-US" w:eastAsia="zh-CN"/>
              </w:rPr>
              <w:t>5-17和表5-18及附件19。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6" w:hRule="atLeast"/>
          <w:tblHeader/>
          <w:jc w:val="center"/>
        </w:trPr>
        <w:tc>
          <w:tcPr>
            <w:tcW w:w="16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三、工程分析、环境影响分析及污染防治措施</w:t>
            </w:r>
          </w:p>
        </w:tc>
        <w:tc>
          <w:tcPr>
            <w:tcW w:w="346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1、强化现有工程原辅材料、生产设备、生产工艺、</w:t>
            </w:r>
            <w:r>
              <w:rPr>
                <w:rFonts w:hint="default" w:ascii="Times New Roman" w:hAnsi="Times New Roman" w:eastAsia="宋体" w:cs="Times New Roman"/>
                <w:color w:val="auto"/>
                <w:sz w:val="21"/>
                <w:szCs w:val="21"/>
                <w:highlight w:val="none"/>
                <w:lang w:eastAsia="zh-CN"/>
              </w:rPr>
              <w:t>污染</w:t>
            </w:r>
            <w:r>
              <w:rPr>
                <w:rFonts w:hint="default" w:ascii="Times New Roman" w:hAnsi="Times New Roman" w:eastAsia="宋体" w:cs="Times New Roman"/>
                <w:color w:val="auto"/>
                <w:sz w:val="21"/>
                <w:szCs w:val="21"/>
                <w:highlight w:val="none"/>
              </w:rPr>
              <w:t>防措施调查，结合污染源监测数据，强化现有工程污防措施、达标排放情况调查，强化现有工程存在的环境问题调查，提出“以新带老”的工程措施。</w:t>
            </w:r>
          </w:p>
        </w:tc>
        <w:tc>
          <w:tcPr>
            <w:tcW w:w="560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已</w:t>
            </w:r>
            <w:r>
              <w:rPr>
                <w:rFonts w:hint="default" w:ascii="Times New Roman" w:hAnsi="Times New Roman" w:eastAsia="宋体" w:cs="Times New Roman"/>
                <w:color w:val="auto"/>
                <w:sz w:val="21"/>
                <w:szCs w:val="21"/>
                <w:highlight w:val="none"/>
              </w:rPr>
              <w:t>强化现有工程原辅材料</w:t>
            </w:r>
            <w:r>
              <w:rPr>
                <w:rFonts w:hint="default" w:ascii="Times New Roman" w:hAnsi="Times New Roman" w:eastAsia="宋体" w:cs="Times New Roman"/>
                <w:color w:val="auto"/>
                <w:sz w:val="21"/>
                <w:szCs w:val="21"/>
                <w:highlight w:val="none"/>
                <w:lang w:eastAsia="zh-CN"/>
              </w:rPr>
              <w:t>调查，详见</w:t>
            </w:r>
            <w:r>
              <w:rPr>
                <w:rFonts w:hint="default" w:ascii="Times New Roman" w:hAnsi="Times New Roman" w:eastAsia="宋体" w:cs="Times New Roman"/>
                <w:color w:val="auto"/>
                <w:sz w:val="21"/>
                <w:szCs w:val="21"/>
                <w:highlight w:val="none"/>
                <w:lang w:val="en-US" w:eastAsia="zh-CN"/>
              </w:rPr>
              <w:t>P</w:t>
            </w:r>
            <w:r>
              <w:rPr>
                <w:rFonts w:hint="eastAsia" w:cs="Times New Roman"/>
                <w:color w:val="auto"/>
                <w:sz w:val="21"/>
                <w:szCs w:val="21"/>
                <w:highlight w:val="none"/>
                <w:lang w:val="en-US" w:eastAsia="zh-CN"/>
              </w:rPr>
              <w:t>32-33</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,3-4。</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已</w:t>
            </w:r>
            <w:r>
              <w:rPr>
                <w:rFonts w:hint="default" w:ascii="Times New Roman" w:hAnsi="Times New Roman" w:eastAsia="宋体" w:cs="Times New Roman"/>
                <w:color w:val="auto"/>
                <w:sz w:val="21"/>
                <w:szCs w:val="21"/>
                <w:highlight w:val="none"/>
              </w:rPr>
              <w:t>强化生产设备</w:t>
            </w:r>
            <w:r>
              <w:rPr>
                <w:rFonts w:hint="default" w:ascii="Times New Roman" w:hAnsi="Times New Roman" w:eastAsia="宋体" w:cs="Times New Roman"/>
                <w:color w:val="auto"/>
                <w:sz w:val="21"/>
                <w:szCs w:val="21"/>
                <w:highlight w:val="none"/>
                <w:lang w:eastAsia="zh-CN"/>
              </w:rPr>
              <w:t>调查，详见</w:t>
            </w:r>
            <w:r>
              <w:rPr>
                <w:rFonts w:hint="default" w:ascii="Times New Roman" w:hAnsi="Times New Roman" w:eastAsia="宋体" w:cs="Times New Roman"/>
                <w:color w:val="auto"/>
                <w:sz w:val="21"/>
                <w:szCs w:val="21"/>
                <w:highlight w:val="none"/>
                <w:lang w:val="en-US" w:eastAsia="zh-CN"/>
              </w:rPr>
              <w:t>P</w:t>
            </w:r>
            <w:r>
              <w:rPr>
                <w:rFonts w:hint="eastAsia" w:cs="Times New Roman"/>
                <w:color w:val="auto"/>
                <w:sz w:val="21"/>
                <w:szCs w:val="21"/>
                <w:highlight w:val="none"/>
                <w:lang w:val="en-US" w:eastAsia="zh-CN"/>
              </w:rPr>
              <w:t>34-36</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3-5。</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已</w:t>
            </w:r>
            <w:r>
              <w:rPr>
                <w:rFonts w:hint="default" w:ascii="Times New Roman" w:hAnsi="Times New Roman" w:eastAsia="宋体" w:cs="Times New Roman"/>
                <w:color w:val="auto"/>
                <w:sz w:val="21"/>
                <w:szCs w:val="21"/>
                <w:highlight w:val="none"/>
              </w:rPr>
              <w:t>强化生产工艺</w:t>
            </w:r>
            <w:r>
              <w:rPr>
                <w:rFonts w:hint="default" w:ascii="Times New Roman" w:hAnsi="Times New Roman" w:eastAsia="宋体" w:cs="Times New Roman"/>
                <w:color w:val="auto"/>
                <w:sz w:val="21"/>
                <w:szCs w:val="21"/>
                <w:highlight w:val="none"/>
                <w:lang w:eastAsia="zh-CN"/>
              </w:rPr>
              <w:t>调查，详见</w:t>
            </w:r>
            <w:r>
              <w:rPr>
                <w:rFonts w:hint="default" w:ascii="Times New Roman" w:hAnsi="Times New Roman" w:eastAsia="宋体" w:cs="Times New Roman"/>
                <w:color w:val="auto"/>
                <w:sz w:val="21"/>
                <w:szCs w:val="21"/>
                <w:highlight w:val="none"/>
                <w:lang w:val="en-US" w:eastAsia="zh-CN"/>
              </w:rPr>
              <w:t>P</w:t>
            </w:r>
            <w:r>
              <w:rPr>
                <w:rFonts w:hint="eastAsia" w:cs="Times New Roman"/>
                <w:color w:val="auto"/>
                <w:sz w:val="21"/>
                <w:szCs w:val="21"/>
                <w:highlight w:val="none"/>
                <w:lang w:val="en-US" w:eastAsia="zh-CN"/>
              </w:rPr>
              <w:t>33-34</w:t>
            </w:r>
            <w:r>
              <w:rPr>
                <w:rFonts w:hint="default" w:ascii="Times New Roman" w:hAnsi="Times New Roman" w:eastAsia="宋体" w:cs="Times New Roman"/>
                <w:color w:val="auto"/>
                <w:sz w:val="21"/>
                <w:szCs w:val="21"/>
                <w:highlight w:val="none"/>
                <w:lang w:val="en-US" w:eastAsia="zh-CN"/>
              </w:rPr>
              <w:t>。</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已</w:t>
            </w:r>
            <w:r>
              <w:rPr>
                <w:rFonts w:hint="default" w:ascii="Times New Roman" w:hAnsi="Times New Roman" w:eastAsia="宋体" w:cs="Times New Roman"/>
                <w:color w:val="auto"/>
                <w:sz w:val="21"/>
                <w:szCs w:val="21"/>
                <w:highlight w:val="none"/>
              </w:rPr>
              <w:t>强化</w:t>
            </w:r>
            <w:r>
              <w:rPr>
                <w:rFonts w:hint="default" w:ascii="Times New Roman" w:hAnsi="Times New Roman" w:eastAsia="宋体" w:cs="Times New Roman"/>
                <w:color w:val="auto"/>
                <w:sz w:val="21"/>
                <w:szCs w:val="21"/>
                <w:highlight w:val="none"/>
                <w:lang w:eastAsia="zh-CN"/>
              </w:rPr>
              <w:t>污染</w:t>
            </w:r>
            <w:r>
              <w:rPr>
                <w:rFonts w:hint="default" w:ascii="Times New Roman" w:hAnsi="Times New Roman" w:eastAsia="宋体" w:cs="Times New Roman"/>
                <w:color w:val="auto"/>
                <w:sz w:val="21"/>
                <w:szCs w:val="21"/>
                <w:highlight w:val="none"/>
              </w:rPr>
              <w:t>防措施调查</w:t>
            </w:r>
            <w:r>
              <w:rPr>
                <w:rFonts w:hint="default" w:ascii="Times New Roman" w:hAnsi="Times New Roman" w:eastAsia="宋体" w:cs="Times New Roman"/>
                <w:color w:val="auto"/>
                <w:sz w:val="21"/>
                <w:szCs w:val="21"/>
                <w:highlight w:val="none"/>
                <w:lang w:eastAsia="zh-CN"/>
              </w:rPr>
              <w:t>，详见</w:t>
            </w:r>
            <w:r>
              <w:rPr>
                <w:rFonts w:hint="default" w:ascii="Times New Roman" w:hAnsi="Times New Roman" w:eastAsia="宋体" w:cs="Times New Roman"/>
                <w:color w:val="auto"/>
                <w:sz w:val="21"/>
                <w:szCs w:val="21"/>
                <w:highlight w:val="none"/>
                <w:lang w:val="en-US" w:eastAsia="zh-CN"/>
              </w:rPr>
              <w:t>P</w:t>
            </w:r>
            <w:r>
              <w:rPr>
                <w:rFonts w:hint="eastAsia" w:cs="Times New Roman"/>
                <w:color w:val="auto"/>
                <w:sz w:val="21"/>
                <w:szCs w:val="21"/>
                <w:highlight w:val="none"/>
                <w:lang w:val="en-US" w:eastAsia="zh-CN"/>
              </w:rPr>
              <w:t>,36-37</w:t>
            </w:r>
            <w:r>
              <w:rPr>
                <w:rFonts w:hint="default" w:ascii="Times New Roman" w:hAnsi="Times New Roman" w:eastAsia="宋体" w:cs="Times New Roman"/>
                <w:color w:val="auto"/>
                <w:sz w:val="21"/>
                <w:szCs w:val="21"/>
                <w:highlight w:val="none"/>
                <w:lang w:val="en-US" w:eastAsia="zh-CN"/>
              </w:rPr>
              <w:t>。</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结合污染源监测数据，</w:t>
            </w:r>
            <w:r>
              <w:rPr>
                <w:rFonts w:hint="default" w:ascii="Times New Roman" w:hAnsi="Times New Roman" w:eastAsia="宋体" w:cs="Times New Roman"/>
                <w:color w:val="auto"/>
                <w:sz w:val="21"/>
                <w:szCs w:val="21"/>
                <w:highlight w:val="none"/>
                <w:lang w:eastAsia="zh-CN"/>
              </w:rPr>
              <w:t>已</w:t>
            </w:r>
            <w:r>
              <w:rPr>
                <w:rFonts w:hint="default" w:ascii="Times New Roman" w:hAnsi="Times New Roman" w:eastAsia="宋体" w:cs="Times New Roman"/>
                <w:color w:val="auto"/>
                <w:sz w:val="21"/>
                <w:szCs w:val="21"/>
                <w:highlight w:val="none"/>
              </w:rPr>
              <w:t>强化现有工程污防措施、达标排放情况调查，</w:t>
            </w:r>
            <w:r>
              <w:rPr>
                <w:rFonts w:hint="default" w:ascii="Times New Roman" w:hAnsi="Times New Roman" w:eastAsia="宋体" w:cs="Times New Roman"/>
                <w:color w:val="auto"/>
                <w:sz w:val="21"/>
                <w:szCs w:val="21"/>
                <w:highlight w:val="none"/>
                <w:lang w:eastAsia="zh-CN"/>
              </w:rPr>
              <w:t>详见</w:t>
            </w:r>
            <w:r>
              <w:rPr>
                <w:rFonts w:hint="default" w:ascii="Times New Roman" w:hAnsi="Times New Roman" w:eastAsia="宋体" w:cs="Times New Roman"/>
                <w:color w:val="auto"/>
                <w:sz w:val="21"/>
                <w:szCs w:val="21"/>
                <w:highlight w:val="none"/>
                <w:lang w:val="en-US" w:eastAsia="zh-CN"/>
              </w:rPr>
              <w:t>P</w:t>
            </w:r>
            <w:r>
              <w:rPr>
                <w:rFonts w:hint="eastAsia" w:cs="Times New Roman"/>
                <w:color w:val="auto"/>
                <w:sz w:val="21"/>
                <w:szCs w:val="21"/>
                <w:highlight w:val="none"/>
                <w:lang w:val="en-US" w:eastAsia="zh-CN"/>
              </w:rPr>
              <w:t>36-40，</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3-6、</w:t>
            </w: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3-7、</w:t>
            </w: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3-8、</w:t>
            </w: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3-11</w:t>
            </w:r>
            <w:r>
              <w:rPr>
                <w:rFonts w:hint="default" w:ascii="Times New Roman" w:hAnsi="Times New Roman" w:eastAsia="宋体" w:cs="Times New Roman"/>
                <w:color w:val="auto"/>
                <w:sz w:val="21"/>
                <w:szCs w:val="21"/>
                <w:highlight w:val="none"/>
              </w:rPr>
              <w:t>。</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现有工程存在的环境问题</w:t>
            </w:r>
            <w:r>
              <w:rPr>
                <w:rFonts w:hint="default" w:ascii="Times New Roman" w:hAnsi="Times New Roman" w:eastAsia="宋体" w:cs="Times New Roman"/>
                <w:color w:val="auto"/>
                <w:sz w:val="21"/>
                <w:szCs w:val="21"/>
                <w:highlight w:val="none"/>
                <w:lang w:eastAsia="zh-CN"/>
              </w:rPr>
              <w:t>已</w:t>
            </w:r>
            <w:r>
              <w:rPr>
                <w:rFonts w:hint="default" w:ascii="Times New Roman" w:hAnsi="Times New Roman" w:eastAsia="宋体" w:cs="Times New Roman"/>
                <w:color w:val="auto"/>
                <w:sz w:val="21"/>
                <w:szCs w:val="21"/>
                <w:highlight w:val="none"/>
              </w:rPr>
              <w:t>调查</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现有工程验收达标，没有“以新带老”问题，</w:t>
            </w:r>
            <w:r>
              <w:rPr>
                <w:rFonts w:hint="default" w:ascii="Times New Roman" w:hAnsi="Times New Roman" w:eastAsia="宋体" w:cs="Times New Roman"/>
                <w:color w:val="auto"/>
                <w:sz w:val="21"/>
                <w:szCs w:val="21"/>
                <w:highlight w:val="none"/>
                <w:lang w:eastAsia="zh-CN"/>
              </w:rPr>
              <w:t>详见</w:t>
            </w:r>
            <w:r>
              <w:rPr>
                <w:rFonts w:hint="default" w:ascii="Times New Roman" w:hAnsi="Times New Roman" w:eastAsia="宋体" w:cs="Times New Roman"/>
                <w:color w:val="auto"/>
                <w:sz w:val="21"/>
                <w:szCs w:val="21"/>
                <w:highlight w:val="none"/>
                <w:lang w:val="en-US" w:eastAsia="zh-CN"/>
              </w:rPr>
              <w:t>P</w:t>
            </w:r>
            <w:r>
              <w:rPr>
                <w:rFonts w:hint="eastAsia" w:cs="Times New Roman"/>
                <w:color w:val="auto"/>
                <w:sz w:val="21"/>
                <w:szCs w:val="21"/>
                <w:highlight w:val="none"/>
                <w:lang w:val="en-US" w:eastAsia="zh-CN"/>
              </w:rPr>
              <w:t>37-40</w:t>
            </w:r>
            <w:r>
              <w:rPr>
                <w:rFonts w:hint="default" w:ascii="Times New Roman" w:hAnsi="Times New Roman" w:eastAsia="宋体" w:cs="Times New Roman"/>
                <w:color w:val="auto"/>
                <w:sz w:val="21"/>
                <w:szCs w:val="21"/>
                <w:highlight w:val="none"/>
              </w:rPr>
              <w:t>。</w:t>
            </w:r>
          </w:p>
        </w:tc>
      </w:tr>
    </w:tbl>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sectPr>
          <w:footerReference r:id="rId10" w:type="default"/>
          <w:pgSz w:w="11905" w:h="16838"/>
          <w:pgMar w:top="1417" w:right="1417" w:bottom="1134" w:left="1701"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25"/>
        <w:tblW w:w="107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75"/>
        <w:gridCol w:w="3463"/>
        <w:gridCol w:w="56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8" w:hRule="atLeast"/>
          <w:tblHeader/>
          <w:jc w:val="center"/>
        </w:trPr>
        <w:tc>
          <w:tcPr>
            <w:tcW w:w="1675"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46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2、补充环己烷回收工艺，补充氢氧化镍洗涤、过滤、干燥工艺，细化工艺流程及产排污节点图，核实物料平衡图，补充溶剂平衡、补充镍平衡，核实水平衡。</w:t>
            </w:r>
          </w:p>
        </w:tc>
        <w:tc>
          <w:tcPr>
            <w:tcW w:w="560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已补充环己烷回收工艺，</w:t>
            </w:r>
            <w:r>
              <w:rPr>
                <w:rFonts w:hint="default" w:ascii="Times New Roman" w:hAnsi="Times New Roman" w:eastAsia="宋体" w:cs="Times New Roman"/>
                <w:color w:val="auto"/>
                <w:sz w:val="21"/>
                <w:szCs w:val="21"/>
                <w:highlight w:val="none"/>
                <w:lang w:eastAsia="zh-CN"/>
              </w:rPr>
              <w:t>详见</w:t>
            </w:r>
            <w:r>
              <w:rPr>
                <w:rFonts w:hint="eastAsia" w:cs="Times New Roman"/>
                <w:color w:val="auto"/>
                <w:sz w:val="21"/>
                <w:szCs w:val="21"/>
                <w:highlight w:val="none"/>
                <w:lang w:val="en-US" w:eastAsia="zh-CN"/>
              </w:rPr>
              <w:t>55</w:t>
            </w:r>
            <w:r>
              <w:rPr>
                <w:rFonts w:hint="default" w:ascii="Times New Roman" w:hAnsi="Times New Roman" w:eastAsia="宋体" w:cs="Times New Roman"/>
                <w:color w:val="auto"/>
                <w:sz w:val="21"/>
                <w:szCs w:val="21"/>
                <w:highlight w:val="none"/>
                <w:lang w:val="en-US" w:eastAsia="zh-CN"/>
              </w:rPr>
              <w:t>，图4-1。</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已补充氢氧化镍洗涤、过滤、干燥工艺，</w:t>
            </w:r>
            <w:r>
              <w:rPr>
                <w:rFonts w:hint="default" w:ascii="Times New Roman" w:hAnsi="Times New Roman" w:eastAsia="宋体" w:cs="Times New Roman"/>
                <w:color w:val="auto"/>
                <w:sz w:val="21"/>
                <w:szCs w:val="21"/>
                <w:highlight w:val="none"/>
                <w:lang w:eastAsia="zh-CN"/>
              </w:rPr>
              <w:t>详见</w:t>
            </w:r>
            <w:r>
              <w:rPr>
                <w:rFonts w:hint="default" w:ascii="Times New Roman" w:hAnsi="Times New Roman" w:eastAsia="宋体" w:cs="Times New Roman"/>
                <w:color w:val="auto"/>
                <w:sz w:val="21"/>
                <w:szCs w:val="21"/>
                <w:highlight w:val="none"/>
                <w:lang w:val="en-US" w:eastAsia="zh-CN"/>
              </w:rPr>
              <w:t>P</w:t>
            </w:r>
            <w:r>
              <w:rPr>
                <w:rFonts w:hint="eastAsia" w:cs="Times New Roman"/>
                <w:color w:val="auto"/>
                <w:sz w:val="21"/>
                <w:szCs w:val="21"/>
                <w:highlight w:val="none"/>
                <w:lang w:val="en-US" w:eastAsia="zh-CN"/>
              </w:rPr>
              <w:t>56</w:t>
            </w:r>
            <w:r>
              <w:rPr>
                <w:rFonts w:hint="default" w:ascii="Times New Roman" w:hAnsi="Times New Roman" w:eastAsia="宋体" w:cs="Times New Roman"/>
                <w:color w:val="auto"/>
                <w:sz w:val="21"/>
                <w:szCs w:val="21"/>
                <w:highlight w:val="none"/>
                <w:lang w:val="en-US" w:eastAsia="zh-CN"/>
              </w:rPr>
              <w:t>，图4-,2。</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已细化工艺流程及产排污节点图，P</w:t>
            </w:r>
            <w:r>
              <w:rPr>
                <w:rFonts w:hint="eastAsia" w:cs="Times New Roman"/>
                <w:color w:val="auto"/>
                <w:sz w:val="21"/>
                <w:szCs w:val="21"/>
                <w:highlight w:val="none"/>
                <w:lang w:val="en-US" w:eastAsia="zh-CN"/>
              </w:rPr>
              <w:t>55-56，</w:t>
            </w:r>
            <w:r>
              <w:rPr>
                <w:rFonts w:hint="default" w:ascii="Times New Roman" w:hAnsi="Times New Roman" w:eastAsia="宋体" w:cs="Times New Roman"/>
                <w:color w:val="auto"/>
                <w:sz w:val="21"/>
                <w:szCs w:val="21"/>
                <w:highlight w:val="none"/>
                <w:lang w:val="en-US" w:eastAsia="zh-CN"/>
              </w:rPr>
              <w:t>图4-1和图4-2。</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已核实物料平衡，</w:t>
            </w:r>
            <w:r>
              <w:rPr>
                <w:rFonts w:hint="default" w:ascii="Times New Roman" w:hAnsi="Times New Roman" w:eastAsia="宋体" w:cs="Times New Roman"/>
                <w:color w:val="auto"/>
                <w:sz w:val="21"/>
                <w:szCs w:val="21"/>
                <w:highlight w:val="none"/>
                <w:lang w:eastAsia="zh-CN"/>
              </w:rPr>
              <w:t>详见</w:t>
            </w:r>
            <w:r>
              <w:rPr>
                <w:rFonts w:hint="default" w:ascii="Times New Roman" w:hAnsi="Times New Roman" w:eastAsia="宋体" w:cs="Times New Roman"/>
                <w:color w:val="auto"/>
                <w:sz w:val="21"/>
                <w:szCs w:val="21"/>
                <w:highlight w:val="none"/>
                <w:lang w:val="en-US" w:eastAsia="zh-CN"/>
              </w:rPr>
              <w:t>P</w:t>
            </w:r>
            <w:r>
              <w:rPr>
                <w:rFonts w:hint="eastAsia" w:cs="Times New Roman"/>
                <w:color w:val="auto"/>
                <w:sz w:val="21"/>
                <w:szCs w:val="21"/>
                <w:highlight w:val="none"/>
                <w:lang w:val="en-US" w:eastAsia="zh-CN"/>
              </w:rPr>
              <w:t>,59</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4-1。</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已补充溶剂平衡图，</w:t>
            </w:r>
            <w:r>
              <w:rPr>
                <w:rFonts w:hint="default" w:ascii="Times New Roman" w:hAnsi="Times New Roman" w:eastAsia="宋体" w:cs="Times New Roman"/>
                <w:color w:val="auto"/>
                <w:sz w:val="21"/>
                <w:szCs w:val="21"/>
                <w:highlight w:val="none"/>
                <w:lang w:eastAsia="zh-CN"/>
              </w:rPr>
              <w:t>详见</w:t>
            </w:r>
            <w:r>
              <w:rPr>
                <w:rFonts w:hint="default" w:ascii="Times New Roman" w:hAnsi="Times New Roman" w:eastAsia="宋体" w:cs="Times New Roman"/>
                <w:color w:val="auto"/>
                <w:sz w:val="21"/>
                <w:szCs w:val="21"/>
                <w:highlight w:val="none"/>
                <w:lang w:val="en-US" w:eastAsia="zh-CN"/>
              </w:rPr>
              <w:t>P</w:t>
            </w:r>
            <w:r>
              <w:rPr>
                <w:rFonts w:hint="eastAsia"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图</w:t>
            </w:r>
            <w:r>
              <w:rPr>
                <w:rFonts w:hint="default" w:ascii="Times New Roman" w:hAnsi="Times New Roman" w:eastAsia="宋体" w:cs="Times New Roman"/>
                <w:color w:val="auto"/>
                <w:sz w:val="21"/>
                <w:szCs w:val="21"/>
                <w:highlight w:val="none"/>
                <w:lang w:val="en-US" w:eastAsia="zh-CN"/>
              </w:rPr>
              <w:t>4-4。</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已补充镍平衡图，</w:t>
            </w:r>
            <w:r>
              <w:rPr>
                <w:rFonts w:hint="default" w:ascii="Times New Roman" w:hAnsi="Times New Roman" w:eastAsia="宋体" w:cs="Times New Roman"/>
                <w:color w:val="auto"/>
                <w:sz w:val="21"/>
                <w:szCs w:val="21"/>
                <w:highlight w:val="none"/>
                <w:lang w:eastAsia="zh-CN"/>
              </w:rPr>
              <w:t>详见</w:t>
            </w:r>
            <w:r>
              <w:rPr>
                <w:rFonts w:hint="default" w:ascii="Times New Roman" w:hAnsi="Times New Roman" w:eastAsia="宋体" w:cs="Times New Roman"/>
                <w:color w:val="auto"/>
                <w:sz w:val="21"/>
                <w:szCs w:val="21"/>
                <w:highlight w:val="none"/>
                <w:lang w:val="en-US" w:eastAsia="zh-CN"/>
              </w:rPr>
              <w:t>P</w:t>
            </w:r>
            <w:r>
              <w:rPr>
                <w:rFonts w:hint="eastAsia" w:cs="Times New Roman"/>
                <w:color w:val="auto"/>
                <w:sz w:val="21"/>
                <w:szCs w:val="21"/>
                <w:highlight w:val="none"/>
                <w:lang w:val="en-US" w:eastAsia="zh-CN"/>
              </w:rPr>
              <w:t>59</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图</w:t>
            </w:r>
            <w:r>
              <w:rPr>
                <w:rFonts w:hint="default" w:ascii="Times New Roman" w:hAnsi="Times New Roman" w:eastAsia="宋体" w:cs="Times New Roman"/>
                <w:color w:val="auto"/>
                <w:sz w:val="21"/>
                <w:szCs w:val="21"/>
                <w:highlight w:val="none"/>
                <w:lang w:val="en-US" w:eastAsia="zh-CN"/>
              </w:rPr>
              <w:t>4-3。</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已核实水平衡图，</w:t>
            </w:r>
            <w:r>
              <w:rPr>
                <w:rFonts w:hint="default" w:ascii="Times New Roman" w:hAnsi="Times New Roman" w:eastAsia="宋体" w:cs="Times New Roman"/>
                <w:color w:val="auto"/>
                <w:sz w:val="21"/>
                <w:szCs w:val="21"/>
                <w:highlight w:val="none"/>
                <w:lang w:eastAsia="zh-CN"/>
              </w:rPr>
              <w:t>详见</w:t>
            </w:r>
            <w:r>
              <w:rPr>
                <w:rFonts w:hint="default" w:ascii="Times New Roman" w:hAnsi="Times New Roman" w:eastAsia="宋体" w:cs="Times New Roman"/>
                <w:color w:val="auto"/>
                <w:sz w:val="21"/>
                <w:szCs w:val="21"/>
                <w:highlight w:val="none"/>
                <w:lang w:val="en-US" w:eastAsia="zh-CN"/>
              </w:rPr>
              <w:t>P</w:t>
            </w:r>
            <w:r>
              <w:rPr>
                <w:rFonts w:hint="eastAsia"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lang w:val="en-US" w:eastAsia="zh-CN"/>
              </w:rPr>
              <w:t>，图4-5</w:t>
            </w:r>
            <w:r>
              <w:rPr>
                <w:rFonts w:hint="eastAsia" w:cs="Times New Roman"/>
                <w:color w:val="auto"/>
                <w:sz w:val="21"/>
                <w:szCs w:val="21"/>
                <w:highlight w:val="none"/>
                <w:lang w:val="en-US" w:eastAsia="zh-CN"/>
              </w:rPr>
              <w:t>及表4-2</w:t>
            </w: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84" w:hRule="atLeast"/>
          <w:tblHeader/>
          <w:jc w:val="center"/>
        </w:trPr>
        <w:tc>
          <w:tcPr>
            <w:tcW w:w="167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46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3、核实生产工艺过程有组织排放废气产生源强，补充计算无组织排放废气产生源强，完善大气预测内容。</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60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eastAsia="zh-CN"/>
              </w:rPr>
              <w:t>已</w:t>
            </w:r>
            <w:r>
              <w:rPr>
                <w:rFonts w:hint="default" w:ascii="Times New Roman" w:hAnsi="Times New Roman" w:eastAsia="宋体" w:cs="Times New Roman"/>
                <w:color w:val="auto"/>
                <w:sz w:val="21"/>
                <w:szCs w:val="21"/>
                <w:highlight w:val="none"/>
              </w:rPr>
              <w:t>核实生产工艺过程有组织排放废气产生源强，</w:t>
            </w:r>
            <w:r>
              <w:rPr>
                <w:rFonts w:hint="default" w:ascii="Times New Roman" w:hAnsi="Times New Roman" w:eastAsia="宋体" w:cs="Times New Roman"/>
                <w:color w:val="auto"/>
                <w:sz w:val="21"/>
                <w:szCs w:val="21"/>
                <w:highlight w:val="none"/>
                <w:lang w:eastAsia="zh-CN"/>
              </w:rPr>
              <w:t>详见</w:t>
            </w:r>
            <w:r>
              <w:rPr>
                <w:rFonts w:hint="default" w:ascii="Times New Roman" w:hAnsi="Times New Roman" w:eastAsia="宋体" w:cs="Times New Roman"/>
                <w:color w:val="auto"/>
                <w:sz w:val="21"/>
                <w:szCs w:val="21"/>
                <w:highlight w:val="none"/>
                <w:lang w:val="en-US" w:eastAsia="zh-CN"/>
              </w:rPr>
              <w:t>P</w:t>
            </w:r>
            <w:r>
              <w:rPr>
                <w:rFonts w:hint="eastAsia" w:cs="Times New Roman"/>
                <w:color w:val="auto"/>
                <w:sz w:val="21"/>
                <w:szCs w:val="21"/>
                <w:highlight w:val="none"/>
                <w:lang w:val="en-US" w:eastAsia="zh-CN"/>
              </w:rPr>
              <w:t>64</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4-4。</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eastAsia="zh-CN"/>
              </w:rPr>
              <w:t>已</w:t>
            </w:r>
            <w:r>
              <w:rPr>
                <w:rFonts w:hint="default" w:ascii="Times New Roman" w:hAnsi="Times New Roman" w:eastAsia="宋体" w:cs="Times New Roman"/>
                <w:color w:val="auto"/>
                <w:sz w:val="21"/>
                <w:szCs w:val="21"/>
                <w:highlight w:val="none"/>
              </w:rPr>
              <w:t>补充计算无组织排放废气产生源强</w:t>
            </w:r>
            <w:r>
              <w:rPr>
                <w:rFonts w:hint="default" w:ascii="Times New Roman" w:hAnsi="Times New Roman" w:eastAsia="宋体" w:cs="Times New Roman"/>
                <w:color w:val="auto"/>
                <w:sz w:val="21"/>
                <w:szCs w:val="21"/>
                <w:highlight w:val="none"/>
                <w:lang w:eastAsia="zh-CN"/>
              </w:rPr>
              <w:t>，详见</w:t>
            </w:r>
            <w:r>
              <w:rPr>
                <w:rFonts w:hint="eastAsia" w:cs="Times New Roman"/>
                <w:color w:val="auto"/>
                <w:sz w:val="21"/>
                <w:szCs w:val="21"/>
                <w:highlight w:val="none"/>
                <w:lang w:val="en-US" w:eastAsia="zh-CN"/>
              </w:rPr>
              <w:t>63</w:t>
            </w:r>
            <w:r>
              <w:rPr>
                <w:rFonts w:hint="default" w:ascii="Times New Roman" w:hAnsi="Times New Roman" w:eastAsia="宋体" w:cs="Times New Roman"/>
                <w:color w:val="auto"/>
                <w:sz w:val="21"/>
                <w:szCs w:val="21"/>
                <w:highlight w:val="none"/>
                <w:lang w:val="en-US" w:eastAsia="zh-CN"/>
              </w:rPr>
              <w:t>。</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已</w:t>
            </w:r>
            <w:r>
              <w:rPr>
                <w:rFonts w:hint="default" w:ascii="Times New Roman" w:hAnsi="Times New Roman" w:eastAsia="宋体" w:cs="Times New Roman"/>
                <w:color w:val="auto"/>
                <w:sz w:val="21"/>
                <w:szCs w:val="21"/>
                <w:highlight w:val="none"/>
              </w:rPr>
              <w:t>完善大气预测内容</w:t>
            </w:r>
            <w:r>
              <w:rPr>
                <w:rFonts w:hint="default" w:ascii="Times New Roman" w:hAnsi="Times New Roman" w:eastAsia="宋体" w:cs="Times New Roman"/>
                <w:color w:val="auto"/>
                <w:sz w:val="21"/>
                <w:szCs w:val="21"/>
                <w:highlight w:val="none"/>
                <w:lang w:eastAsia="zh-CN"/>
              </w:rPr>
              <w:t>，详见</w:t>
            </w:r>
            <w:r>
              <w:rPr>
                <w:rFonts w:hint="default" w:ascii="Times New Roman" w:hAnsi="Times New Roman" w:eastAsia="宋体" w:cs="Times New Roman"/>
                <w:color w:val="auto"/>
                <w:sz w:val="21"/>
                <w:szCs w:val="21"/>
                <w:highlight w:val="none"/>
                <w:lang w:val="en-US" w:eastAsia="zh-CN"/>
              </w:rPr>
              <w:t>P</w:t>
            </w:r>
            <w:r>
              <w:rPr>
                <w:rFonts w:hint="eastAsia" w:cs="Times New Roman"/>
                <w:color w:val="auto"/>
                <w:sz w:val="21"/>
                <w:szCs w:val="21"/>
                <w:highlight w:val="none"/>
                <w:lang w:val="en-US" w:eastAsia="zh-CN"/>
              </w:rPr>
              <w:t>98-99</w:t>
            </w:r>
            <w:r>
              <w:rPr>
                <w:rFonts w:hint="default" w:ascii="Times New Roman" w:hAnsi="Times New Roman" w:eastAsia="宋体" w:cs="Times New Roman"/>
                <w:color w:val="auto"/>
                <w:sz w:val="21"/>
                <w:szCs w:val="21"/>
                <w:highlight w:val="none"/>
                <w:lang w:val="en-US" w:eastAsia="zh-CN"/>
              </w:rPr>
              <w:t>中</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）大气环境影响分析</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巴陵石化火炬台接纳</w:t>
            </w:r>
            <w:r>
              <w:rPr>
                <w:rFonts w:hint="default" w:ascii="Times New Roman" w:hAnsi="Times New Roman" w:eastAsia="宋体" w:cs="Times New Roman"/>
                <w:color w:val="auto"/>
                <w:sz w:val="21"/>
                <w:szCs w:val="21"/>
                <w:highlight w:val="none"/>
                <w:lang w:eastAsia="zh-CN"/>
              </w:rPr>
              <w:t>鑫达废气的证明见附件</w:t>
            </w:r>
            <w:r>
              <w:rPr>
                <w:rFonts w:hint="default" w:ascii="Times New Roman" w:hAnsi="Times New Roman" w:eastAsia="宋体"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45" w:hRule="atLeast"/>
          <w:tblHeader/>
          <w:jc w:val="center"/>
        </w:trPr>
        <w:tc>
          <w:tcPr>
            <w:tcW w:w="167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346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4、核实工艺废水产生源强（特别是含镍废水），提出含镍废水车间达标排放要求及措施，提出污污分流工程措施，强化废水处理工艺可行性分析。</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560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已</w:t>
            </w:r>
            <w:r>
              <w:rPr>
                <w:rFonts w:hint="default" w:ascii="Times New Roman" w:hAnsi="Times New Roman" w:eastAsia="宋体" w:cs="Times New Roman"/>
                <w:color w:val="auto"/>
                <w:sz w:val="21"/>
                <w:szCs w:val="21"/>
              </w:rPr>
              <w:t>核实工艺废水产生源强（特别是含镍废水），</w:t>
            </w:r>
            <w:r>
              <w:rPr>
                <w:rFonts w:hint="default" w:ascii="Times New Roman" w:hAnsi="Times New Roman" w:eastAsia="宋体" w:cs="Times New Roman"/>
                <w:color w:val="auto"/>
                <w:sz w:val="21"/>
                <w:szCs w:val="21"/>
                <w:lang w:eastAsia="zh-CN"/>
              </w:rPr>
              <w:t>详见</w:t>
            </w:r>
            <w:r>
              <w:rPr>
                <w:rFonts w:hint="default" w:ascii="Times New Roman" w:hAnsi="Times New Roman" w:eastAsia="宋体" w:cs="Times New Roman"/>
                <w:color w:val="auto"/>
                <w:sz w:val="21"/>
                <w:szCs w:val="21"/>
                <w:lang w:val="en-US" w:eastAsia="zh-CN"/>
              </w:rPr>
              <w:t>P</w:t>
            </w:r>
            <w:r>
              <w:rPr>
                <w:rFonts w:hint="eastAsia" w:cs="Times New Roman"/>
                <w:color w:val="auto"/>
                <w:sz w:val="21"/>
                <w:szCs w:val="21"/>
                <w:lang w:val="en-US" w:eastAsia="zh-CN"/>
              </w:rPr>
              <w:t>65表4-5</w:t>
            </w:r>
            <w:r>
              <w:rPr>
                <w:rFonts w:hint="default" w:ascii="Times New Roman" w:hAnsi="Times New Roman" w:eastAsia="宋体" w:cs="Times New Roman"/>
                <w:color w:val="auto"/>
                <w:sz w:val="21"/>
                <w:szCs w:val="21"/>
                <w:lang w:val="en-US" w:eastAsia="zh-CN"/>
              </w:rPr>
              <w:t>。</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已</w:t>
            </w:r>
            <w:r>
              <w:rPr>
                <w:rFonts w:hint="default" w:ascii="Times New Roman" w:hAnsi="Times New Roman" w:eastAsia="宋体" w:cs="Times New Roman"/>
                <w:color w:val="auto"/>
                <w:sz w:val="21"/>
                <w:szCs w:val="21"/>
                <w:highlight w:val="none"/>
              </w:rPr>
              <w:t>提出含镍废水车间达标排放要求及措施</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详见</w:t>
            </w:r>
            <w:r>
              <w:rPr>
                <w:rFonts w:hint="default" w:ascii="Times New Roman" w:hAnsi="Times New Roman" w:eastAsia="宋体" w:cs="Times New Roman"/>
                <w:color w:val="auto"/>
                <w:sz w:val="21"/>
                <w:szCs w:val="21"/>
                <w:highlight w:val="none"/>
                <w:lang w:val="en-US" w:eastAsia="zh-CN"/>
              </w:rPr>
              <w:t>P</w:t>
            </w:r>
            <w:r>
              <w:rPr>
                <w:rFonts w:hint="eastAsia" w:cs="Times New Roman"/>
                <w:color w:val="auto"/>
                <w:sz w:val="21"/>
                <w:szCs w:val="21"/>
                <w:highlight w:val="none"/>
                <w:lang w:val="en-US" w:eastAsia="zh-CN"/>
              </w:rPr>
              <w:t>59</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图</w:t>
            </w:r>
            <w:r>
              <w:rPr>
                <w:rFonts w:hint="default" w:ascii="Times New Roman" w:hAnsi="Times New Roman" w:eastAsia="宋体" w:cs="Times New Roman"/>
                <w:color w:val="auto"/>
                <w:sz w:val="21"/>
                <w:szCs w:val="21"/>
                <w:highlight w:val="none"/>
                <w:lang w:val="en-US" w:eastAsia="zh-CN"/>
              </w:rPr>
              <w:t>4-3</w:t>
            </w:r>
            <w:r>
              <w:rPr>
                <w:rFonts w:hint="eastAsia" w:cs="Times New Roman"/>
                <w:color w:val="auto"/>
                <w:sz w:val="21"/>
                <w:szCs w:val="21"/>
                <w:highlight w:val="none"/>
                <w:lang w:val="en-US" w:eastAsia="zh-CN"/>
              </w:rPr>
              <w:t>及P64-65</w:t>
            </w:r>
            <w:r>
              <w:rPr>
                <w:rFonts w:hint="default" w:ascii="Times New Roman" w:hAnsi="Times New Roman" w:eastAsia="宋体" w:cs="Times New Roman"/>
                <w:color w:val="auto"/>
                <w:sz w:val="21"/>
                <w:szCs w:val="21"/>
                <w:highlight w:val="none"/>
                <w:lang w:val="en-US" w:eastAsia="zh-CN"/>
              </w:rPr>
              <w:t>。</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w:t>
            </w:r>
            <w:r>
              <w:rPr>
                <w:rFonts w:hint="default" w:ascii="Times New Roman" w:hAnsi="Times New Roman" w:eastAsia="宋体" w:cs="Times New Roman"/>
                <w:color w:val="auto"/>
                <w:sz w:val="21"/>
                <w:szCs w:val="21"/>
                <w:highlight w:val="none"/>
              </w:rPr>
              <w:t>提出污污分流工程措施，强化废水处理工艺可行性分析</w:t>
            </w:r>
            <w:r>
              <w:rPr>
                <w:rFonts w:hint="default" w:ascii="Times New Roman" w:hAnsi="Times New Roman" w:eastAsia="宋体" w:cs="Times New Roman"/>
                <w:color w:val="auto"/>
                <w:sz w:val="21"/>
                <w:szCs w:val="21"/>
                <w:highlight w:val="none"/>
                <w:lang w:eastAsia="zh-CN"/>
              </w:rPr>
              <w:t>，详见</w:t>
            </w:r>
            <w:r>
              <w:rPr>
                <w:rFonts w:hint="default" w:ascii="Times New Roman" w:hAnsi="Times New Roman" w:eastAsia="宋体" w:cs="Times New Roman"/>
                <w:color w:val="auto"/>
                <w:sz w:val="21"/>
                <w:szCs w:val="21"/>
                <w:highlight w:val="none"/>
                <w:lang w:val="en-US" w:eastAsia="zh-CN"/>
              </w:rPr>
              <w:t>P</w:t>
            </w:r>
            <w:r>
              <w:rPr>
                <w:rFonts w:hint="eastAsia" w:cs="Times New Roman"/>
                <w:color w:val="auto"/>
                <w:sz w:val="21"/>
                <w:szCs w:val="21"/>
                <w:highlight w:val="none"/>
                <w:lang w:val="en-US" w:eastAsia="zh-CN"/>
              </w:rPr>
              <w:t>64-65，P136-138</w:t>
            </w:r>
            <w:r>
              <w:rPr>
                <w:rFonts w:hint="default" w:ascii="Times New Roman" w:hAnsi="Times New Roman" w:eastAsia="宋体" w:cs="Times New Roman"/>
                <w:color w:val="auto"/>
                <w:sz w:val="21"/>
                <w:szCs w:val="21"/>
                <w:highlight w:val="none"/>
                <w:lang w:val="en-US" w:eastAsia="zh-CN"/>
              </w:rPr>
              <w:t>中</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依托污水处理设施的环境可行性分析。</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巴陵石化污水处理厂接纳</w:t>
            </w:r>
            <w:r>
              <w:rPr>
                <w:rFonts w:hint="default" w:ascii="Times New Roman" w:hAnsi="Times New Roman" w:eastAsia="宋体" w:cs="Times New Roman"/>
                <w:color w:val="auto"/>
                <w:sz w:val="21"/>
                <w:szCs w:val="21"/>
                <w:lang w:eastAsia="zh-CN"/>
              </w:rPr>
              <w:t>鑫达废水的证明见附件</w:t>
            </w:r>
            <w:r>
              <w:rPr>
                <w:rFonts w:hint="default" w:ascii="Times New Roman" w:hAnsi="Times New Roman" w:eastAsia="宋体" w:cs="Times New Roman"/>
                <w:color w:val="auto"/>
                <w:sz w:val="21"/>
                <w:szCs w:val="21"/>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blHeader/>
          <w:jc w:val="center"/>
        </w:trPr>
        <w:tc>
          <w:tcPr>
            <w:tcW w:w="167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346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5、结合导则要求及地下水评价等级，补充完善地下水影响分析。</w:t>
            </w:r>
          </w:p>
        </w:tc>
        <w:tc>
          <w:tcPr>
            <w:tcW w:w="560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结合导则要求及地下水评价等级，</w:t>
            </w:r>
            <w:r>
              <w:rPr>
                <w:rFonts w:hint="default" w:ascii="Times New Roman" w:hAnsi="Times New Roman" w:eastAsia="宋体" w:cs="Times New Roman"/>
                <w:color w:val="auto"/>
                <w:sz w:val="21"/>
                <w:szCs w:val="21"/>
                <w:lang w:eastAsia="zh-CN"/>
              </w:rPr>
              <w:t>已</w:t>
            </w:r>
            <w:r>
              <w:rPr>
                <w:rFonts w:hint="default" w:ascii="Times New Roman" w:hAnsi="Times New Roman" w:eastAsia="宋体" w:cs="Times New Roman"/>
                <w:color w:val="auto"/>
                <w:sz w:val="21"/>
                <w:szCs w:val="21"/>
              </w:rPr>
              <w:t>补充完善地下水影响分析</w:t>
            </w:r>
            <w:r>
              <w:rPr>
                <w:rFonts w:hint="default" w:ascii="Times New Roman" w:hAnsi="Times New Roman" w:eastAsia="宋体" w:cs="Times New Roman"/>
                <w:color w:val="auto"/>
                <w:sz w:val="21"/>
                <w:szCs w:val="21"/>
                <w:lang w:eastAsia="zh-CN"/>
              </w:rPr>
              <w:t>，详见</w:t>
            </w:r>
            <w:r>
              <w:rPr>
                <w:rFonts w:hint="default" w:ascii="Times New Roman" w:hAnsi="Times New Roman" w:eastAsia="宋体" w:cs="Times New Roman"/>
                <w:color w:val="auto"/>
                <w:sz w:val="21"/>
                <w:szCs w:val="21"/>
                <w:lang w:val="en-US" w:eastAsia="zh-CN"/>
              </w:rPr>
              <w:t>P</w:t>
            </w:r>
            <w:r>
              <w:rPr>
                <w:rFonts w:hint="eastAsia" w:cs="Times New Roman"/>
                <w:color w:val="auto"/>
                <w:sz w:val="21"/>
                <w:szCs w:val="21"/>
                <w:lang w:val="en-US" w:eastAsia="zh-CN"/>
              </w:rPr>
              <w:t>101-107</w:t>
            </w: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0" w:hRule="atLeast"/>
          <w:tblHeader/>
          <w:jc w:val="center"/>
        </w:trPr>
        <w:tc>
          <w:tcPr>
            <w:tcW w:w="167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346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6、核实各类固废种类、属性及产生量，明确去向，分析固废暂存间依托可靠性。</w:t>
            </w:r>
          </w:p>
        </w:tc>
        <w:tc>
          <w:tcPr>
            <w:tcW w:w="560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已</w:t>
            </w:r>
            <w:r>
              <w:rPr>
                <w:rFonts w:hint="default" w:ascii="Times New Roman" w:hAnsi="Times New Roman" w:eastAsia="宋体" w:cs="Times New Roman"/>
                <w:color w:val="auto"/>
                <w:sz w:val="21"/>
                <w:szCs w:val="21"/>
              </w:rPr>
              <w:t>核实各类固废种类、属性及产生量，明确去向，分析固废暂存间依托可靠性</w:t>
            </w:r>
            <w:r>
              <w:rPr>
                <w:rFonts w:hint="default" w:ascii="Times New Roman" w:hAnsi="Times New Roman" w:eastAsia="宋体" w:cs="Times New Roman"/>
                <w:color w:val="auto"/>
                <w:sz w:val="21"/>
                <w:szCs w:val="21"/>
                <w:lang w:eastAsia="zh-CN"/>
              </w:rPr>
              <w:t>，详见</w:t>
            </w:r>
            <w:r>
              <w:rPr>
                <w:rFonts w:hint="default" w:ascii="Times New Roman" w:hAnsi="Times New Roman" w:eastAsia="宋体" w:cs="Times New Roman"/>
                <w:color w:val="auto"/>
                <w:sz w:val="21"/>
                <w:szCs w:val="21"/>
                <w:lang w:val="en-US" w:eastAsia="zh-CN"/>
              </w:rPr>
              <w:t>P</w:t>
            </w:r>
            <w:r>
              <w:rPr>
                <w:rFonts w:hint="eastAsia" w:cs="Times New Roman"/>
                <w:color w:val="auto"/>
                <w:sz w:val="21"/>
                <w:szCs w:val="21"/>
                <w:lang w:val="en-US" w:eastAsia="zh-CN"/>
              </w:rPr>
              <w:t>67</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lang w:val="en-US" w:eastAsia="zh-CN"/>
              </w:rPr>
              <w:t>4-7</w:t>
            </w: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8" w:hRule="atLeast"/>
          <w:tblHeader/>
          <w:jc w:val="center"/>
        </w:trPr>
        <w:tc>
          <w:tcPr>
            <w:tcW w:w="167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346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7、校核项目建设前后污染物排放的“三本账”。</w:t>
            </w:r>
          </w:p>
        </w:tc>
        <w:tc>
          <w:tcPr>
            <w:tcW w:w="560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已</w:t>
            </w:r>
            <w:r>
              <w:rPr>
                <w:rFonts w:hint="default" w:ascii="Times New Roman" w:hAnsi="Times New Roman" w:eastAsia="宋体" w:cs="Times New Roman"/>
                <w:color w:val="auto"/>
                <w:sz w:val="21"/>
                <w:szCs w:val="21"/>
              </w:rPr>
              <w:t>校核项目建设前后污染物排放的“三本账”</w:t>
            </w:r>
            <w:r>
              <w:rPr>
                <w:rFonts w:hint="default" w:ascii="Times New Roman" w:hAnsi="Times New Roman" w:eastAsia="宋体" w:cs="Times New Roman"/>
                <w:color w:val="auto"/>
                <w:sz w:val="21"/>
                <w:szCs w:val="21"/>
                <w:lang w:eastAsia="zh-CN"/>
              </w:rPr>
              <w:t>，详见</w:t>
            </w:r>
            <w:r>
              <w:rPr>
                <w:rFonts w:hint="default" w:ascii="Times New Roman" w:hAnsi="Times New Roman" w:eastAsia="宋体" w:cs="Times New Roman"/>
                <w:color w:val="auto"/>
                <w:sz w:val="21"/>
                <w:szCs w:val="21"/>
                <w:lang w:val="en-US" w:eastAsia="zh-CN"/>
              </w:rPr>
              <w:t>P</w:t>
            </w:r>
            <w:r>
              <w:rPr>
                <w:rFonts w:hint="eastAsia" w:cs="Times New Roman"/>
                <w:color w:val="auto"/>
                <w:sz w:val="21"/>
                <w:szCs w:val="21"/>
                <w:lang w:val="en-US" w:eastAsia="zh-CN"/>
              </w:rPr>
              <w:t>68-69</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lang w:val="en-US" w:eastAsia="zh-CN"/>
              </w:rPr>
              <w:t>4-8、表4-9</w:t>
            </w: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4" w:hRule="atLeast"/>
          <w:tblHeader/>
          <w:jc w:val="center"/>
        </w:trPr>
        <w:tc>
          <w:tcPr>
            <w:tcW w:w="167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346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8、结合核实的风险评价等级，完善风险影响分析。</w:t>
            </w:r>
          </w:p>
        </w:tc>
        <w:tc>
          <w:tcPr>
            <w:tcW w:w="560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结合核实的风险评价等级，</w:t>
            </w:r>
            <w:r>
              <w:rPr>
                <w:rFonts w:hint="default" w:ascii="Times New Roman" w:hAnsi="Times New Roman" w:eastAsia="宋体" w:cs="Times New Roman"/>
                <w:color w:val="auto"/>
                <w:sz w:val="21"/>
                <w:szCs w:val="21"/>
                <w:lang w:eastAsia="zh-CN"/>
              </w:rPr>
              <w:t>已</w:t>
            </w:r>
            <w:r>
              <w:rPr>
                <w:rFonts w:hint="default" w:ascii="Times New Roman" w:hAnsi="Times New Roman" w:eastAsia="宋体" w:cs="Times New Roman"/>
                <w:color w:val="auto"/>
                <w:sz w:val="21"/>
                <w:szCs w:val="21"/>
              </w:rPr>
              <w:t>完善风险影响分析</w:t>
            </w:r>
            <w:r>
              <w:rPr>
                <w:rFonts w:hint="default" w:ascii="Times New Roman" w:hAnsi="Times New Roman" w:eastAsia="宋体" w:cs="Times New Roman"/>
                <w:color w:val="auto"/>
                <w:sz w:val="21"/>
                <w:szCs w:val="21"/>
                <w:lang w:eastAsia="zh-CN"/>
              </w:rPr>
              <w:t>，详见</w:t>
            </w:r>
            <w:r>
              <w:rPr>
                <w:rFonts w:hint="default" w:ascii="Times New Roman" w:hAnsi="Times New Roman" w:eastAsia="宋体" w:cs="Times New Roman"/>
                <w:color w:val="auto"/>
                <w:sz w:val="21"/>
                <w:szCs w:val="21"/>
                <w:lang w:val="en-US" w:eastAsia="zh-CN"/>
              </w:rPr>
              <w:t>P</w:t>
            </w:r>
            <w:r>
              <w:rPr>
                <w:rFonts w:hint="eastAsia" w:cs="Times New Roman"/>
                <w:color w:val="auto"/>
                <w:sz w:val="21"/>
                <w:szCs w:val="21"/>
                <w:lang w:val="en-US" w:eastAsia="zh-CN"/>
              </w:rPr>
              <w:t>129-134</w:t>
            </w: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0" w:hRule="atLeast"/>
          <w:tblHeader/>
          <w:jc w:val="center"/>
        </w:trPr>
        <w:tc>
          <w:tcPr>
            <w:tcW w:w="1675"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四、其他</w:t>
            </w:r>
          </w:p>
        </w:tc>
        <w:tc>
          <w:tcPr>
            <w:tcW w:w="346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1、结合项目排污特征（镍），强化项目建设与《岳阳市生态环境保护“十三五”规划》相符性分析。</w:t>
            </w:r>
          </w:p>
        </w:tc>
        <w:tc>
          <w:tcPr>
            <w:tcW w:w="560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已</w:t>
            </w:r>
            <w:r>
              <w:rPr>
                <w:rFonts w:hint="default" w:ascii="Times New Roman" w:hAnsi="Times New Roman" w:eastAsia="宋体" w:cs="Times New Roman"/>
                <w:color w:val="auto"/>
                <w:sz w:val="21"/>
                <w:szCs w:val="21"/>
              </w:rPr>
              <w:t>结合项目排污特征（镍），强化项目建设与《岳阳市生态环境保护“十三五”规划》相符性分析</w:t>
            </w:r>
            <w:r>
              <w:rPr>
                <w:rFonts w:hint="default" w:ascii="Times New Roman" w:hAnsi="Times New Roman" w:eastAsia="宋体" w:cs="Times New Roman"/>
                <w:color w:val="auto"/>
                <w:sz w:val="21"/>
                <w:szCs w:val="21"/>
                <w:lang w:eastAsia="zh-CN"/>
              </w:rPr>
              <w:t>，详见</w:t>
            </w:r>
            <w:r>
              <w:rPr>
                <w:rFonts w:hint="default" w:ascii="Times New Roman" w:hAnsi="Times New Roman" w:eastAsia="宋体" w:cs="Times New Roman"/>
                <w:color w:val="auto"/>
                <w:sz w:val="21"/>
                <w:szCs w:val="21"/>
                <w:lang w:val="en-US" w:eastAsia="zh-CN"/>
              </w:rPr>
              <w:t>P</w:t>
            </w:r>
            <w:r>
              <w:rPr>
                <w:rFonts w:hint="eastAsia" w:cs="Times New Roman"/>
                <w:color w:val="auto"/>
                <w:sz w:val="21"/>
                <w:szCs w:val="21"/>
                <w:lang w:val="en-US" w:eastAsia="zh-CN"/>
              </w:rPr>
              <w:t>6-7</w:t>
            </w: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3" w:hRule="atLeast"/>
          <w:tblHeader/>
          <w:jc w:val="center"/>
        </w:trPr>
        <w:tc>
          <w:tcPr>
            <w:tcW w:w="167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346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2、核实本项目总量控制指标。</w:t>
            </w:r>
          </w:p>
        </w:tc>
        <w:tc>
          <w:tcPr>
            <w:tcW w:w="560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核实本项目总量控制指标，详见P</w:t>
            </w:r>
            <w:r>
              <w:rPr>
                <w:rFonts w:hint="eastAsia" w:cs="Times New Roman"/>
                <w:color w:val="auto"/>
                <w:sz w:val="21"/>
                <w:szCs w:val="21"/>
                <w:lang w:val="en-US" w:eastAsia="zh-CN"/>
              </w:rPr>
              <w:t>69</w:t>
            </w:r>
            <w:r>
              <w:rPr>
                <w:rFonts w:hint="default" w:ascii="Times New Roman" w:hAnsi="Times New Roman" w:eastAsia="宋体" w:cs="Times New Roman"/>
                <w:color w:val="auto"/>
                <w:sz w:val="21"/>
                <w:szCs w:val="21"/>
                <w:lang w:val="en-US" w:eastAsia="zh-CN"/>
              </w:rPr>
              <w:t>，表4-9及P</w:t>
            </w:r>
            <w:r>
              <w:rPr>
                <w:rFonts w:hint="eastAsia" w:cs="Times New Roman"/>
                <w:color w:val="auto"/>
                <w:sz w:val="21"/>
                <w:szCs w:val="21"/>
                <w:lang w:val="en-US" w:eastAsia="zh-CN"/>
              </w:rPr>
              <w:t>146</w:t>
            </w:r>
            <w:r>
              <w:rPr>
                <w:rFonts w:hint="default" w:ascii="Times New Roman" w:hAnsi="Times New Roman" w:eastAsia="宋体" w:cs="Times New Roman"/>
                <w:color w:val="auto"/>
                <w:sz w:val="21"/>
                <w:szCs w:val="21"/>
                <w:lang w:val="en-US" w:eastAsia="zh-CN"/>
              </w:rPr>
              <w:t>表9-</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岳阳鑫达实业公司现有的COD排污权证见附件16。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2" w:hRule="atLeast"/>
          <w:tblHeader/>
          <w:jc w:val="center"/>
        </w:trPr>
        <w:tc>
          <w:tcPr>
            <w:tcW w:w="167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346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3、完善附图附件，核实项目环保投资，完善项目竣工验收表。</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560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完善附图附件，增加附件6、附件13、附件14、附件15和附件19，增加附图1</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附图</w:t>
            </w:r>
            <w:r>
              <w:rPr>
                <w:rFonts w:hint="default"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附图</w:t>
            </w:r>
            <w:r>
              <w:rPr>
                <w:rFonts w:hint="default"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9</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附图</w:t>
            </w:r>
            <w:r>
              <w:rPr>
                <w:rFonts w:hint="default"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核实项目环保投资，详见P</w:t>
            </w:r>
            <w:r>
              <w:rPr>
                <w:rFonts w:hint="eastAsia" w:cs="Times New Roman"/>
                <w:color w:val="auto"/>
                <w:sz w:val="21"/>
                <w:szCs w:val="21"/>
                <w:lang w:val="en-US" w:eastAsia="zh-CN"/>
              </w:rPr>
              <w:t>148</w:t>
            </w:r>
            <w:r>
              <w:rPr>
                <w:rFonts w:hint="default" w:ascii="Times New Roman" w:hAnsi="Times New Roman" w:eastAsia="宋体" w:cs="Times New Roman"/>
                <w:color w:val="auto"/>
                <w:sz w:val="21"/>
                <w:szCs w:val="21"/>
                <w:lang w:val="en-US" w:eastAsia="zh-CN"/>
              </w:rPr>
              <w:t>，表10-1。</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完善项目竣工验收表，</w:t>
            </w:r>
            <w:r>
              <w:rPr>
                <w:rFonts w:hint="default" w:ascii="Times New Roman" w:hAnsi="Times New Roman" w:eastAsia="宋体" w:cs="Times New Roman"/>
                <w:color w:val="auto"/>
                <w:sz w:val="21"/>
                <w:szCs w:val="21"/>
                <w:lang w:eastAsia="zh-CN"/>
              </w:rPr>
              <w:t>详见</w:t>
            </w:r>
            <w:r>
              <w:rPr>
                <w:rFonts w:hint="default" w:ascii="Times New Roman" w:hAnsi="Times New Roman" w:eastAsia="宋体" w:cs="Times New Roman"/>
                <w:color w:val="auto"/>
                <w:sz w:val="21"/>
                <w:szCs w:val="21"/>
                <w:lang w:val="en-US" w:eastAsia="zh-CN"/>
              </w:rPr>
              <w:t>P15</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15</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lang w:val="en-US" w:eastAsia="zh-CN"/>
              </w:rPr>
              <w:t>11-6。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4" w:hRule="atLeast"/>
          <w:tblHeader/>
          <w:jc w:val="center"/>
        </w:trPr>
        <w:tc>
          <w:tcPr>
            <w:tcW w:w="10738" w:type="dxa"/>
            <w:gridSpan w:val="3"/>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环评文件已按专家意见修改完善</w:t>
            </w:r>
          </w:p>
        </w:tc>
      </w:tr>
    </w:tbl>
    <w:p>
      <w:pPr>
        <w:rPr>
          <w:rFonts w:hint="default" w:ascii="Times New Roman" w:hAnsi="Times New Roman" w:cs="Times New Roman"/>
          <w:color w:val="auto"/>
        </w:rPr>
        <w:sectPr>
          <w:footerReference r:id="rId11" w:type="default"/>
          <w:pgSz w:w="11905" w:h="16838"/>
          <w:pgMar w:top="1417" w:right="1417" w:bottom="1134" w:left="1701"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pPr>
        <w:jc w:val="center"/>
        <w:rPr>
          <w:rFonts w:hint="default"/>
          <w:color w:val="auto"/>
        </w:rPr>
        <w:sectPr>
          <w:footerReference r:id="rId12" w:type="default"/>
          <w:pgSz w:w="16838" w:h="11905" w:orient="landscape"/>
          <w:pgMar w:top="1701" w:right="1417" w:bottom="1417" w:left="1134" w:header="850" w:footer="992" w:gutter="0"/>
          <w:pgBorders>
            <w:top w:val="none" w:sz="0" w:space="0"/>
            <w:left w:val="none" w:sz="0" w:space="0"/>
            <w:bottom w:val="none" w:sz="0" w:space="0"/>
            <w:right w:val="none" w:sz="0" w:space="0"/>
          </w:pgBorders>
          <w:pgNumType w:fmt="decimal" w:start="1"/>
          <w:cols w:space="0" w:num="1"/>
          <w:rtlGutter w:val="0"/>
          <w:docGrid w:linePitch="312" w:charSpace="0"/>
        </w:sectPr>
      </w:pPr>
      <w:bookmarkStart w:id="31" w:name="_Toc28370"/>
      <w:r>
        <w:rPr>
          <w:rFonts w:hint="eastAsia" w:ascii="Times New Roman" w:hAnsi="Times New Roman" w:eastAsia="宋体" w:cs="Times New Roman"/>
          <w:color w:val="auto"/>
          <w:sz w:val="44"/>
          <w:szCs w:val="44"/>
          <w:lang w:eastAsia="zh-CN"/>
        </w:rPr>
        <w:drawing>
          <wp:anchor distT="0" distB="0" distL="114300" distR="114300" simplePos="0" relativeHeight="251753472" behindDoc="0" locked="0" layoutInCell="1" allowOverlap="1">
            <wp:simplePos x="0" y="0"/>
            <wp:positionH relativeFrom="column">
              <wp:posOffset>761365</wp:posOffset>
            </wp:positionH>
            <wp:positionV relativeFrom="paragraph">
              <wp:posOffset>389255</wp:posOffset>
            </wp:positionV>
            <wp:extent cx="7707630" cy="5142230"/>
            <wp:effectExtent l="0" t="0" r="7620" b="1270"/>
            <wp:wrapTopAndBottom/>
            <wp:docPr id="99" name="图片 99" descr="微信图片_2021031712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微信图片_20210317121135"/>
                    <pic:cNvPicPr>
                      <a:picLocks noChangeAspect="1"/>
                    </pic:cNvPicPr>
                  </pic:nvPicPr>
                  <pic:blipFill>
                    <a:blip r:embed="rId28"/>
                    <a:stretch>
                      <a:fillRect/>
                    </a:stretch>
                  </pic:blipFill>
                  <pic:spPr>
                    <a:xfrm>
                      <a:off x="0" y="0"/>
                      <a:ext cx="7707630" cy="5142230"/>
                    </a:xfrm>
                    <a:prstGeom prst="rect">
                      <a:avLst/>
                    </a:prstGeom>
                  </pic:spPr>
                </pic:pic>
              </a:graphicData>
            </a:graphic>
          </wp:anchor>
        </w:drawing>
      </w:r>
      <w:r>
        <w:rPr>
          <w:rFonts w:hint="eastAsia" w:ascii="Times New Roman" w:hAnsi="Times New Roman" w:eastAsia="宋体" w:cs="Times New Roman"/>
          <w:color w:val="auto"/>
          <w:sz w:val="44"/>
          <w:szCs w:val="44"/>
          <w:lang w:eastAsia="zh-CN"/>
        </w:rPr>
        <w:t>专家评审意见的复核结果</w:t>
      </w:r>
    </w:p>
    <w:p>
      <w:pPr>
        <w:rPr>
          <w:rFonts w:hint="default"/>
          <w:color w:val="auto"/>
        </w:rPr>
      </w:pPr>
    </w:p>
    <w:p>
      <w:pPr>
        <w:pStyle w:val="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color w:val="auto"/>
          <w:sz w:val="44"/>
          <w:szCs w:val="44"/>
        </w:rPr>
      </w:pPr>
      <w:r>
        <w:rPr>
          <w:rFonts w:hint="default" w:ascii="Times New Roman" w:hAnsi="Times New Roman" w:eastAsia="宋体" w:cs="Times New Roman"/>
          <w:color w:val="auto"/>
          <w:sz w:val="44"/>
          <w:szCs w:val="44"/>
        </w:rPr>
        <w:t>概述</w:t>
      </w:r>
      <w:bookmarkEnd w:id="31"/>
    </w:p>
    <w:p>
      <w:pPr>
        <w:pStyle w:val="4"/>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color w:val="auto"/>
        </w:rPr>
      </w:pPr>
      <w:bookmarkStart w:id="32" w:name="_Toc32076"/>
      <w:bookmarkStart w:id="33" w:name="_Toc28088_WPSOffice_Level2"/>
      <w:bookmarkStart w:id="34" w:name="_Toc4339"/>
      <w:bookmarkStart w:id="35" w:name="_Toc23613_WPSOffice_Level2"/>
      <w:bookmarkStart w:id="36" w:name="_Toc31810"/>
      <w:bookmarkStart w:id="37" w:name="_Toc14028_WPSOffice_Level2"/>
      <w:bookmarkStart w:id="38" w:name="_Toc1941_WPSOffice_Level2"/>
      <w:bookmarkStart w:id="39" w:name="_Toc17389"/>
      <w:r>
        <w:rPr>
          <w:rFonts w:hint="default" w:ascii="Times New Roman" w:hAnsi="Times New Roman" w:eastAsia="宋体" w:cs="Times New Roman"/>
          <w:color w:val="auto"/>
        </w:rPr>
        <w:t>项目由来</w:t>
      </w:r>
      <w:bookmarkEnd w:id="32"/>
      <w:bookmarkEnd w:id="33"/>
      <w:bookmarkEnd w:id="34"/>
      <w:bookmarkEnd w:id="35"/>
      <w:bookmarkEnd w:id="36"/>
      <w:bookmarkEnd w:id="37"/>
      <w:bookmarkEnd w:id="38"/>
      <w:bookmarkEnd w:id="39"/>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岳阳鑫达实业有限公司是经中国石化集团公司批准，于2001年由原巴陵石化公司实施改制后组建的一家股份制化工企业，注册资本1170万元，是巴陵石化公司最先实施改制的企业之一。公司地处</w:t>
      </w:r>
      <w:r>
        <w:rPr>
          <w:rFonts w:hint="default" w:ascii="Times New Roman" w:hAnsi="Times New Roman" w:eastAsia="宋体" w:cs="Times New Roman"/>
          <w:color w:val="auto"/>
          <w:lang w:eastAsia="zh-CN"/>
        </w:rPr>
        <w:t>岳阳市云溪区岳化大道392号</w:t>
      </w:r>
      <w:r>
        <w:rPr>
          <w:rFonts w:hint="default" w:ascii="Times New Roman" w:hAnsi="Times New Roman" w:eastAsia="宋体" w:cs="Times New Roman"/>
          <w:color w:val="auto"/>
        </w:rPr>
        <w:t>，靠近巴陵石化橡胶部，厂区占地面积9231</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rPr>
        <w:t>，建筑面积4343</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rPr>
        <w:t>。目前公司主要经营范围：抗氧剂TNP、防老剂TNPP、氯化锂、催化剂等精细化工产品的生产和销售。技术力量雄厚，检测设备齐全，生产工艺先进，产品质量稳定，是中国石油化工集团公司</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三剂</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一级供应网络成员单位。</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rPr>
        <w:t>本项目利用岳阳鑫达实业有限公司现有厂房建设加氢催化剂</w:t>
      </w:r>
      <w:r>
        <w:rPr>
          <w:rFonts w:hint="default" w:ascii="Times New Roman" w:hAnsi="Times New Roman" w:eastAsia="宋体" w:cs="Times New Roman"/>
          <w:color w:val="auto"/>
          <w:lang w:eastAsia="zh-CN"/>
        </w:rPr>
        <w:t>生产项目</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项目投产后，可形成年产</w:t>
      </w:r>
      <w:r>
        <w:rPr>
          <w:rFonts w:hint="default" w:ascii="Times New Roman" w:hAnsi="Times New Roman" w:eastAsia="宋体" w:cs="Times New Roman"/>
          <w:color w:val="auto"/>
          <w:lang w:val="en-US" w:eastAsia="zh-CN"/>
        </w:rPr>
        <w:t>500吨加氢催化剂的生产规模</w:t>
      </w:r>
      <w:r>
        <w:rPr>
          <w:rFonts w:hint="default" w:ascii="Times New Roman" w:hAnsi="Times New Roman" w:eastAsia="宋体" w:cs="Times New Roman"/>
          <w:color w:val="auto"/>
          <w:kern w:val="2"/>
          <w:sz w:val="24"/>
          <w:szCs w:val="24"/>
          <w:lang w:val="en-US" w:eastAsia="zh-CN" w:bidi="ar-SA"/>
        </w:rPr>
        <w:t>。</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2"/>
          <w:sz w:val="24"/>
          <w:szCs w:val="24"/>
          <w:u w:val="single"/>
          <w:lang w:val="en-US" w:eastAsia="zh-CN" w:bidi="ar-SA"/>
        </w:rPr>
        <w:t>项目建设目的是为</w:t>
      </w:r>
      <w:r>
        <w:rPr>
          <w:rFonts w:hint="default" w:ascii="Times New Roman" w:hAnsi="Times New Roman" w:eastAsia="宋体" w:cs="Times New Roman"/>
          <w:color w:val="auto"/>
          <w:u w:val="single"/>
        </w:rPr>
        <w:t>解决</w:t>
      </w:r>
      <w:r>
        <w:rPr>
          <w:rFonts w:hint="default" w:ascii="Times New Roman" w:hAnsi="Times New Roman" w:eastAsia="宋体" w:cs="Times New Roman"/>
          <w:color w:val="auto"/>
          <w:u w:val="single"/>
          <w:lang w:eastAsia="zh-CN"/>
        </w:rPr>
        <w:t>巴陵石化公司</w:t>
      </w:r>
      <w:r>
        <w:rPr>
          <w:rFonts w:hint="default" w:ascii="Times New Roman" w:hAnsi="Times New Roman" w:eastAsia="宋体" w:cs="Times New Roman"/>
          <w:color w:val="auto"/>
          <w:u w:val="single"/>
        </w:rPr>
        <w:t>SEPS装置投产催化剂原料</w:t>
      </w:r>
      <w:r>
        <w:rPr>
          <w:rFonts w:hint="default" w:ascii="Times New Roman" w:hAnsi="Times New Roman" w:eastAsia="宋体" w:cs="Times New Roman"/>
          <w:color w:val="auto"/>
          <w:u w:val="single"/>
          <w:lang w:eastAsia="zh-CN"/>
        </w:rPr>
        <w:t>不足</w:t>
      </w:r>
      <w:r>
        <w:rPr>
          <w:rFonts w:hint="default" w:ascii="Times New Roman" w:hAnsi="Times New Roman" w:eastAsia="宋体" w:cs="Times New Roman"/>
          <w:color w:val="auto"/>
          <w:u w:val="single"/>
        </w:rPr>
        <w:t>问题</w:t>
      </w:r>
      <w:r>
        <w:rPr>
          <w:rFonts w:hint="default" w:ascii="Times New Roman" w:hAnsi="Times New Roman" w:eastAsia="宋体" w:cs="Times New Roman"/>
          <w:color w:val="auto"/>
          <w:u w:val="single"/>
          <w:lang w:eastAsia="zh-CN"/>
        </w:rPr>
        <w:t>。项目建成投产后，产品</w:t>
      </w:r>
      <w:r>
        <w:rPr>
          <w:rFonts w:hint="default" w:ascii="Times New Roman" w:hAnsi="Times New Roman" w:eastAsia="宋体" w:cs="Times New Roman"/>
          <w:color w:val="auto"/>
          <w:u w:val="single"/>
        </w:rPr>
        <w:t>为</w:t>
      </w:r>
      <w:r>
        <w:rPr>
          <w:rFonts w:hint="default" w:ascii="Times New Roman" w:hAnsi="Times New Roman" w:eastAsia="宋体" w:cs="Times New Roman"/>
          <w:color w:val="auto"/>
          <w:u w:val="single"/>
          <w:lang w:eastAsia="zh-CN"/>
        </w:rPr>
        <w:t>岳阳</w:t>
      </w:r>
      <w:r>
        <w:rPr>
          <w:rFonts w:hint="default" w:ascii="Times New Roman" w:hAnsi="Times New Roman" w:eastAsia="宋体" w:cs="Times New Roman"/>
          <w:color w:val="auto"/>
          <w:u w:val="single"/>
        </w:rPr>
        <w:t>巴陵</w:t>
      </w:r>
      <w:r>
        <w:rPr>
          <w:rFonts w:hint="default" w:ascii="Times New Roman" w:hAnsi="Times New Roman" w:eastAsia="宋体" w:cs="Times New Roman"/>
          <w:color w:val="auto"/>
          <w:u w:val="single"/>
          <w:lang w:eastAsia="zh-CN"/>
        </w:rPr>
        <w:t>石化</w:t>
      </w:r>
      <w:r>
        <w:rPr>
          <w:rFonts w:hint="default" w:ascii="Times New Roman" w:hAnsi="Times New Roman" w:eastAsia="宋体" w:cs="Times New Roman"/>
          <w:color w:val="auto"/>
          <w:u w:val="single"/>
        </w:rPr>
        <w:t>公司橡胶部SEPS装置催化剂专用，</w:t>
      </w:r>
      <w:r>
        <w:rPr>
          <w:rFonts w:hint="default" w:ascii="Times New Roman" w:hAnsi="Times New Roman" w:eastAsia="宋体" w:cs="Times New Roman"/>
          <w:color w:val="auto"/>
          <w:u w:val="single"/>
          <w:lang w:eastAsia="zh-CN"/>
        </w:rPr>
        <w:t>可</w:t>
      </w:r>
      <w:r>
        <w:rPr>
          <w:rFonts w:hint="default" w:ascii="Times New Roman" w:hAnsi="Times New Roman" w:eastAsia="宋体" w:cs="Times New Roman"/>
          <w:color w:val="auto"/>
          <w:u w:val="single"/>
        </w:rPr>
        <w:t>保证</w:t>
      </w:r>
      <w:r>
        <w:rPr>
          <w:rFonts w:hint="default" w:ascii="Times New Roman" w:hAnsi="Times New Roman" w:eastAsia="宋体" w:cs="Times New Roman"/>
          <w:color w:val="auto"/>
          <w:u w:val="single"/>
          <w:lang w:eastAsia="zh-CN"/>
        </w:rPr>
        <w:t>巴陵石化公司橡胶部</w:t>
      </w:r>
      <w:r>
        <w:rPr>
          <w:rFonts w:hint="default" w:ascii="Times New Roman" w:hAnsi="Times New Roman" w:eastAsia="宋体" w:cs="Times New Roman"/>
          <w:color w:val="auto"/>
          <w:u w:val="single"/>
        </w:rPr>
        <w:t>SEPS装置</w:t>
      </w:r>
      <w:r>
        <w:rPr>
          <w:rFonts w:hint="default" w:ascii="Times New Roman" w:hAnsi="Times New Roman" w:eastAsia="宋体" w:cs="Times New Roman"/>
          <w:color w:val="auto"/>
          <w:u w:val="single"/>
          <w:lang w:eastAsia="zh-CN"/>
        </w:rPr>
        <w:t>生产和正常</w:t>
      </w:r>
      <w:r>
        <w:rPr>
          <w:rFonts w:hint="default" w:ascii="Times New Roman" w:hAnsi="Times New Roman" w:eastAsia="宋体" w:cs="Times New Roman"/>
          <w:color w:val="auto"/>
          <w:u w:val="single"/>
        </w:rPr>
        <w:t>运行</w:t>
      </w:r>
      <w:r>
        <w:rPr>
          <w:rFonts w:hint="default" w:ascii="Times New Roman" w:hAnsi="Times New Roman" w:eastAsia="宋体" w:cs="Times New Roman"/>
          <w:color w:val="auto"/>
        </w:rPr>
        <w:t>。</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本项目位于巴陵石化公司工业区内，工业园基础设施配套完善，为项目建设提供了良好的基础，周边道路较多，运输条件便利。本项目主要原辅材料为环己烷、</w:t>
      </w:r>
      <w:r>
        <w:rPr>
          <w:rFonts w:hint="default" w:ascii="Times New Roman" w:hAnsi="Times New Roman" w:eastAsia="宋体" w:cs="Times New Roman"/>
          <w:color w:val="auto"/>
          <w:lang w:eastAsia="zh-CN"/>
        </w:rPr>
        <w:t>液碱</w:t>
      </w:r>
      <w:r>
        <w:rPr>
          <w:rFonts w:hint="default" w:ascii="Times New Roman" w:hAnsi="Times New Roman" w:eastAsia="宋体" w:cs="Times New Roman"/>
          <w:color w:val="auto"/>
        </w:rPr>
        <w:t>、异辛酸、镍盐等，均为国内市场上可以采购到的化学品，市场供应充足，不存在紧缺和限购等制约。本项目给排水、供电、供热等公用工程可依托巴陵石化公司。综上所述，本项目建设是必要的，客观建设条件也是可行的。</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根据《中华人民共和国环境保护法》、《中华人民共和国环境影响评价法》、《建设项目环境保护管理条例》的有关规定，建设对环境有影响的项目，应当依法进行环境影响评价。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对照《国民经济行业分类》（GB/T4754-2017），岳阳鑫达实业有限公司500吨/年加氢催化剂生产项目产品代码为C类“制造业”，属于第26大类“化学原料及化学制品制造业”，第266中类“专用化学产品制造”中的第2661小类“化学试剂和助剂制造”。根据《建设项目环境影响评价分类管理名录》，本项目归入《建设项目环境影响评价分类管理名录（2021年版）》二十三大类化学原料和化学制品制造业第44类第266小类“专用化学产品制造”，按分类管理名录要求应当编制环境影响报告书。</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建设单位委托长沙水天净化技术工程有限公司承担该项目的环境影响评价编制工作。环评公司在资料收集分析研究、现场踏勘、同类工程类比调查、走访，并对项目所在地环境质量现状调查的基础上，依据国家环保部颁布的《环境影响评价技术导则》的技术要求，进行预测分析与评价，</w:t>
      </w:r>
      <w:r>
        <w:rPr>
          <w:rFonts w:hint="default" w:ascii="Times New Roman" w:hAnsi="Times New Roman" w:eastAsia="宋体" w:cs="Times New Roman"/>
          <w:color w:val="auto"/>
        </w:rPr>
        <w:t>编制完成了《岳阳鑫达实业有限公司500吨/年加氢催化剂生产项目环境影响报告书》（</w:t>
      </w:r>
      <w:r>
        <w:rPr>
          <w:rFonts w:hint="default" w:ascii="Times New Roman" w:hAnsi="Times New Roman" w:eastAsia="宋体" w:cs="Times New Roman"/>
          <w:color w:val="auto"/>
          <w:lang w:eastAsia="zh-CN"/>
        </w:rPr>
        <w:t>报批稿</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w:t>
      </w:r>
    </w:p>
    <w:p>
      <w:pPr>
        <w:pStyle w:val="4"/>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color w:val="auto"/>
        </w:rPr>
      </w:pPr>
      <w:bookmarkStart w:id="40" w:name="_Toc30220"/>
      <w:bookmarkStart w:id="41" w:name="_Toc6361"/>
      <w:r>
        <w:rPr>
          <w:rFonts w:hint="default" w:ascii="Times New Roman" w:hAnsi="Times New Roman" w:eastAsia="宋体" w:cs="Times New Roman"/>
          <w:color w:val="auto"/>
        </w:rPr>
        <w:t>建设项目特点</w:t>
      </w:r>
      <w:bookmarkEnd w:id="40"/>
      <w:bookmarkEnd w:id="41"/>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项目建成后，年产加氢催化剂500t。本项目主要原辅材料为环己烷、</w:t>
      </w:r>
      <w:r>
        <w:rPr>
          <w:rFonts w:hint="default" w:ascii="Times New Roman" w:hAnsi="Times New Roman" w:eastAsia="宋体" w:cs="Times New Roman"/>
          <w:color w:val="auto"/>
          <w:lang w:eastAsia="zh-CN"/>
        </w:rPr>
        <w:t>液碱</w:t>
      </w:r>
      <w:r>
        <w:rPr>
          <w:rFonts w:hint="default" w:ascii="Times New Roman" w:hAnsi="Times New Roman" w:eastAsia="宋体" w:cs="Times New Roman"/>
          <w:color w:val="auto"/>
        </w:rPr>
        <w:t>、异辛酸、镍盐等，项目主要特点为：涉及的生产环节较少，主要进行皂化反应、复分解反应</w:t>
      </w:r>
      <w:r>
        <w:rPr>
          <w:rFonts w:hint="default" w:ascii="Times New Roman" w:hAnsi="Times New Roman" w:eastAsia="宋体" w:cs="Times New Roman"/>
          <w:color w:val="auto"/>
          <w:lang w:eastAsia="zh-CN"/>
        </w:rPr>
        <w:t>和产品精制</w:t>
      </w:r>
      <w:r>
        <w:rPr>
          <w:rFonts w:hint="default" w:ascii="Times New Roman" w:hAnsi="Times New Roman" w:eastAsia="宋体" w:cs="Times New Roman"/>
          <w:color w:val="auto"/>
        </w:rPr>
        <w:t>等工序，工艺流程比较简单，</w:t>
      </w:r>
      <w:r>
        <w:rPr>
          <w:rFonts w:hint="default" w:ascii="Times New Roman" w:hAnsi="Times New Roman" w:eastAsia="宋体" w:cs="Times New Roman"/>
          <w:color w:val="auto"/>
          <w:lang w:eastAsia="zh-CN"/>
        </w:rPr>
        <w:t>生产</w:t>
      </w:r>
      <w:r>
        <w:rPr>
          <w:rFonts w:hint="default" w:ascii="Times New Roman" w:hAnsi="Times New Roman" w:eastAsia="宋体" w:cs="Times New Roman"/>
          <w:color w:val="auto"/>
        </w:rPr>
        <w:t>技术含量主要体现在生产过程的节点控制等方面。本项目对环境的主要影响因素</w:t>
      </w:r>
      <w:r>
        <w:rPr>
          <w:rFonts w:hint="default" w:ascii="Times New Roman" w:hAnsi="Times New Roman" w:eastAsia="宋体" w:cs="Times New Roman"/>
          <w:color w:val="auto"/>
          <w:lang w:eastAsia="zh-CN"/>
        </w:rPr>
        <w:t>：车间预处理过的含镍废水；</w:t>
      </w:r>
      <w:r>
        <w:rPr>
          <w:rFonts w:hint="default" w:ascii="Times New Roman" w:hAnsi="Times New Roman" w:eastAsia="宋体" w:cs="Times New Roman"/>
          <w:color w:val="auto"/>
        </w:rPr>
        <w:t>设备</w:t>
      </w:r>
      <w:r>
        <w:rPr>
          <w:rFonts w:hint="default" w:ascii="Times New Roman" w:hAnsi="Times New Roman" w:eastAsia="宋体" w:cs="Times New Roman"/>
          <w:color w:val="auto"/>
          <w:lang w:eastAsia="zh-CN"/>
        </w:rPr>
        <w:t>和</w:t>
      </w:r>
      <w:r>
        <w:rPr>
          <w:rFonts w:hint="default" w:ascii="Times New Roman" w:hAnsi="Times New Roman" w:eastAsia="宋体" w:cs="Times New Roman"/>
          <w:color w:val="auto"/>
        </w:rPr>
        <w:t>地面清洗废水；</w:t>
      </w:r>
      <w:r>
        <w:rPr>
          <w:rFonts w:hint="default" w:ascii="Times New Roman" w:hAnsi="Times New Roman" w:eastAsia="宋体" w:cs="Times New Roman"/>
          <w:color w:val="auto"/>
          <w:lang w:eastAsia="zh-CN"/>
        </w:rPr>
        <w:t>环己烷回收蒸馏废气、间歇排放的放空氮气及原料在灌装过程和给料接口逸散出的无组织排放</w:t>
      </w:r>
      <w:r>
        <w:rPr>
          <w:rFonts w:hint="default" w:ascii="Times New Roman" w:hAnsi="Times New Roman" w:eastAsia="宋体" w:cs="Times New Roman"/>
          <w:color w:val="auto"/>
        </w:rPr>
        <w:t>废气；设备噪声</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沾染原材料的空桶等危险废物。</w:t>
      </w:r>
    </w:p>
    <w:p>
      <w:pPr>
        <w:pStyle w:val="4"/>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color w:val="auto"/>
        </w:rPr>
      </w:pPr>
      <w:bookmarkStart w:id="42" w:name="_Toc6323"/>
      <w:bookmarkStart w:id="43" w:name="_Toc19527"/>
      <w:bookmarkStart w:id="44" w:name="_Toc32579"/>
      <w:bookmarkStart w:id="45" w:name="_Toc17211"/>
      <w:bookmarkStart w:id="46" w:name="_Toc3351"/>
      <w:bookmarkStart w:id="47" w:name="_Toc17216"/>
      <w:bookmarkStart w:id="48" w:name="_Toc20479"/>
      <w:bookmarkStart w:id="49" w:name="_Toc6319"/>
      <w:r>
        <w:rPr>
          <w:rFonts w:hint="default" w:ascii="Times New Roman" w:hAnsi="Times New Roman" w:eastAsia="宋体" w:cs="Times New Roman"/>
          <w:color w:val="auto"/>
        </w:rPr>
        <w:t>环境影响评价</w:t>
      </w:r>
      <w:r>
        <w:rPr>
          <w:rFonts w:hint="default" w:ascii="Times New Roman" w:hAnsi="Times New Roman" w:eastAsia="宋体" w:cs="Times New Roman"/>
          <w:color w:val="auto"/>
          <w:lang w:eastAsia="zh-CN"/>
        </w:rPr>
        <w:t>的</w:t>
      </w:r>
      <w:r>
        <w:rPr>
          <w:rFonts w:hint="default" w:ascii="Times New Roman" w:hAnsi="Times New Roman" w:eastAsia="宋体" w:cs="Times New Roman"/>
          <w:color w:val="auto"/>
        </w:rPr>
        <w:t>工作</w:t>
      </w:r>
      <w:bookmarkEnd w:id="42"/>
      <w:bookmarkEnd w:id="43"/>
      <w:bookmarkEnd w:id="44"/>
      <w:bookmarkEnd w:id="45"/>
      <w:bookmarkEnd w:id="46"/>
      <w:r>
        <w:rPr>
          <w:rFonts w:hint="default" w:ascii="Times New Roman" w:hAnsi="Times New Roman" w:eastAsia="宋体" w:cs="Times New Roman"/>
          <w:color w:val="auto"/>
        </w:rPr>
        <w:t>过程</w:t>
      </w:r>
      <w:bookmarkEnd w:id="47"/>
      <w:bookmarkEnd w:id="48"/>
      <w:bookmarkEnd w:id="49"/>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lang w:val="en-US" w:eastAsia="zh-CN"/>
        </w:rPr>
        <w:t>2019年12月，岳阳鑫达实业有限公司委托长沙水天净化技术工程有限公司承担岳阳鑫达实业有限公司500吨/年加氢催化剂生产项目的环境影响评价工作（环评委托书见</w:t>
      </w:r>
      <w:r>
        <w:rPr>
          <w:rFonts w:hint="default" w:ascii="Times New Roman" w:hAnsi="Times New Roman" w:eastAsia="宋体" w:cs="Times New Roman"/>
          <w:color w:val="auto"/>
          <w:highlight w:val="none"/>
          <w:lang w:val="en-US" w:eastAsia="zh-CN"/>
        </w:rPr>
        <w:t>附件1）。</w:t>
      </w:r>
      <w:r>
        <w:rPr>
          <w:rFonts w:hint="default" w:ascii="Times New Roman" w:hAnsi="Times New Roman" w:eastAsia="宋体" w:cs="Times New Roman"/>
          <w:color w:val="auto"/>
          <w:lang w:val="en-US" w:eastAsia="zh-CN"/>
        </w:rPr>
        <w:t>我单位承接任务后，组成环境影响评价工作小组。随即安排有关环评技术人员赴现场进行调查，收集有关资料，调查厂址周围的地表水、环境空气、声环境、地下水和土壤环境质量现状资料，收集了项目所在区域近期环境质量现状监测数据在环境影响信息公示平台完成项目环评信息公示；并根据项目的规模、污染物排放量及其“三废”处理措施，分析和预测项目可能对周围环境产生的影响程度和范围，提出相应的减缓环境影响的对策和措施。在以上基础上，根据国家、省市的有关环保法规及环境影响评价技术导则的要求，并结合本项目的工程特点，编制完成了《岳</w:t>
      </w:r>
      <w:r>
        <w:rPr>
          <w:rFonts w:hint="default" w:ascii="Times New Roman" w:hAnsi="Times New Roman" w:eastAsia="宋体" w:cs="Times New Roman"/>
          <w:color w:val="auto"/>
          <w:highlight w:val="none"/>
          <w:lang w:val="en-US" w:eastAsia="zh-CN"/>
        </w:rPr>
        <w:t>阳鑫达实业有限公司500吨/年加氢催化剂生产项目环境影响报告书》（送审稿），2020年3月20日，在《湖南工人报》登载了环评项目信息，2020年3月25日，在《湖南工人报》登载了环评项目公参公示，2020年3月29日，通过网络在环境影响信息公示平台公开送审稿。并在岳阳市云溪区公众易于知悉的场所张贴公告（见附图16）。现提交《岳阳鑫达实业有限公司500吨/年加氢催化剂生产项目环境影响报告书》（报批稿）呈送环保主管部门审查。</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drawing>
          <wp:anchor distT="0" distB="0" distL="114300" distR="114300" simplePos="0" relativeHeight="251662336" behindDoc="0" locked="0" layoutInCell="1" allowOverlap="1">
            <wp:simplePos x="0" y="0"/>
            <wp:positionH relativeFrom="column">
              <wp:posOffset>306705</wp:posOffset>
            </wp:positionH>
            <wp:positionV relativeFrom="paragraph">
              <wp:posOffset>343535</wp:posOffset>
            </wp:positionV>
            <wp:extent cx="4714875" cy="6229350"/>
            <wp:effectExtent l="0" t="0" r="9525" b="0"/>
            <wp:wrapTopAndBottom/>
            <wp:docPr id="15" name="图片 2" descr="C:\Users\Administrator\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C:\Users\Administrator\Desktop\图片1.jpg图片1"/>
                    <pic:cNvPicPr>
                      <a:picLocks noChangeAspect="1"/>
                    </pic:cNvPicPr>
                  </pic:nvPicPr>
                  <pic:blipFill>
                    <a:blip r:embed="rId29"/>
                    <a:srcRect/>
                    <a:stretch>
                      <a:fillRect/>
                    </a:stretch>
                  </pic:blipFill>
                  <pic:spPr>
                    <a:xfrm>
                      <a:off x="0" y="0"/>
                      <a:ext cx="4714875" cy="6229350"/>
                    </a:xfrm>
                    <a:prstGeom prst="rect">
                      <a:avLst/>
                    </a:prstGeom>
                    <a:noFill/>
                    <a:ln>
                      <a:noFill/>
                    </a:ln>
                  </pic:spPr>
                </pic:pic>
              </a:graphicData>
            </a:graphic>
          </wp:anchor>
        </w:drawing>
      </w:r>
      <w:r>
        <w:rPr>
          <w:rFonts w:hint="default" w:ascii="Times New Roman" w:hAnsi="Times New Roman" w:eastAsia="宋体" w:cs="Times New Roman"/>
          <w:color w:val="auto"/>
          <w:lang w:val="en-US" w:eastAsia="zh-CN"/>
        </w:rPr>
        <w:t>本项目环境影响评价程序</w:t>
      </w: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REF _Ref20392 \h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lang w:val="en-US" w:eastAsia="zh-CN"/>
        </w:rPr>
        <w:t xml:space="preserve">图 </w:t>
      </w: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STYLEREF 1 \s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fldChar w:fldCharType="end"/>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fldChar w:fldCharType="end"/>
      </w:r>
      <w:r>
        <w:rPr>
          <w:rFonts w:hint="default" w:ascii="Times New Roman" w:hAnsi="Times New Roman" w:eastAsia="宋体" w:cs="Times New Roman"/>
          <w:color w:val="auto"/>
          <w:lang w:val="en-US" w:eastAsia="zh-CN"/>
        </w:rPr>
        <w:t>所示。</w:t>
      </w:r>
    </w:p>
    <w:p>
      <w:pPr>
        <w:pStyle w:val="14"/>
        <w:widowControl w:val="0"/>
        <w:bidi w:val="0"/>
        <w:spacing w:line="36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color w:val="auto"/>
        </w:rPr>
        <w:t xml:space="preserve">图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图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eastAsia="宋体" w:cs="Times New Roman"/>
          <w:b/>
          <w:bCs/>
          <w:color w:val="auto"/>
          <w:kern w:val="2"/>
          <w:sz w:val="21"/>
          <w:szCs w:val="21"/>
          <w:lang w:val="en-US" w:eastAsia="zh-CN" w:bidi="ar-SA"/>
        </w:rPr>
        <w:t>环境影响评价程序图</w:t>
      </w:r>
    </w:p>
    <w:p>
      <w:pPr>
        <w:pStyle w:val="4"/>
        <w:keepNext w:val="0"/>
        <w:keepLines w:val="0"/>
        <w:pageBreakBefore w:val="0"/>
        <w:widowControl w:val="0"/>
        <w:kinsoku/>
        <w:wordWrap/>
        <w:overflowPunct/>
        <w:topLinePunct w:val="0"/>
        <w:autoSpaceDE/>
        <w:autoSpaceDN/>
        <w:bidi w:val="0"/>
        <w:adjustRightInd w:val="0"/>
        <w:snapToGrid w:val="0"/>
        <w:spacing w:beforeLines="0" w:afterLines="0"/>
        <w:textAlignment w:val="auto"/>
        <w:outlineLvl w:val="1"/>
        <w:rPr>
          <w:rFonts w:hint="default" w:ascii="Times New Roman" w:hAnsi="Times New Roman" w:eastAsia="宋体" w:cs="Times New Roman"/>
          <w:color w:val="auto"/>
        </w:rPr>
      </w:pPr>
      <w:bookmarkStart w:id="50" w:name="_Toc24020"/>
      <w:bookmarkStart w:id="51" w:name="_Toc19840"/>
      <w:bookmarkStart w:id="52" w:name="_Toc15228"/>
      <w:r>
        <w:rPr>
          <w:rFonts w:hint="default" w:ascii="Times New Roman" w:hAnsi="Times New Roman" w:eastAsia="宋体" w:cs="Times New Roman"/>
          <w:color w:val="auto"/>
        </w:rPr>
        <w:t>分析判定相关情况</w:t>
      </w:r>
      <w:bookmarkEnd w:id="50"/>
      <w:bookmarkEnd w:id="51"/>
      <w:bookmarkEnd w:id="52"/>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eastAsia="宋体" w:cs="Times New Roman"/>
          <w:color w:val="auto"/>
        </w:rPr>
      </w:pPr>
      <w:bookmarkStart w:id="53" w:name="_Toc19503"/>
      <w:r>
        <w:rPr>
          <w:rFonts w:hint="default" w:ascii="Times New Roman" w:hAnsi="Times New Roman" w:eastAsia="宋体" w:cs="Times New Roman"/>
          <w:color w:val="auto"/>
          <w:lang w:eastAsia="zh-CN"/>
        </w:rPr>
        <w:t>产业政策相符性分析</w:t>
      </w:r>
      <w:bookmarkEnd w:id="53"/>
    </w:p>
    <w:p>
      <w:pPr>
        <w:pStyle w:val="39"/>
        <w:keepNext w:val="0"/>
        <w:keepLines w:val="0"/>
        <w:pageBreakBefore w:val="0"/>
        <w:widowControl w:val="0"/>
        <w:numPr>
          <w:ilvl w:val="0"/>
          <w:numId w:val="4"/>
        </w:numPr>
        <w:kinsoku/>
        <w:wordWrap/>
        <w:overflowPunct/>
        <w:topLinePunct w:val="0"/>
        <w:autoSpaceDE/>
        <w:autoSpaceDN/>
        <w:bidi w:val="0"/>
        <w:adjustRightInd w:val="0"/>
        <w:snapToGrid w:val="0"/>
        <w:ind w:lef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与《产业结构调整指导目录（2019年本）》的相符性</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本项目产品为加氢催化剂、贵金属催化剂，根据《国民经济行业分类》（GB/T4754-2017），项目产品代码为C类</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制造业</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，第26大</w:t>
      </w:r>
      <w:r>
        <w:rPr>
          <w:rFonts w:hint="default" w:ascii="Times New Roman" w:hAnsi="Times New Roman" w:eastAsia="宋体" w:cs="Times New Roman"/>
          <w:color w:val="auto"/>
          <w:lang w:eastAsia="zh-CN"/>
        </w:rPr>
        <w:t>类“</w:t>
      </w:r>
      <w:r>
        <w:rPr>
          <w:rFonts w:hint="default" w:ascii="Times New Roman" w:hAnsi="Times New Roman" w:eastAsia="宋体" w:cs="Times New Roman"/>
          <w:color w:val="auto"/>
        </w:rPr>
        <w:t>化学原料及化学制品制造业</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，第26</w:t>
      </w:r>
      <w:r>
        <w:rPr>
          <w:rFonts w:hint="default" w:ascii="Times New Roman" w:hAnsi="Times New Roman" w:eastAsia="宋体" w:cs="Times New Roman"/>
          <w:color w:val="auto"/>
          <w:lang w:val="en-US" w:eastAsia="zh-CN"/>
        </w:rPr>
        <w:t>6中类</w:t>
      </w:r>
      <w:r>
        <w:rPr>
          <w:rFonts w:hint="default" w:ascii="Times New Roman" w:hAnsi="Times New Roman" w:eastAsia="宋体" w:cs="Times New Roman"/>
          <w:color w:val="auto"/>
          <w:lang w:eastAsia="zh-CN"/>
        </w:rPr>
        <w:t>“专用化学产品</w:t>
      </w:r>
      <w:r>
        <w:rPr>
          <w:rFonts w:hint="default" w:ascii="Times New Roman" w:hAnsi="Times New Roman" w:eastAsia="宋体" w:cs="Times New Roman"/>
          <w:color w:val="auto"/>
        </w:rPr>
        <w:t>制造</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中第26</w:t>
      </w:r>
      <w:r>
        <w:rPr>
          <w:rFonts w:hint="default" w:ascii="Times New Roman" w:hAnsi="Times New Roman" w:eastAsia="宋体" w:cs="Times New Roman"/>
          <w:color w:val="auto"/>
          <w:lang w:val="en-US" w:eastAsia="zh-CN"/>
        </w:rPr>
        <w:t>61</w:t>
      </w:r>
      <w:r>
        <w:rPr>
          <w:rFonts w:hint="default" w:ascii="Times New Roman" w:hAnsi="Times New Roman" w:eastAsia="宋体" w:cs="Times New Roman"/>
          <w:color w:val="auto"/>
        </w:rPr>
        <w:t>小</w:t>
      </w:r>
      <w:r>
        <w:rPr>
          <w:rFonts w:hint="default" w:ascii="Times New Roman" w:hAnsi="Times New Roman" w:eastAsia="宋体" w:cs="Times New Roman"/>
          <w:color w:val="auto"/>
          <w:lang w:eastAsia="zh-CN"/>
        </w:rPr>
        <w:t>类“化学试剂和助剂制造”</w:t>
      </w:r>
      <w:r>
        <w:rPr>
          <w:rFonts w:hint="default" w:ascii="Times New Roman" w:hAnsi="Times New Roman" w:eastAsia="宋体" w:cs="Times New Roman"/>
          <w:color w:val="auto"/>
        </w:rPr>
        <w:t>。对照国务院批准颁发的《产业结构调整指导目录（2019年本）》，本项目不属于限制类和淘汰类中的相关内容。</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根据《部分工业行业淘汰落后生产工艺装备和产品指导目录（2010年本）》，本项目未使用淘汰落后的生产工艺装备，未生产淘汰落后的产品。</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因此，本项目符合国家现行产业政策。</w:t>
      </w:r>
    </w:p>
    <w:p>
      <w:pPr>
        <w:pStyle w:val="39"/>
        <w:keepNext w:val="0"/>
        <w:keepLines w:val="0"/>
        <w:pageBreakBefore w:val="0"/>
        <w:widowControl w:val="0"/>
        <w:numPr>
          <w:ilvl w:val="0"/>
          <w:numId w:val="4"/>
        </w:numPr>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与《环境保护综合名录（2017年版）》相符性</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本项目不属于《环境保护综合名录（2017年版）》中的</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一、高污染、高环境风险产品名录</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产品，符合《环境保护综合名录（2017年版）》相关要求。</w:t>
      </w:r>
    </w:p>
    <w:p>
      <w:pPr>
        <w:pStyle w:val="39"/>
        <w:keepNext w:val="0"/>
        <w:keepLines w:val="0"/>
        <w:pageBreakBefore w:val="0"/>
        <w:widowControl w:val="0"/>
        <w:numPr>
          <w:ilvl w:val="0"/>
          <w:numId w:val="4"/>
        </w:numPr>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与《湖南省石化工业</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十三五</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发展规划》相符性</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2016年10月13日，湖南省经济和信息化委员会印发《湖南省石化工业</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十三五</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发展规划》。根据规划，全省化工产业将以绿色发展为引领，通过优化资源配置和产业布局，重点发展石油化工、化工新材料、精细化工（含农药及专用化学品）、盐（氟）化工、煤化工（含化肥）等五大产业。发挥岳阳长江岸线资源、深水港口和蒙西铁路等区域优势，依托岳阳绿色化工产业园、临湘滨江工业园、常德德山经开区等化工园区和长岭分公司、巴陵石化、中石化催化剂、岳阳兴长、中创化工、湖南海利、湖南国发、益阳橡机等重点企业，加快发展石油炼制及炼化一体化中下游产业和精细化工、化工新材料等产业，将岳阳打造成为区域创新领先的、全国有重要影响力的</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综合性两型化工产业示范基地</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，并延伸发展湘北相关化工产业。</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本项目位于湖南岳阳绿色化工产业园云溪片区，产品为加氢催化剂，属于化工新材料行业。因此，本项目建设符合《湖南省石化工业</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十三五</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发展规划》。</w:t>
      </w:r>
    </w:p>
    <w:p>
      <w:pPr>
        <w:pStyle w:val="39"/>
        <w:keepNext w:val="0"/>
        <w:keepLines w:val="0"/>
        <w:pageBreakBefore w:val="0"/>
        <w:widowControl w:val="0"/>
        <w:numPr>
          <w:ilvl w:val="0"/>
          <w:numId w:val="4"/>
        </w:numPr>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与《长江经济带生态环境保护规划》相符性分析</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长江经济带生态环境保护规划》(环规财[2017]88号)文件的规定，确立水资源利用上线：强化水资源总量红线约束，促进区域经济布局与结构优化调整。严格总量指标管理，严格控制高耗水行业发展。强化水功能区水质达标管理。严守生态保护红线：将生态保护红线作为空间规划编制的重要基础，相关规划要符合生态保护红线空间管控要求，不符合的要及时进行调整。生态保护红线原则上按禁止开发区域的要求进行管理，严禁不符合主体功能定位的各类开发活动，严禁任意改变用途。坚守环境质量底线：建立水环境质量底线管理制度，坚持点源、面源和流动源综合防治策略，突出抓好良好水体保护和严重污染水体治理。全面推进环境污染治理。强化突发环境事故预防应对，严格管控环境风险。</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本项目营运期废水经收集后排入巴陵石化污水厂处理，经处理后的尾水可达到《石油化学工业污染物排放标准》（GB31571-2015）表</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中的直接排放标准后经管网排至长江。本项目位于湖南岳阳绿色化工产业园云溪片区内，总用水量相对较小。本项目在公司现有厂区内建设，不属于禁止开发区域，不在生态保护红线范围内。本项目不设置锅炉，项目产品为加氢催化剂，产生的工艺废气较少，通过</w:t>
      </w:r>
      <w:r>
        <w:rPr>
          <w:rFonts w:hint="default" w:ascii="Times New Roman" w:hAnsi="Times New Roman" w:eastAsia="宋体" w:cs="Times New Roman"/>
          <w:color w:val="auto"/>
          <w:lang w:eastAsia="zh-CN"/>
        </w:rPr>
        <w:t>巴陵石化公司</w:t>
      </w:r>
      <w:r>
        <w:rPr>
          <w:rFonts w:hint="default" w:ascii="Times New Roman" w:hAnsi="Times New Roman" w:eastAsia="宋体" w:cs="Times New Roman"/>
          <w:color w:val="auto"/>
        </w:rPr>
        <w:t>火炬台进行燃烧处理。岳阳鑫达实业有限公司于2017年4月编制了突发环境事件应急预案，并在岳阳市云溪区环境应急与事故调查中心完成备案。本项目依托厂区内已建的事故池及应急系统，落实相关风险防范措施。</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根据以上分析，本项目的建设与《长江经济带生态环境保护规划》相符。</w:t>
      </w:r>
    </w:p>
    <w:p>
      <w:pPr>
        <w:pStyle w:val="39"/>
        <w:keepNext w:val="0"/>
        <w:keepLines w:val="0"/>
        <w:pageBreakBefore w:val="0"/>
        <w:widowControl w:val="0"/>
        <w:numPr>
          <w:ilvl w:val="0"/>
          <w:numId w:val="4"/>
        </w:numPr>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与《长江经济带发展负面清单指南（试行）》相符性分析</w:t>
      </w:r>
    </w:p>
    <w:p>
      <w:pPr>
        <w:pStyle w:val="14"/>
        <w:bidi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与《长江经济带发展负面清单指南（试行）》的符合性分析</w:t>
      </w:r>
    </w:p>
    <w:tbl>
      <w:tblPr>
        <w:tblStyle w:val="25"/>
        <w:tblW w:w="901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7"/>
        <w:gridCol w:w="5046"/>
        <w:gridCol w:w="2268"/>
        <w:gridCol w:w="9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3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504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政策要求</w:t>
            </w:r>
          </w:p>
        </w:tc>
        <w:tc>
          <w:tcPr>
            <w:tcW w:w="2268"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本项目情况</w:t>
            </w:r>
          </w:p>
        </w:tc>
        <w:tc>
          <w:tcPr>
            <w:tcW w:w="964"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73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046" w:type="dxa"/>
            <w:vAlign w:val="center"/>
          </w:tcPr>
          <w:p>
            <w:pPr>
              <w:pStyle w:val="40"/>
              <w:keepNext w:val="0"/>
              <w:keepLines w:val="0"/>
              <w:suppressLineNumbers w:val="0"/>
              <w:bidi w:val="0"/>
              <w:spacing w:before="0" w:beforeAutospacing="0" w:after="0" w:afterAutospacing="0"/>
              <w:ind w:left="0" w:right="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禁止建设不符合全国和省级港口布局规划以及港口总体规划的码头项目，禁止建设不符合《长江干线过江通道布局规划》的过长江通道项目。</w:t>
            </w:r>
          </w:p>
        </w:tc>
        <w:tc>
          <w:tcPr>
            <w:tcW w:w="2268"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本项目不涉及相关事项</w:t>
            </w:r>
            <w:r>
              <w:rPr>
                <w:rFonts w:hint="default" w:ascii="Times New Roman" w:hAnsi="Times New Roman" w:cs="Times New Roman"/>
                <w:color w:val="auto"/>
                <w:sz w:val="21"/>
                <w:szCs w:val="21"/>
                <w:lang w:eastAsia="zh-CN"/>
              </w:rPr>
              <w:t>。</w:t>
            </w:r>
          </w:p>
        </w:tc>
        <w:tc>
          <w:tcPr>
            <w:tcW w:w="964"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5046" w:type="dxa"/>
            <w:vAlign w:val="center"/>
          </w:tcPr>
          <w:p>
            <w:pPr>
              <w:pStyle w:val="40"/>
              <w:keepNext w:val="0"/>
              <w:keepLines w:val="0"/>
              <w:suppressLineNumbers w:val="0"/>
              <w:bidi w:val="0"/>
              <w:spacing w:before="0" w:beforeAutospacing="0" w:after="0" w:afterAutospacing="0"/>
              <w:ind w:left="0" w:right="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禁止在自然保护区核心区、缓冲区的岸线和河段范围内投资建设旅游和生产经营项目。禁止在风景名胜区核心景区的岸线和河段范围内投资建设与风景名胜资源保护无关的项目。</w:t>
            </w:r>
          </w:p>
        </w:tc>
        <w:tc>
          <w:tcPr>
            <w:tcW w:w="2268"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不在自然保护区核心区、缓冲区的岸线和河段范围内。不在风景名胜区范围内</w:t>
            </w:r>
            <w:r>
              <w:rPr>
                <w:rFonts w:hint="default" w:ascii="Times New Roman" w:hAnsi="Times New Roman" w:cs="Times New Roman"/>
                <w:color w:val="auto"/>
                <w:sz w:val="21"/>
                <w:szCs w:val="21"/>
                <w:lang w:eastAsia="zh-CN"/>
              </w:rPr>
              <w:t>。</w:t>
            </w:r>
          </w:p>
        </w:tc>
        <w:tc>
          <w:tcPr>
            <w:tcW w:w="964"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5046" w:type="dxa"/>
            <w:vAlign w:val="center"/>
          </w:tcPr>
          <w:p>
            <w:pPr>
              <w:pStyle w:val="40"/>
              <w:keepNext w:val="0"/>
              <w:keepLines w:val="0"/>
              <w:suppressLineNumbers w:val="0"/>
              <w:bidi w:val="0"/>
              <w:spacing w:before="0" w:beforeAutospacing="0" w:after="0" w:afterAutospacing="0"/>
              <w:ind w:left="0" w:right="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2268"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不在饮用水源一级及二级保护区范围内</w:t>
            </w:r>
            <w:r>
              <w:rPr>
                <w:rFonts w:hint="default" w:ascii="Times New Roman" w:hAnsi="Times New Roman" w:cs="Times New Roman"/>
                <w:color w:val="auto"/>
                <w:sz w:val="21"/>
                <w:szCs w:val="21"/>
                <w:lang w:eastAsia="zh-CN"/>
              </w:rPr>
              <w:t>。</w:t>
            </w:r>
          </w:p>
        </w:tc>
        <w:tc>
          <w:tcPr>
            <w:tcW w:w="964"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5046" w:type="dxa"/>
            <w:vAlign w:val="center"/>
          </w:tcPr>
          <w:p>
            <w:pPr>
              <w:pStyle w:val="40"/>
              <w:keepNext w:val="0"/>
              <w:keepLines w:val="0"/>
              <w:suppressLineNumbers w:val="0"/>
              <w:bidi w:val="0"/>
              <w:spacing w:before="0" w:beforeAutospacing="0" w:after="0" w:afterAutospacing="0"/>
              <w:ind w:left="0" w:right="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在水产种质资源保护区的岸线和河段范围内新建排污口，以及围湖造田、围海造地或围填海等投资建设项目。禁止在国家湿地公园的岸线和河段范围内挖沙、采矿，以及任何不符合主体功能定位的投资建设项目。</w:t>
            </w:r>
          </w:p>
        </w:tc>
        <w:tc>
          <w:tcPr>
            <w:tcW w:w="2268"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项目不新建排污口，不新增土地，不属于围湖造田、围海造地或围填海等投资建设项目。不在国家湿地公园的岸线和河段范围内。</w:t>
            </w:r>
          </w:p>
        </w:tc>
        <w:tc>
          <w:tcPr>
            <w:tcW w:w="964"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5046" w:type="dxa"/>
            <w:vAlign w:val="center"/>
          </w:tcPr>
          <w:p>
            <w:pPr>
              <w:pStyle w:val="40"/>
              <w:keepNext w:val="0"/>
              <w:keepLines w:val="0"/>
              <w:suppressLineNumbers w:val="0"/>
              <w:bidi w:val="0"/>
              <w:spacing w:before="0" w:beforeAutospacing="0" w:after="0" w:afterAutospacing="0"/>
              <w:ind w:left="0" w:right="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2268"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本项目不在长江岸线保护区内；不在《全国重要江河湖泊水功能区划》划定的河段保护区、保留区内。</w:t>
            </w:r>
          </w:p>
        </w:tc>
        <w:tc>
          <w:tcPr>
            <w:tcW w:w="964"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1" w:hRule="atLeast"/>
          <w:jc w:val="center"/>
        </w:trPr>
        <w:tc>
          <w:tcPr>
            <w:tcW w:w="73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5046" w:type="dxa"/>
            <w:vAlign w:val="center"/>
          </w:tcPr>
          <w:p>
            <w:pPr>
              <w:pStyle w:val="40"/>
              <w:keepNext w:val="0"/>
              <w:keepLines w:val="0"/>
              <w:suppressLineNumbers w:val="0"/>
              <w:bidi w:val="0"/>
              <w:spacing w:before="0" w:beforeAutospacing="0" w:after="0" w:afterAutospacing="0"/>
              <w:ind w:left="0" w:right="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禁止在生态保护红线和永久基本农田范围内投资建设除国家重大战略资源勘查项目、生态保护修复和环境治理项目、重大基础设施项目、军事国防项目以及农牧民基本生产生活等必要的民生项目以外的项目。</w:t>
            </w:r>
          </w:p>
        </w:tc>
        <w:tc>
          <w:tcPr>
            <w:tcW w:w="2268"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不在生态保护红线和基本农田范围内。</w:t>
            </w:r>
          </w:p>
        </w:tc>
        <w:tc>
          <w:tcPr>
            <w:tcW w:w="964"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73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5046" w:type="dxa"/>
            <w:vAlign w:val="center"/>
          </w:tcPr>
          <w:p>
            <w:pPr>
              <w:pStyle w:val="40"/>
              <w:keepNext w:val="0"/>
              <w:keepLines w:val="0"/>
              <w:suppressLineNumbers w:val="0"/>
              <w:bidi w:val="0"/>
              <w:spacing w:before="0" w:beforeAutospacing="0" w:after="0" w:afterAutospacing="0"/>
              <w:ind w:left="0" w:right="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禁止在长江干支流1公里范围内新建、扩建化工园区和化工项目。禁止在合规园区外新建、扩建钢铁、石化、化工、焦化、建材、有色等高污染项目。</w:t>
            </w:r>
          </w:p>
        </w:tc>
        <w:tc>
          <w:tcPr>
            <w:tcW w:w="2268"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本项目在湖南岳阳绿色化工产业园内，不在长江干支流1公里范围内。</w:t>
            </w:r>
          </w:p>
        </w:tc>
        <w:tc>
          <w:tcPr>
            <w:tcW w:w="964"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73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5046" w:type="dxa"/>
            <w:vAlign w:val="center"/>
          </w:tcPr>
          <w:p>
            <w:pPr>
              <w:pStyle w:val="40"/>
              <w:keepNext w:val="0"/>
              <w:keepLines w:val="0"/>
              <w:suppressLineNumbers w:val="0"/>
              <w:bidi w:val="0"/>
              <w:spacing w:before="0" w:beforeAutospacing="0" w:after="0" w:afterAutospacing="0"/>
              <w:ind w:left="0" w:right="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禁止新建、扩建不符合国家石化、现代煤化工等产业布局规划的项目。</w:t>
            </w:r>
          </w:p>
        </w:tc>
        <w:tc>
          <w:tcPr>
            <w:tcW w:w="2268"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不涉及不符合国家石化、现代煤化等产业布局规划项目</w:t>
            </w:r>
            <w:r>
              <w:rPr>
                <w:rFonts w:hint="default" w:ascii="Times New Roman" w:hAnsi="Times New Roman" w:cs="Times New Roman"/>
                <w:color w:val="auto"/>
                <w:sz w:val="21"/>
                <w:szCs w:val="21"/>
                <w:lang w:eastAsia="zh-CN"/>
              </w:rPr>
              <w:t>。</w:t>
            </w:r>
          </w:p>
        </w:tc>
        <w:tc>
          <w:tcPr>
            <w:tcW w:w="964"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73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5046" w:type="dxa"/>
            <w:vAlign w:val="center"/>
          </w:tcPr>
          <w:p>
            <w:pPr>
              <w:pStyle w:val="40"/>
              <w:keepNext w:val="0"/>
              <w:keepLines w:val="0"/>
              <w:suppressLineNumbers w:val="0"/>
              <w:bidi w:val="0"/>
              <w:spacing w:before="0" w:beforeAutospacing="0" w:after="0" w:afterAutospacing="0"/>
              <w:ind w:left="0" w:right="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禁止新建、扩建法律法规和相关政策明令禁止的落后产能项目。</w:t>
            </w:r>
          </w:p>
        </w:tc>
        <w:tc>
          <w:tcPr>
            <w:tcW w:w="2268"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不涉及落后产能项目建设</w:t>
            </w:r>
            <w:r>
              <w:rPr>
                <w:rFonts w:hint="default" w:ascii="Times New Roman" w:hAnsi="Times New Roman" w:cs="Times New Roman"/>
                <w:color w:val="auto"/>
                <w:sz w:val="21"/>
                <w:szCs w:val="21"/>
                <w:lang w:eastAsia="zh-CN"/>
              </w:rPr>
              <w:t>。</w:t>
            </w:r>
          </w:p>
        </w:tc>
        <w:tc>
          <w:tcPr>
            <w:tcW w:w="964"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73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5046" w:type="dxa"/>
            <w:vAlign w:val="center"/>
          </w:tcPr>
          <w:p>
            <w:pPr>
              <w:pStyle w:val="40"/>
              <w:keepNext w:val="0"/>
              <w:keepLines w:val="0"/>
              <w:suppressLineNumbers w:val="0"/>
              <w:bidi w:val="0"/>
              <w:spacing w:before="0" w:beforeAutospacing="0" w:after="0" w:afterAutospacing="0"/>
              <w:ind w:left="0" w:right="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禁止新建、扩建不符合国家产能置换要求的严重过剩产能行业的项目。</w:t>
            </w:r>
          </w:p>
        </w:tc>
        <w:tc>
          <w:tcPr>
            <w:tcW w:w="2268"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不涉及严重过剩产能行业的项目</w:t>
            </w:r>
            <w:r>
              <w:rPr>
                <w:rFonts w:hint="default" w:ascii="Times New Roman" w:hAnsi="Times New Roman" w:cs="Times New Roman"/>
                <w:color w:val="auto"/>
                <w:sz w:val="21"/>
                <w:szCs w:val="21"/>
                <w:lang w:eastAsia="zh-CN"/>
              </w:rPr>
              <w:t>。</w:t>
            </w:r>
          </w:p>
        </w:tc>
        <w:tc>
          <w:tcPr>
            <w:tcW w:w="964"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bl>
    <w:p>
      <w:pPr>
        <w:pStyle w:val="39"/>
        <w:keepNext w:val="0"/>
        <w:keepLines w:val="0"/>
        <w:pageBreakBefore w:val="0"/>
        <w:widowControl w:val="0"/>
        <w:kinsoku/>
        <w:wordWrap/>
        <w:overflowPunct/>
        <w:topLinePunct w:val="0"/>
        <w:autoSpaceDE/>
        <w:autoSpaceDN/>
        <w:bidi w:val="0"/>
        <w:adjustRightInd/>
        <w:snapToGrid/>
        <w:spacing w:before="157" w:beforeLines="50"/>
        <w:textAlignment w:val="auto"/>
        <w:outlineLvl w:val="9"/>
        <w:rPr>
          <w:rFonts w:hint="default" w:ascii="Times New Roman" w:hAnsi="Times New Roman" w:cs="Times New Roman"/>
          <w:color w:val="auto"/>
        </w:rPr>
      </w:pPr>
      <w:r>
        <w:rPr>
          <w:rFonts w:hint="default" w:ascii="Times New Roman" w:hAnsi="Times New Roman" w:cs="Times New Roman"/>
          <w:color w:val="auto"/>
        </w:rPr>
        <w:t>根据以上分析，本项目不属于《长江经济带发展负面清单指南（试行）》禁止建设项目，因此，本项目的建设与《长江经济带发展负面清单指南（试行）》相符。</w:t>
      </w:r>
    </w:p>
    <w:p>
      <w:pPr>
        <w:pStyle w:val="39"/>
        <w:keepNext w:val="0"/>
        <w:keepLines w:val="0"/>
        <w:pageBreakBefore w:val="0"/>
        <w:widowControl w:val="0"/>
        <w:numPr>
          <w:ilvl w:val="0"/>
          <w:numId w:val="4"/>
        </w:numPr>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与</w:t>
      </w:r>
      <w:r>
        <w:rPr>
          <w:rFonts w:hint="default" w:ascii="Times New Roman" w:hAnsi="Times New Roman" w:cs="Times New Roman"/>
          <w:color w:val="auto"/>
          <w:lang w:eastAsia="zh-CN"/>
        </w:rPr>
        <w:t>“</w:t>
      </w:r>
      <w:r>
        <w:rPr>
          <w:rFonts w:hint="default" w:ascii="Times New Roman" w:hAnsi="Times New Roman" w:cs="Times New Roman"/>
          <w:color w:val="auto"/>
        </w:rPr>
        <w:t>三线一单</w:t>
      </w:r>
      <w:r>
        <w:rPr>
          <w:rFonts w:hint="default" w:ascii="Times New Roman" w:hAnsi="Times New Roman" w:cs="Times New Roman"/>
          <w:color w:val="auto"/>
          <w:lang w:eastAsia="zh-CN"/>
        </w:rPr>
        <w:t>”</w:t>
      </w:r>
      <w:r>
        <w:rPr>
          <w:rFonts w:hint="default" w:ascii="Times New Roman" w:hAnsi="Times New Roman" w:cs="Times New Roman"/>
          <w:color w:val="auto"/>
        </w:rPr>
        <w:t>相符性</w:t>
      </w:r>
    </w:p>
    <w:p>
      <w:pPr>
        <w:pStyle w:val="39"/>
        <w:bidi w:val="0"/>
        <w:rPr>
          <w:rFonts w:hint="default" w:ascii="Times New Roman" w:hAnsi="Times New Roman" w:cs="Times New Roman"/>
          <w:color w:val="auto"/>
        </w:rPr>
      </w:pPr>
      <w:r>
        <w:rPr>
          <w:rFonts w:hint="default" w:ascii="Times New Roman" w:hAnsi="Times New Roman" w:cs="Times New Roman"/>
          <w:color w:val="auto"/>
          <w:u w:val="single"/>
        </w:rPr>
        <w:t>岳阳市人民政府</w:t>
      </w:r>
      <w:r>
        <w:rPr>
          <w:rFonts w:hint="default" w:ascii="Times New Roman" w:hAnsi="Times New Roman" w:cs="Times New Roman"/>
          <w:color w:val="auto"/>
          <w:u w:val="single"/>
          <w:lang w:eastAsia="zh-CN"/>
        </w:rPr>
        <w:t>于</w:t>
      </w:r>
      <w:r>
        <w:rPr>
          <w:rFonts w:hint="default" w:ascii="Times New Roman" w:hAnsi="Times New Roman" w:cs="Times New Roman"/>
          <w:color w:val="auto"/>
          <w:u w:val="single"/>
        </w:rPr>
        <w:t>2021年2月1日</w:t>
      </w:r>
      <w:r>
        <w:rPr>
          <w:rFonts w:hint="default" w:ascii="Times New Roman" w:hAnsi="Times New Roman" w:cs="Times New Roman"/>
          <w:color w:val="auto"/>
          <w:u w:val="single"/>
          <w:lang w:eastAsia="zh-CN"/>
        </w:rPr>
        <w:t>以岳政发〔2021〕2号文发布《岳阳市人民政府关于实施岳阳市“三线一单”生态环境分区管控的意见》和《</w:t>
      </w:r>
      <w:r>
        <w:rPr>
          <w:rFonts w:hint="default" w:ascii="Times New Roman" w:hAnsi="Times New Roman" w:cs="Times New Roman"/>
          <w:color w:val="auto"/>
          <w:u w:val="single"/>
        </w:rPr>
        <w:t>岳阳市环境管控单元图</w:t>
      </w:r>
      <w:r>
        <w:rPr>
          <w:rFonts w:hint="default" w:ascii="Times New Roman" w:hAnsi="Times New Roman" w:cs="Times New Roman"/>
          <w:color w:val="auto"/>
          <w:u w:val="single"/>
          <w:lang w:eastAsia="zh-CN"/>
        </w:rPr>
        <w:t>》（详见附图</w:t>
      </w:r>
      <w:r>
        <w:rPr>
          <w:rFonts w:hint="default" w:ascii="Times New Roman" w:hAnsi="Times New Roman" w:cs="Times New Roman"/>
          <w:color w:val="auto"/>
          <w:u w:val="single"/>
          <w:lang w:val="en-US" w:eastAsia="zh-CN"/>
        </w:rPr>
        <w:t>18</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，本项目</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三线一单</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符合性判定分析情况如下表所示。</w:t>
      </w:r>
    </w:p>
    <w:p>
      <w:pPr>
        <w:pStyle w:val="14"/>
        <w:bidi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t>三线一单</w:t>
      </w:r>
      <w:r>
        <w:rPr>
          <w:rFonts w:hint="default" w:ascii="Times New Roman" w:hAnsi="Times New Roman" w:cs="Times New Roman"/>
          <w:color w:val="auto"/>
          <w:lang w:eastAsia="zh-CN"/>
        </w:rPr>
        <w:t>”</w:t>
      </w:r>
      <w:r>
        <w:rPr>
          <w:rFonts w:hint="default" w:ascii="Times New Roman" w:hAnsi="Times New Roman" w:cs="Times New Roman"/>
          <w:color w:val="auto"/>
        </w:rPr>
        <w:t>相符性分析</w:t>
      </w:r>
    </w:p>
    <w:tbl>
      <w:tblPr>
        <w:tblStyle w:val="24"/>
        <w:tblW w:w="85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91"/>
        <w:gridCol w:w="5758"/>
        <w:gridCol w:w="12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59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内容</w:t>
            </w:r>
          </w:p>
        </w:tc>
        <w:tc>
          <w:tcPr>
            <w:tcW w:w="575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符合性分析</w:t>
            </w:r>
          </w:p>
        </w:tc>
        <w:tc>
          <w:tcPr>
            <w:tcW w:w="123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整改措施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159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生态保护红线</w:t>
            </w:r>
          </w:p>
        </w:tc>
        <w:tc>
          <w:tcPr>
            <w:tcW w:w="575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本项目选址位于湖南岳阳绿色化工产业园云溪片区内，项目所在地用地性质为三类工业用地，不在生态保护红线范围内。</w:t>
            </w:r>
          </w:p>
        </w:tc>
        <w:tc>
          <w:tcPr>
            <w:tcW w:w="123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159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资源利用上线</w:t>
            </w:r>
          </w:p>
        </w:tc>
        <w:tc>
          <w:tcPr>
            <w:tcW w:w="575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本项目营运过程中消耗一定量的电源、水资源等资源消耗，项目资源消耗量相对区域资源利用总量较少，符合资源利用上线要求。</w:t>
            </w:r>
          </w:p>
        </w:tc>
        <w:tc>
          <w:tcPr>
            <w:tcW w:w="123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4" w:hRule="atLeast"/>
          <w:jc w:val="center"/>
        </w:trPr>
        <w:tc>
          <w:tcPr>
            <w:tcW w:w="159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环境质量底线</w:t>
            </w:r>
          </w:p>
        </w:tc>
        <w:tc>
          <w:tcPr>
            <w:tcW w:w="575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环境质量现状章节分析可知，项目所在区域地表水环境、地下水环境、声环境、土壤环境均能够满足相应的标准要求；大气环境虽然属于不达标区，但本项目产生的特征污染物没有超标；项目污染物经本评价提出的污染防治措施处理后均能达标排放，不会导致当地的区域环境质量下降，区域环境质量基本能维持现状，符合环境质量底线要求。</w:t>
            </w:r>
          </w:p>
        </w:tc>
        <w:tc>
          <w:tcPr>
            <w:tcW w:w="123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43" w:hRule="atLeast"/>
          <w:jc w:val="center"/>
        </w:trPr>
        <w:tc>
          <w:tcPr>
            <w:tcW w:w="159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负面清单</w:t>
            </w:r>
          </w:p>
        </w:tc>
        <w:tc>
          <w:tcPr>
            <w:tcW w:w="575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本项目位于湖南岳阳绿色化工产业园云溪片区内，所在地为三类工业用地。本项目生产加氢催化剂500t/a，根据《国民经济行业分类与代码》（GB/T 4754-2017），本项目属于化学原料及化学制品制造业中</w:t>
            </w:r>
            <w:r>
              <w:rPr>
                <w:rFonts w:hint="default" w:ascii="Times New Roman" w:hAnsi="Times New Roman" w:cs="Times New Roman"/>
                <w:color w:val="auto"/>
                <w:sz w:val="21"/>
                <w:szCs w:val="21"/>
                <w:lang w:val="en-US" w:eastAsia="zh-CN"/>
              </w:rPr>
              <w:t>第266中类“专用化学产品制造”中的第2661小类“化学试剂和助剂制造”</w:t>
            </w:r>
            <w:r>
              <w:rPr>
                <w:rFonts w:hint="default" w:ascii="Times New Roman" w:hAnsi="Times New Roman" w:cs="Times New Roman"/>
                <w:color w:val="auto"/>
                <w:sz w:val="21"/>
                <w:szCs w:val="21"/>
              </w:rPr>
              <w:t>，符合湖南岳阳绿色化工产业园云溪片区主导产业定位，符合区域规划产业准入条件，不在该功能区的负面清单内。</w:t>
            </w:r>
          </w:p>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u w:val="single"/>
                <w:lang w:eastAsia="zh-CN"/>
              </w:rPr>
              <w:t>《岳阳市人民政府关于实施岳阳市“三线一单”生态环境分区管控的意见》（岳政发〔2021〕2号）在岳阳市生态环境基本要求中提出：</w:t>
            </w:r>
            <w:r>
              <w:rPr>
                <w:rFonts w:hint="default" w:ascii="Times New Roman" w:hAnsi="Times New Roman" w:cs="Times New Roman"/>
                <w:color w:val="auto"/>
                <w:sz w:val="21"/>
                <w:u w:val="single"/>
              </w:rPr>
              <w:t>重点监管岳阳市城市建成区建设用地土壤中铅、镉、砷、汞等重金属和多环芳烃、石油烃、卤代烃等有机污染物</w:t>
            </w:r>
            <w:r>
              <w:rPr>
                <w:rFonts w:hint="default" w:ascii="Times New Roman" w:hAnsi="Times New Roman" w:cs="Times New Roman"/>
                <w:color w:val="auto"/>
                <w:sz w:val="21"/>
                <w:u w:val="single"/>
                <w:lang w:eastAsia="zh-CN"/>
              </w:rPr>
              <w:t>。本项目不含有这类重点监管的污染物。</w:t>
            </w:r>
          </w:p>
        </w:tc>
        <w:tc>
          <w:tcPr>
            <w:tcW w:w="123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pPr>
        <w:pStyle w:val="39"/>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color w:val="auto"/>
        </w:rPr>
      </w:pPr>
      <w:r>
        <w:rPr>
          <w:rFonts w:hint="default" w:ascii="Times New Roman" w:hAnsi="Times New Roman" w:cs="Times New Roman"/>
          <w:color w:val="auto"/>
        </w:rPr>
        <w:t>由上表可知，本项目符合</w:t>
      </w:r>
      <w:r>
        <w:rPr>
          <w:rFonts w:hint="default" w:ascii="Times New Roman" w:hAnsi="Times New Roman" w:cs="Times New Roman"/>
          <w:color w:val="auto"/>
          <w:lang w:eastAsia="zh-CN"/>
        </w:rPr>
        <w:t>“</w:t>
      </w:r>
      <w:r>
        <w:rPr>
          <w:rFonts w:hint="default" w:ascii="Times New Roman" w:hAnsi="Times New Roman" w:cs="Times New Roman"/>
          <w:color w:val="auto"/>
        </w:rPr>
        <w:t>三线一单</w:t>
      </w:r>
      <w:r>
        <w:rPr>
          <w:rFonts w:hint="default" w:ascii="Times New Roman" w:hAnsi="Times New Roman" w:cs="Times New Roman"/>
          <w:color w:val="auto"/>
          <w:lang w:eastAsia="zh-CN"/>
        </w:rPr>
        <w:t>”</w:t>
      </w:r>
      <w:r>
        <w:rPr>
          <w:rFonts w:hint="default" w:ascii="Times New Roman" w:hAnsi="Times New Roman" w:cs="Times New Roman"/>
          <w:color w:val="auto"/>
        </w:rPr>
        <w:t>相关内容要求。</w:t>
      </w:r>
    </w:p>
    <w:p>
      <w:pPr>
        <w:pStyle w:val="39"/>
        <w:keepNext w:val="0"/>
        <w:keepLines w:val="0"/>
        <w:pageBreakBefore w:val="0"/>
        <w:widowControl w:val="0"/>
        <w:numPr>
          <w:ilvl w:val="0"/>
          <w:numId w:val="4"/>
        </w:numPr>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与湖南岳阳绿色化工产业园规划的符合性分析</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rPr>
      </w:pPr>
      <w:r>
        <w:rPr>
          <w:rFonts w:hint="default" w:ascii="Times New Roman" w:hAnsi="Times New Roman" w:cs="Times New Roman"/>
          <w:color w:val="auto"/>
        </w:rPr>
        <w:t>本项目位于湖南岳阳绿色化工产业园云溪片区（原名云溪工业园），位于已批复的云溪工业园内。项目拟建于岳阳鑫达实业有限公司现有厂房内，不新增用地。</w:t>
      </w:r>
      <w:r>
        <w:rPr>
          <w:rFonts w:hint="default" w:ascii="Times New Roman" w:hAnsi="Times New Roman" w:cs="Times New Roman"/>
          <w:color w:val="auto"/>
          <w:u w:val="single"/>
        </w:rPr>
        <w:t>根据《湖南岳阳云溪工业园总体规划》及</w:t>
      </w:r>
      <w:r>
        <w:rPr>
          <w:rFonts w:hint="default" w:ascii="Times New Roman" w:hAnsi="Times New Roman" w:cs="Times New Roman"/>
          <w:color w:val="auto"/>
          <w:u w:val="single"/>
          <w:lang w:eastAsia="zh-CN"/>
        </w:rPr>
        <w:t>湖南省环保局</w:t>
      </w:r>
      <w:r>
        <w:rPr>
          <w:rFonts w:hint="default" w:ascii="Times New Roman" w:hAnsi="Times New Roman" w:cs="Times New Roman"/>
          <w:color w:val="auto"/>
          <w:u w:val="single"/>
          <w:lang w:val="en-US" w:eastAsia="zh-CN"/>
        </w:rPr>
        <w:t>《关于</w:t>
      </w:r>
      <w:r>
        <w:rPr>
          <w:rFonts w:hint="default" w:ascii="Times New Roman" w:hAnsi="Times New Roman" w:cs="Times New Roman"/>
          <w:color w:val="auto"/>
          <w:u w:val="single"/>
        </w:rPr>
        <w:t>湖南</w:t>
      </w:r>
      <w:r>
        <w:rPr>
          <w:rFonts w:hint="default" w:ascii="Times New Roman" w:hAnsi="Times New Roman" w:cs="Times New Roman"/>
          <w:color w:val="auto"/>
          <w:u w:val="single"/>
          <w:lang w:eastAsia="zh-CN"/>
        </w:rPr>
        <w:t>岳阳市</w:t>
      </w:r>
      <w:r>
        <w:rPr>
          <w:rFonts w:hint="default" w:ascii="Times New Roman" w:hAnsi="Times New Roman" w:cs="Times New Roman"/>
          <w:color w:val="auto"/>
          <w:u w:val="single"/>
        </w:rPr>
        <w:t>云溪工业园</w:t>
      </w:r>
      <w:r>
        <w:rPr>
          <w:rFonts w:hint="default" w:ascii="Times New Roman" w:hAnsi="Times New Roman" w:cs="Times New Roman"/>
          <w:color w:val="auto"/>
          <w:u w:val="single"/>
          <w:lang w:eastAsia="zh-CN"/>
        </w:rPr>
        <w:t>建设环境影响报告书的批复</w:t>
      </w:r>
      <w:r>
        <w:rPr>
          <w:rFonts w:hint="default" w:ascii="Times New Roman" w:hAnsi="Times New Roman" w:cs="Times New Roman"/>
          <w:color w:val="auto"/>
          <w:u w:val="single"/>
          <w:lang w:val="en-US" w:eastAsia="zh-CN"/>
        </w:rPr>
        <w:t>》（</w:t>
      </w:r>
      <w:r>
        <w:rPr>
          <w:rFonts w:hint="default" w:ascii="Times New Roman" w:hAnsi="Times New Roman" w:cs="Times New Roman"/>
          <w:color w:val="auto"/>
          <w:u w:val="single"/>
          <w:lang w:eastAsia="zh-CN"/>
        </w:rPr>
        <w:t>湘环评</w:t>
      </w:r>
      <w:r>
        <w:rPr>
          <w:rFonts w:hint="default" w:ascii="Times New Roman" w:hAnsi="Times New Roman" w:cs="Times New Roman"/>
          <w:color w:val="auto"/>
          <w:u w:val="single"/>
          <w:lang w:val="en-US" w:eastAsia="zh-CN"/>
        </w:rPr>
        <w:t>[2006] 62号）</w:t>
      </w:r>
      <w:r>
        <w:rPr>
          <w:rFonts w:hint="default" w:ascii="Times New Roman" w:hAnsi="Times New Roman" w:cs="Times New Roman"/>
          <w:color w:val="auto"/>
          <w:u w:val="single"/>
        </w:rPr>
        <w:t>，湖南岳阳绿色化工产业园云溪片区是以发展化工产品深加工和无机精细化学品，兼顾新型材料、生化和机械等工业的工业园。项目行业属于精细化工行业，符合园区规划中的化工产品深加工类别。综上，项目建设符合工业园规划及产业定位要求。</w:t>
      </w:r>
    </w:p>
    <w:p>
      <w:pPr>
        <w:pStyle w:val="39"/>
        <w:keepNext w:val="0"/>
        <w:keepLines w:val="0"/>
        <w:pageBreakBefore w:val="0"/>
        <w:widowControl w:val="0"/>
        <w:numPr>
          <w:ilvl w:val="0"/>
          <w:numId w:val="4"/>
        </w:numPr>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与岳阳市城市总体规划的相符性分析</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根据《岳阳市城市总体规划(2008</w:t>
      </w:r>
      <w:r>
        <w:rPr>
          <w:rFonts w:hint="default" w:ascii="Times New Roman" w:hAnsi="Times New Roman" w:cs="Times New Roman"/>
          <w:color w:val="auto"/>
          <w:lang w:val="en-US" w:eastAsia="zh-CN"/>
        </w:rPr>
        <w:t>-</w:t>
      </w:r>
      <w:r>
        <w:rPr>
          <w:rFonts w:hint="default" w:ascii="Times New Roman" w:hAnsi="Times New Roman" w:cs="Times New Roman"/>
          <w:color w:val="auto"/>
        </w:rPr>
        <w:t>2030)》产业规划，城镇经济区划将市域划分为</w:t>
      </w:r>
      <w:r>
        <w:rPr>
          <w:rFonts w:hint="default" w:ascii="Times New Roman" w:hAnsi="Times New Roman" w:cs="Times New Roman"/>
          <w:color w:val="auto"/>
          <w:lang w:eastAsia="zh-CN"/>
        </w:rPr>
        <w:t>“</w:t>
      </w:r>
      <w:r>
        <w:rPr>
          <w:rFonts w:hint="default" w:ascii="Times New Roman" w:hAnsi="Times New Roman" w:cs="Times New Roman"/>
          <w:color w:val="auto"/>
        </w:rPr>
        <w:t>岳—临—荣</w:t>
      </w:r>
      <w:r>
        <w:rPr>
          <w:rFonts w:hint="default" w:ascii="Times New Roman" w:hAnsi="Times New Roman" w:cs="Times New Roman"/>
          <w:color w:val="auto"/>
          <w:lang w:eastAsia="zh-CN"/>
        </w:rPr>
        <w:t>”</w:t>
      </w:r>
      <w:r>
        <w:rPr>
          <w:rFonts w:hint="default" w:ascii="Times New Roman" w:hAnsi="Times New Roman" w:cs="Times New Roman"/>
          <w:color w:val="auto"/>
        </w:rPr>
        <w:t>、</w:t>
      </w:r>
      <w:r>
        <w:rPr>
          <w:rFonts w:hint="default" w:ascii="Times New Roman" w:hAnsi="Times New Roman" w:cs="Times New Roman"/>
          <w:color w:val="auto"/>
          <w:lang w:eastAsia="zh-CN"/>
        </w:rPr>
        <w:t>“</w:t>
      </w:r>
      <w:r>
        <w:rPr>
          <w:rFonts w:hint="default" w:ascii="Times New Roman" w:hAnsi="Times New Roman" w:cs="Times New Roman"/>
          <w:color w:val="auto"/>
        </w:rPr>
        <w:t>汨—湘—营</w:t>
      </w:r>
      <w:r>
        <w:rPr>
          <w:rFonts w:hint="default" w:ascii="Times New Roman" w:hAnsi="Times New Roman" w:cs="Times New Roman"/>
          <w:color w:val="auto"/>
          <w:lang w:eastAsia="zh-CN"/>
        </w:rPr>
        <w:t>”</w:t>
      </w:r>
      <w:r>
        <w:rPr>
          <w:rFonts w:hint="default" w:ascii="Times New Roman" w:hAnsi="Times New Roman" w:cs="Times New Roman"/>
          <w:color w:val="auto"/>
        </w:rPr>
        <w:t>、西部和东部四个城镇经济区。其中岳—临—荣</w:t>
      </w:r>
      <w:r>
        <w:rPr>
          <w:rFonts w:hint="default" w:ascii="Times New Roman" w:hAnsi="Times New Roman" w:cs="Times New Roman"/>
          <w:color w:val="auto"/>
          <w:lang w:eastAsia="zh-CN"/>
        </w:rPr>
        <w:t>”</w:t>
      </w:r>
      <w:r>
        <w:rPr>
          <w:rFonts w:hint="default" w:ascii="Times New Roman" w:hAnsi="Times New Roman" w:cs="Times New Roman"/>
          <w:color w:val="auto"/>
        </w:rPr>
        <w:t>城镇经济区指以岳阳市区为中心，临湘市区和岳阳县城荣家湾为副中心的经济区。该区重点发展以农业商品化为中心，建立多品种的现代近郊农业商品基地；建立沿长江走向、连接岳阳纸业</w:t>
      </w:r>
      <w:r>
        <w:rPr>
          <w:rFonts w:hint="default" w:ascii="Times New Roman" w:hAnsi="Times New Roman" w:cs="Times New Roman"/>
          <w:color w:val="auto"/>
          <w:lang w:eastAsia="zh-CN"/>
        </w:rPr>
        <w:t>——</w:t>
      </w:r>
      <w:r>
        <w:rPr>
          <w:rFonts w:hint="default" w:ascii="Times New Roman" w:hAnsi="Times New Roman" w:cs="Times New Roman"/>
          <w:color w:val="auto"/>
        </w:rPr>
        <w:t>华能电厂</w:t>
      </w:r>
      <w:r>
        <w:rPr>
          <w:rFonts w:hint="default" w:ascii="Times New Roman" w:hAnsi="Times New Roman" w:cs="Times New Roman"/>
          <w:color w:val="auto"/>
          <w:lang w:eastAsia="zh-CN"/>
        </w:rPr>
        <w:t>——</w:t>
      </w:r>
      <w:r>
        <w:rPr>
          <w:rFonts w:hint="default" w:ascii="Times New Roman" w:hAnsi="Times New Roman" w:cs="Times New Roman"/>
          <w:color w:val="auto"/>
        </w:rPr>
        <w:t>巴陵石化、</w:t>
      </w:r>
      <w:r>
        <w:rPr>
          <w:rFonts w:hint="default" w:ascii="Times New Roman" w:hAnsi="Times New Roman" w:cs="Times New Roman"/>
          <w:color w:val="auto"/>
          <w:lang w:eastAsia="zh-CN"/>
        </w:rPr>
        <w:t>松杨湖</w:t>
      </w:r>
      <w:r>
        <w:rPr>
          <w:rFonts w:hint="default" w:ascii="Times New Roman" w:hAnsi="Times New Roman" w:cs="Times New Roman"/>
          <w:color w:val="auto"/>
        </w:rPr>
        <w:t>临港产业区及云溪精细化工云溪工业园长炼分园</w:t>
      </w:r>
      <w:r>
        <w:rPr>
          <w:rFonts w:hint="default" w:ascii="Times New Roman" w:hAnsi="Times New Roman" w:cs="Times New Roman"/>
          <w:color w:val="auto"/>
          <w:lang w:eastAsia="zh-CN"/>
        </w:rPr>
        <w:t>——</w:t>
      </w:r>
      <w:r>
        <w:rPr>
          <w:rFonts w:hint="default" w:ascii="Times New Roman" w:hAnsi="Times New Roman" w:cs="Times New Roman"/>
          <w:color w:val="auto"/>
        </w:rPr>
        <w:t>长岭炼化</w:t>
      </w:r>
      <w:r>
        <w:rPr>
          <w:rFonts w:hint="default" w:ascii="Times New Roman" w:hAnsi="Times New Roman" w:cs="Times New Roman"/>
          <w:color w:val="auto"/>
          <w:lang w:eastAsia="zh-CN"/>
        </w:rPr>
        <w:t>——</w:t>
      </w:r>
      <w:r>
        <w:rPr>
          <w:rFonts w:hint="default" w:ascii="Times New Roman" w:hAnsi="Times New Roman" w:cs="Times New Roman"/>
          <w:color w:val="auto"/>
        </w:rPr>
        <w:t>临湘生化云溪工业园长炼分园的沿江工业带，发展石油化工、电力、造纸、机械制造、生物医药、电子信息、新能源新材料研发、生物化工工业；建立洞庭湖和长江航运物流带，重点建设名楼名水、神秘临湘和民俗古村等三大旅游景区。第二产业重点发展中心城区石油化工、机械制造、电力造纸及汨罗再生资源、临湘生物化工、湘阴有机食品、平江机电轻工、华容纺织制造、岳阳县陶瓷建材、营田饲料等产业基地。</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本项目位于云溪绿色产业工业园巴陵石化厂区内，属于云溪工业园区三类工业用地，为城市规划中重点发展产业中的化工项目。因此本项目的建设满足岳阳市城市总体规划的要求。</w:t>
      </w:r>
    </w:p>
    <w:p>
      <w:pPr>
        <w:pStyle w:val="39"/>
        <w:keepNext w:val="0"/>
        <w:keepLines w:val="0"/>
        <w:pageBreakBefore w:val="0"/>
        <w:widowControl w:val="0"/>
        <w:numPr>
          <w:ilvl w:val="0"/>
          <w:numId w:val="4"/>
        </w:numPr>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与《湖南省国民经济和社会发展</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十三五</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规划纲要》相符性分析</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根据《湖南省国民经济和社会发展</w:t>
      </w:r>
      <w:r>
        <w:rPr>
          <w:rFonts w:hint="default" w:ascii="Times New Roman" w:hAnsi="Times New Roman" w:cs="Times New Roman"/>
          <w:color w:val="auto"/>
          <w:lang w:eastAsia="zh-CN"/>
        </w:rPr>
        <w:t>“</w:t>
      </w:r>
      <w:r>
        <w:rPr>
          <w:rFonts w:hint="default" w:ascii="Times New Roman" w:hAnsi="Times New Roman" w:cs="Times New Roman"/>
          <w:color w:val="auto"/>
        </w:rPr>
        <w:t>十三五</w:t>
      </w:r>
      <w:r>
        <w:rPr>
          <w:rFonts w:hint="default" w:ascii="Times New Roman" w:hAnsi="Times New Roman" w:cs="Times New Roman"/>
          <w:color w:val="auto"/>
          <w:lang w:eastAsia="zh-CN"/>
        </w:rPr>
        <w:t>”</w:t>
      </w:r>
      <w:r>
        <w:rPr>
          <w:rFonts w:hint="default" w:ascii="Times New Roman" w:hAnsi="Times New Roman" w:cs="Times New Roman"/>
          <w:color w:val="auto"/>
        </w:rPr>
        <w:t>规划纲要》，本项目位于岳阳炼化一体化基地范围内，是省级重点打造区域，符合规划布局要求。</w:t>
      </w:r>
    </w:p>
    <w:p>
      <w:pPr>
        <w:pStyle w:val="39"/>
        <w:keepNext w:val="0"/>
        <w:keepLines w:val="0"/>
        <w:pageBreakBefore w:val="0"/>
        <w:widowControl w:val="0"/>
        <w:numPr>
          <w:ilvl w:val="0"/>
          <w:numId w:val="4"/>
        </w:numPr>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与《湖南省</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十三五</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环境保护规划》相符性分析</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根据《湖南省</w:t>
      </w:r>
      <w:r>
        <w:rPr>
          <w:rFonts w:hint="default" w:ascii="Times New Roman" w:hAnsi="Times New Roman" w:cs="Times New Roman"/>
          <w:color w:val="auto"/>
          <w:lang w:eastAsia="zh-CN"/>
        </w:rPr>
        <w:t>“</w:t>
      </w:r>
      <w:r>
        <w:rPr>
          <w:rFonts w:hint="default" w:ascii="Times New Roman" w:hAnsi="Times New Roman" w:cs="Times New Roman"/>
          <w:color w:val="auto"/>
        </w:rPr>
        <w:t>十三五</w:t>
      </w:r>
      <w:r>
        <w:rPr>
          <w:rFonts w:hint="default" w:ascii="Times New Roman" w:hAnsi="Times New Roman" w:cs="Times New Roman"/>
          <w:color w:val="auto"/>
          <w:lang w:eastAsia="zh-CN"/>
        </w:rPr>
        <w:t>”</w:t>
      </w:r>
      <w:r>
        <w:rPr>
          <w:rFonts w:hint="default" w:ascii="Times New Roman" w:hAnsi="Times New Roman" w:cs="Times New Roman"/>
          <w:color w:val="auto"/>
        </w:rPr>
        <w:t>环境保护规划》，</w:t>
      </w:r>
      <w:r>
        <w:rPr>
          <w:rFonts w:hint="default" w:ascii="Times New Roman" w:hAnsi="Times New Roman" w:cs="Times New Roman"/>
          <w:color w:val="auto"/>
          <w:lang w:eastAsia="zh-CN"/>
        </w:rPr>
        <w:t>“</w:t>
      </w:r>
      <w:r>
        <w:rPr>
          <w:rFonts w:hint="default" w:ascii="Times New Roman" w:hAnsi="Times New Roman" w:cs="Times New Roman"/>
          <w:color w:val="auto"/>
        </w:rPr>
        <w:t>以岳阳为重点，对石化、化工行业设备与管线组件全面开展挥发性有机物泄漏检测与修复，对有组织排放开展治理。</w:t>
      </w:r>
      <w:r>
        <w:rPr>
          <w:rFonts w:hint="default" w:ascii="Times New Roman" w:hAnsi="Times New Roman" w:cs="Times New Roman"/>
          <w:color w:val="auto"/>
          <w:lang w:eastAsia="zh-CN"/>
        </w:rPr>
        <w:t>”</w:t>
      </w:r>
      <w:r>
        <w:rPr>
          <w:rFonts w:hint="default" w:ascii="Times New Roman" w:hAnsi="Times New Roman" w:cs="Times New Roman"/>
          <w:color w:val="auto"/>
        </w:rPr>
        <w:t>本项目对工艺废气密闭收集，进入巴陵石化放空总管，再排至</w:t>
      </w:r>
      <w:r>
        <w:rPr>
          <w:rFonts w:hint="default" w:ascii="Times New Roman" w:hAnsi="Times New Roman" w:cs="Times New Roman"/>
          <w:color w:val="auto"/>
          <w:lang w:eastAsia="zh-CN"/>
        </w:rPr>
        <w:t>巴陵石化公司</w:t>
      </w:r>
      <w:r>
        <w:rPr>
          <w:rFonts w:hint="default" w:ascii="Times New Roman" w:hAnsi="Times New Roman" w:cs="Times New Roman"/>
          <w:color w:val="auto"/>
        </w:rPr>
        <w:t>火炬台进行燃烧处理，可有效减少大气污染物的排放，实现达标排放。因此，本项目符合《湖南省</w:t>
      </w:r>
      <w:r>
        <w:rPr>
          <w:rFonts w:hint="default" w:ascii="Times New Roman" w:hAnsi="Times New Roman" w:cs="Times New Roman"/>
          <w:color w:val="auto"/>
          <w:lang w:eastAsia="zh-CN"/>
        </w:rPr>
        <w:t>“</w:t>
      </w:r>
      <w:r>
        <w:rPr>
          <w:rFonts w:hint="default" w:ascii="Times New Roman" w:hAnsi="Times New Roman" w:cs="Times New Roman"/>
          <w:color w:val="auto"/>
        </w:rPr>
        <w:t>十三五</w:t>
      </w:r>
      <w:r>
        <w:rPr>
          <w:rFonts w:hint="default" w:ascii="Times New Roman" w:hAnsi="Times New Roman" w:cs="Times New Roman"/>
          <w:color w:val="auto"/>
          <w:lang w:eastAsia="zh-CN"/>
        </w:rPr>
        <w:t>”</w:t>
      </w:r>
      <w:r>
        <w:rPr>
          <w:rFonts w:hint="default" w:ascii="Times New Roman" w:hAnsi="Times New Roman" w:cs="Times New Roman"/>
          <w:color w:val="auto"/>
        </w:rPr>
        <w:t>环境保护规划》的相关规定。</w:t>
      </w:r>
    </w:p>
    <w:p>
      <w:pPr>
        <w:pStyle w:val="39"/>
        <w:keepNext w:val="0"/>
        <w:keepLines w:val="0"/>
        <w:pageBreakBefore w:val="0"/>
        <w:widowControl w:val="0"/>
        <w:numPr>
          <w:ilvl w:val="0"/>
          <w:numId w:val="4"/>
        </w:numPr>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与《岳阳市生态环境保护</w:t>
      </w:r>
      <w:r>
        <w:rPr>
          <w:rFonts w:hint="default" w:ascii="Times New Roman" w:hAnsi="Times New Roman" w:eastAsia="宋体" w:cs="Times New Roman"/>
          <w:color w:val="auto"/>
          <w:u w:val="single"/>
          <w:lang w:eastAsia="zh-CN"/>
        </w:rPr>
        <w:t>“</w:t>
      </w:r>
      <w:r>
        <w:rPr>
          <w:rFonts w:hint="default" w:ascii="Times New Roman" w:hAnsi="Times New Roman" w:eastAsia="宋体" w:cs="Times New Roman"/>
          <w:color w:val="auto"/>
          <w:u w:val="single"/>
        </w:rPr>
        <w:t>十三五</w:t>
      </w:r>
      <w:r>
        <w:rPr>
          <w:rFonts w:hint="default" w:ascii="Times New Roman" w:hAnsi="Times New Roman" w:eastAsia="宋体" w:cs="Times New Roman"/>
          <w:color w:val="auto"/>
          <w:u w:val="single"/>
          <w:lang w:eastAsia="zh-CN"/>
        </w:rPr>
        <w:t>”</w:t>
      </w:r>
      <w:r>
        <w:rPr>
          <w:rFonts w:hint="default" w:ascii="Times New Roman" w:hAnsi="Times New Roman" w:eastAsia="宋体" w:cs="Times New Roman"/>
          <w:color w:val="auto"/>
          <w:u w:val="single"/>
        </w:rPr>
        <w:t>规划》相符性分析</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rPr>
      </w:pPr>
      <w:r>
        <w:rPr>
          <w:rFonts w:hint="default" w:ascii="Times New Roman" w:hAnsi="Times New Roman" w:cs="Times New Roman"/>
          <w:color w:val="auto"/>
          <w:u w:val="single"/>
          <w:lang w:eastAsia="zh-CN"/>
        </w:rPr>
        <w:t>根据</w:t>
      </w:r>
      <w:r>
        <w:rPr>
          <w:rFonts w:hint="default" w:ascii="Times New Roman" w:hAnsi="Times New Roman" w:cs="Times New Roman"/>
          <w:color w:val="auto"/>
          <w:u w:val="single"/>
        </w:rPr>
        <w:t>《岳阳市生态环境保护</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十三五</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规划》，</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控制挥发性有机物排放。对石化、化工行业设备与管线组件全面开展挥发性有机物泄漏检测与修复，对有组织排放开展治理。</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本项目对工艺废气密闭收集，进入巴陵石化放空总管，再排至</w:t>
      </w:r>
      <w:r>
        <w:rPr>
          <w:rFonts w:hint="default" w:ascii="Times New Roman" w:hAnsi="Times New Roman" w:cs="Times New Roman"/>
          <w:color w:val="auto"/>
          <w:u w:val="single"/>
          <w:lang w:eastAsia="zh-CN"/>
        </w:rPr>
        <w:t>巴陵石化公司</w:t>
      </w:r>
      <w:r>
        <w:rPr>
          <w:rFonts w:hint="default" w:ascii="Times New Roman" w:hAnsi="Times New Roman" w:cs="Times New Roman"/>
          <w:color w:val="auto"/>
          <w:u w:val="single"/>
        </w:rPr>
        <w:t>火炬台进行燃烧处理，可有效减少大气污染物的排放，实现达标排放。</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rPr>
        <w:t>《岳阳市生态环境保护</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十三五</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规划》</w:t>
      </w:r>
      <w:r>
        <w:rPr>
          <w:rFonts w:hint="default" w:ascii="Times New Roman" w:hAnsi="Times New Roman" w:cs="Times New Roman"/>
          <w:color w:val="auto"/>
          <w:u w:val="single"/>
          <w:lang w:eastAsia="zh-CN"/>
        </w:rPr>
        <w:t>规定，“</w:t>
      </w:r>
      <w:r>
        <w:rPr>
          <w:rFonts w:hint="default" w:ascii="Times New Roman" w:hAnsi="Times New Roman" w:cs="Times New Roman"/>
          <w:color w:val="auto"/>
          <w:u w:val="single"/>
          <w:lang w:val="en-US" w:eastAsia="zh-CN"/>
        </w:rPr>
        <w:t>强化政策布局调控，严格控制各行业新增重金属污染。严格重金属相关企业的空间布局管控。深入实施重金属排放‘等量置换’、‘减量置换’”。本项目涉及使用含重金属镍的原料硝酸镍。根据国家《重金属污染综合防治十三五规划》，铅（Pb）、汞（Hg）、镉（Cd）、铬（Cr）和类金属砷（As）五种元素为重点防控的重金属污染物，兼顾镍（Ni）、铜（Cu）、锌（Zn）等其他重金属污染物。镍没有列入重点防控的五种重金属污染物元素。</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rPr>
      </w:pPr>
      <w:r>
        <w:rPr>
          <w:rFonts w:hint="default" w:ascii="Times New Roman" w:hAnsi="Times New Roman" w:cs="Times New Roman"/>
          <w:color w:val="auto"/>
          <w:u w:val="single"/>
          <w:lang w:val="en-US" w:eastAsia="zh-CN"/>
        </w:rPr>
        <w:t>废水中的硝酸镍通过与碱液反应生成氢氧化镍沉淀物，沉淀物经过两级加碱高pH值运行，由3个沉淀池（长9m宽5m深1.5m，65m</w:t>
      </w:r>
      <w:r>
        <w:rPr>
          <w:rFonts w:hint="default" w:ascii="Times New Roman" w:hAnsi="Times New Roman" w:cs="Times New Roman"/>
          <w:color w:val="auto"/>
          <w:u w:val="single"/>
          <w:vertAlign w:val="superscript"/>
          <w:lang w:val="en-US" w:eastAsia="zh-CN"/>
        </w:rPr>
        <w:t>3</w:t>
      </w:r>
      <w:r>
        <w:rPr>
          <w:rFonts w:hint="default" w:ascii="Times New Roman" w:hAnsi="Times New Roman" w:cs="Times New Roman"/>
          <w:color w:val="auto"/>
          <w:u w:val="single"/>
          <w:lang w:val="en-US" w:eastAsia="zh-CN"/>
        </w:rPr>
        <w:t>）进行二级沉淀后，再通过洗涤过滤和干燥作业，沉渣达到冶炼厂副产品要求，澄清水</w:t>
      </w:r>
      <w:r>
        <w:rPr>
          <w:rFonts w:hint="default" w:ascii="Times New Roman" w:hAnsi="Times New Roman" w:cs="Times New Roman"/>
          <w:color w:val="auto"/>
          <w:lang w:eastAsia="zh-CN"/>
        </w:rPr>
        <w:t>经多次小型试验检测，</w:t>
      </w:r>
      <w:r>
        <w:rPr>
          <w:rFonts w:hint="default" w:ascii="Times New Roman" w:hAnsi="Times New Roman" w:cs="Times New Roman"/>
          <w:color w:val="auto"/>
          <w:u w:val="single"/>
          <w:lang w:val="en-US" w:eastAsia="zh-CN"/>
        </w:rPr>
        <w:t>外排废水中镍的排放浓度为0.055mg/L，仅为镍排放标准1.0mg/L的二十分之一。项目工艺废水年排放量686m</w:t>
      </w:r>
      <w:r>
        <w:rPr>
          <w:rFonts w:hint="default" w:ascii="Times New Roman" w:hAnsi="Times New Roman" w:cs="Times New Roman"/>
          <w:color w:val="auto"/>
          <w:u w:val="single"/>
          <w:vertAlign w:val="superscript"/>
          <w:lang w:val="en-US" w:eastAsia="zh-CN"/>
        </w:rPr>
        <w:t>3</w:t>
      </w:r>
      <w:r>
        <w:rPr>
          <w:rFonts w:hint="default" w:ascii="Times New Roman" w:hAnsi="Times New Roman" w:cs="Times New Roman"/>
          <w:color w:val="auto"/>
          <w:u w:val="single"/>
          <w:lang w:val="en-US" w:eastAsia="zh-CN"/>
        </w:rPr>
        <w:t>，年排放金属镍38g，排放量非常轻微。</w:t>
      </w:r>
      <w:r>
        <w:rPr>
          <w:rFonts w:hint="default" w:ascii="Times New Roman" w:hAnsi="Times New Roman" w:cs="Times New Roman"/>
          <w:color w:val="auto"/>
          <w:u w:val="single"/>
        </w:rPr>
        <w:t>因此，本项目符合《岳阳市生态环境保护</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十三五</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规划》的相关规定。</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rPr>
      </w:pP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rPr>
      </w:pPr>
      <w:bookmarkStart w:id="54" w:name="_Toc14573"/>
      <w:r>
        <w:rPr>
          <w:rFonts w:hint="default" w:ascii="Times New Roman" w:hAnsi="Times New Roman" w:cs="Times New Roman"/>
          <w:color w:val="auto"/>
        </w:rPr>
        <w:t>选址合理性分析</w:t>
      </w:r>
      <w:bookmarkEnd w:id="54"/>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拟建于岳阳鑫达实业有限公司现有厂房内，不新增用地，靠近巴陵石化橡胶部。项目位于湖南岳阳绿色化工产业园云溪片区，工业园基础设施配套完善，为项目建设提供了良好的基础，项目四周均有园区道路连通，运输条件便利。</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本项目位于湖南岳阳绿色化工产业园云溪片区内，符合园区发展规划及岳阳市总体规划，建设条件优越，从环保角度看，项目选址可行。</w:t>
      </w:r>
    </w:p>
    <w:p>
      <w:pPr>
        <w:pStyle w:val="4"/>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rPr>
      </w:pPr>
      <w:bookmarkStart w:id="55" w:name="_Toc24082"/>
      <w:bookmarkStart w:id="56" w:name="_Toc22362"/>
      <w:bookmarkStart w:id="57" w:name="_Toc4851"/>
      <w:bookmarkStart w:id="58" w:name="_Toc14259"/>
      <w:r>
        <w:rPr>
          <w:rFonts w:hint="default" w:ascii="Times New Roman" w:hAnsi="Times New Roman" w:cs="Times New Roman"/>
          <w:color w:val="auto"/>
        </w:rPr>
        <w:t>评价关注的主要环境问题及环境影响</w:t>
      </w:r>
      <w:bookmarkEnd w:id="55"/>
      <w:bookmarkEnd w:id="56"/>
      <w:bookmarkEnd w:id="57"/>
      <w:bookmarkEnd w:id="58"/>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根据项目特点及区域环境特征，本项目重点关注的环境问题为：</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①</w:t>
      </w:r>
      <w:r>
        <w:rPr>
          <w:rFonts w:hint="default" w:ascii="Times New Roman" w:hAnsi="Times New Roman" w:cs="Times New Roman"/>
          <w:color w:val="auto"/>
        </w:rPr>
        <w:fldChar w:fldCharType="end"/>
      </w:r>
      <w:r>
        <w:rPr>
          <w:rFonts w:hint="default" w:ascii="Times New Roman" w:hAnsi="Times New Roman" w:cs="Times New Roman"/>
          <w:color w:val="auto"/>
        </w:rPr>
        <w:t>工艺废气、生产装置区跑漏、逸散废气等废气对环境的影响。</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②</w:t>
      </w:r>
      <w:r>
        <w:rPr>
          <w:rFonts w:hint="default" w:ascii="Times New Roman" w:hAnsi="Times New Roman" w:cs="Times New Roman"/>
          <w:color w:val="auto"/>
        </w:rPr>
        <w:fldChar w:fldCharType="end"/>
      </w:r>
      <w:r>
        <w:rPr>
          <w:rFonts w:hint="default" w:ascii="Times New Roman" w:hAnsi="Times New Roman" w:cs="Times New Roman"/>
          <w:color w:val="auto"/>
        </w:rPr>
        <w:t>设备清洗废水等废水排入巴陵石化污水处理厂的废水接纳可行性。</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③</w:t>
      </w:r>
      <w:r>
        <w:rPr>
          <w:rFonts w:hint="default" w:ascii="Times New Roman" w:hAnsi="Times New Roman" w:cs="Times New Roman"/>
          <w:color w:val="auto"/>
        </w:rPr>
        <w:fldChar w:fldCharType="end"/>
      </w:r>
      <w:r>
        <w:rPr>
          <w:rFonts w:hint="default" w:ascii="Times New Roman" w:hAnsi="Times New Roman" w:cs="Times New Roman"/>
          <w:color w:val="auto"/>
        </w:rPr>
        <w:t>危险废物的处置及危险废物暂存间的设置；一般工业固体废物的综合利用及一般工业固体废物暂存间的设置。</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4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④</w:t>
      </w:r>
      <w:r>
        <w:rPr>
          <w:rFonts w:hint="default" w:ascii="Times New Roman" w:hAnsi="Times New Roman" w:cs="Times New Roman"/>
          <w:color w:val="auto"/>
        </w:rPr>
        <w:fldChar w:fldCharType="end"/>
      </w:r>
      <w:r>
        <w:rPr>
          <w:rFonts w:hint="default" w:ascii="Times New Roman" w:hAnsi="Times New Roman" w:cs="Times New Roman"/>
          <w:color w:val="auto"/>
        </w:rPr>
        <w:t>事故状态下对环境的风险。</w:t>
      </w:r>
    </w:p>
    <w:p>
      <w:pPr>
        <w:pStyle w:val="4"/>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rPr>
      </w:pPr>
      <w:bookmarkStart w:id="59" w:name="_Toc28472"/>
      <w:bookmarkStart w:id="60" w:name="_Toc14037"/>
      <w:bookmarkStart w:id="61" w:name="_Toc30028"/>
      <w:bookmarkStart w:id="62" w:name="_Toc31564"/>
      <w:bookmarkStart w:id="63" w:name="_Toc7675"/>
      <w:bookmarkStart w:id="64" w:name="_Toc8633"/>
      <w:bookmarkStart w:id="65" w:name="_Toc3107"/>
      <w:bookmarkStart w:id="66" w:name="_Toc26387"/>
      <w:r>
        <w:rPr>
          <w:rFonts w:hint="default" w:ascii="Times New Roman" w:hAnsi="Times New Roman" w:cs="Times New Roman"/>
          <w:color w:val="auto"/>
        </w:rPr>
        <w:t>环境影响评价的主要结论</w:t>
      </w:r>
      <w:bookmarkEnd w:id="59"/>
      <w:bookmarkEnd w:id="60"/>
      <w:bookmarkEnd w:id="61"/>
      <w:bookmarkEnd w:id="62"/>
      <w:bookmarkEnd w:id="63"/>
      <w:bookmarkEnd w:id="64"/>
      <w:bookmarkEnd w:id="65"/>
      <w:bookmarkEnd w:id="66"/>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符合国家产业政策要求，符合相关规划、环保政策，不新增占地，与周边环境相协调，无明显环境制约因素。项目在建设和运营过程中产生废水、废气、噪声和固体废物，在采取本环评中所提出的有关污染防治措施、全面落实</w:t>
      </w:r>
      <w:r>
        <w:rPr>
          <w:rFonts w:hint="default" w:ascii="Times New Roman" w:hAnsi="Times New Roman" w:cs="Times New Roman"/>
          <w:color w:val="auto"/>
          <w:lang w:eastAsia="zh-CN"/>
        </w:rPr>
        <w:t>“</w:t>
      </w:r>
      <w:r>
        <w:rPr>
          <w:rFonts w:hint="default" w:ascii="Times New Roman" w:hAnsi="Times New Roman" w:cs="Times New Roman"/>
          <w:color w:val="auto"/>
        </w:rPr>
        <w:t>三同时</w:t>
      </w:r>
      <w:r>
        <w:rPr>
          <w:rFonts w:hint="default" w:ascii="Times New Roman" w:hAnsi="Times New Roman" w:cs="Times New Roman"/>
          <w:color w:val="auto"/>
          <w:lang w:eastAsia="zh-CN"/>
        </w:rPr>
        <w:t>”</w:t>
      </w:r>
      <w:r>
        <w:rPr>
          <w:rFonts w:hint="default" w:ascii="Times New Roman" w:hAnsi="Times New Roman" w:cs="Times New Roman"/>
          <w:color w:val="auto"/>
        </w:rPr>
        <w:t>制度、加强施工期环境监理和运营期环境管理、定期监测、确保污染防治设施稳定达标运行的前提下，本项目对周围环境不会产生明显影响，环境风险可控，从环境保护角度考虑，本项目建设是可行的。</w:t>
      </w:r>
    </w:p>
    <w:p>
      <w:pPr>
        <w:pStyle w:val="39"/>
        <w:bidi w:val="0"/>
        <w:rPr>
          <w:rFonts w:hint="default" w:ascii="Times New Roman" w:hAnsi="Times New Roman" w:cs="Times New Roman"/>
          <w:color w:val="auto"/>
        </w:rPr>
        <w:sectPr>
          <w:footerReference r:id="rId13" w:type="default"/>
          <w:pgSz w:w="11905" w:h="16838"/>
          <w:pgMar w:top="1417" w:right="1417" w:bottom="1134" w:left="1701" w:header="850" w:footer="992" w:gutter="0"/>
          <w:pgBorders>
            <w:top w:val="none" w:sz="0" w:space="0"/>
            <w:left w:val="none" w:sz="0" w:space="0"/>
            <w:bottom w:val="none" w:sz="0" w:space="0"/>
            <w:right w:val="none" w:sz="0" w:space="0"/>
          </w:pgBorders>
          <w:pgNumType w:fmt="decimal" w:start="1"/>
          <w:cols w:space="0" w:num="1"/>
          <w:rtlGutter w:val="0"/>
          <w:docGrid w:linePitch="312" w:charSpace="0"/>
        </w:sectPr>
      </w:pPr>
    </w:p>
    <w:p>
      <w:pPr>
        <w:pStyle w:val="3"/>
        <w:keepNext/>
        <w:keepLines/>
        <w:pageBreakBefore w:val="0"/>
        <w:widowControl w:val="0"/>
        <w:kinsoku/>
        <w:wordWrap/>
        <w:overflowPunct/>
        <w:topLinePunct w:val="0"/>
        <w:autoSpaceDE/>
        <w:autoSpaceDN/>
        <w:bidi w:val="0"/>
        <w:adjustRightInd w:val="0"/>
        <w:snapToGrid w:val="0"/>
        <w:spacing w:before="0" w:beforeLines="0" w:after="0" w:afterLines="0" w:line="360" w:lineRule="auto"/>
        <w:ind w:leftChars="0" w:firstLine="0" w:firstLineChars="0"/>
        <w:textAlignment w:val="auto"/>
        <w:rPr>
          <w:rFonts w:hint="default" w:ascii="Times New Roman" w:hAnsi="Times New Roman" w:cs="Times New Roman"/>
          <w:color w:val="auto"/>
          <w:sz w:val="44"/>
          <w:szCs w:val="44"/>
        </w:rPr>
      </w:pPr>
      <w:bookmarkStart w:id="67" w:name="_Toc9674"/>
      <w:bookmarkStart w:id="68" w:name="_Toc14393"/>
      <w:r>
        <w:rPr>
          <w:rFonts w:hint="default" w:ascii="Times New Roman" w:hAnsi="Times New Roman" w:cs="Times New Roman"/>
          <w:color w:val="auto"/>
          <w:sz w:val="44"/>
          <w:szCs w:val="44"/>
        </w:rPr>
        <w:t>总则</w:t>
      </w:r>
      <w:bookmarkEnd w:id="67"/>
      <w:bookmarkEnd w:id="68"/>
    </w:p>
    <w:p>
      <w:pPr>
        <w:pStyle w:val="4"/>
        <w:keepNext/>
        <w:keepLines/>
        <w:pageBreakBefore w:val="0"/>
        <w:widowControl w:val="0"/>
        <w:kinsoku/>
        <w:wordWrap/>
        <w:overflowPunct/>
        <w:topLinePunct w:val="0"/>
        <w:autoSpaceDE/>
        <w:autoSpaceDN/>
        <w:bidi w:val="0"/>
        <w:adjustRightInd w:val="0"/>
        <w:snapToGrid w:val="0"/>
        <w:spacing w:beforeLines="0" w:afterLines="0" w:line="360" w:lineRule="auto"/>
        <w:ind w:leftChars="0" w:firstLine="0" w:firstLineChars="0"/>
        <w:textAlignment w:val="auto"/>
        <w:rPr>
          <w:rFonts w:hint="default" w:ascii="Times New Roman" w:hAnsi="Times New Roman" w:cs="Times New Roman"/>
          <w:color w:val="auto"/>
        </w:rPr>
      </w:pPr>
      <w:bookmarkStart w:id="69" w:name="_Toc32594"/>
      <w:bookmarkStart w:id="70" w:name="_Toc21330"/>
      <w:r>
        <w:rPr>
          <w:rFonts w:hint="default" w:ascii="Times New Roman" w:hAnsi="Times New Roman" w:cs="Times New Roman"/>
          <w:color w:val="auto"/>
        </w:rPr>
        <w:t>编制依据</w:t>
      </w:r>
      <w:bookmarkEnd w:id="69"/>
      <w:bookmarkEnd w:id="70"/>
    </w:p>
    <w:p>
      <w:pPr>
        <w:pStyle w:val="5"/>
        <w:keepNext/>
        <w:keepLines/>
        <w:pageBreakBefore w:val="0"/>
        <w:widowControl w:val="0"/>
        <w:kinsoku/>
        <w:wordWrap/>
        <w:overflowPunct/>
        <w:topLinePunct w:val="0"/>
        <w:autoSpaceDE/>
        <w:autoSpaceDN/>
        <w:bidi w:val="0"/>
        <w:adjustRightInd w:val="0"/>
        <w:snapToGrid w:val="0"/>
        <w:spacing w:before="0" w:beforeLines="0" w:after="0" w:afterLines="0" w:line="360" w:lineRule="auto"/>
        <w:ind w:leftChars="0" w:firstLine="0" w:firstLineChars="0"/>
        <w:jc w:val="left"/>
        <w:textAlignment w:val="auto"/>
        <w:rPr>
          <w:rFonts w:hint="default" w:ascii="Times New Roman" w:hAnsi="Times New Roman" w:cs="Times New Roman"/>
          <w:color w:val="auto"/>
        </w:rPr>
      </w:pPr>
      <w:bookmarkStart w:id="71" w:name="_Toc211677948"/>
      <w:bookmarkStart w:id="72" w:name="_Toc215239534"/>
      <w:bookmarkStart w:id="73" w:name="_Toc23842"/>
      <w:bookmarkStart w:id="74" w:name="_Toc118261804"/>
      <w:bookmarkStart w:id="75" w:name="_Toc205780530"/>
      <w:bookmarkStart w:id="76" w:name="_Toc184400126"/>
      <w:bookmarkStart w:id="77" w:name="_Toc192252164"/>
      <w:bookmarkStart w:id="78" w:name="_Toc184474503"/>
      <w:bookmarkStart w:id="79" w:name="_Toc176518423"/>
      <w:bookmarkStart w:id="80" w:name="_Toc203273644"/>
      <w:bookmarkStart w:id="81" w:name="_Toc203272409"/>
      <w:bookmarkStart w:id="82" w:name="_Toc162454410"/>
      <w:bookmarkStart w:id="83" w:name="_Toc205087822"/>
      <w:bookmarkStart w:id="84" w:name="_Toc184481721"/>
      <w:bookmarkStart w:id="85" w:name="_Toc203274875"/>
      <w:bookmarkStart w:id="86" w:name="_Toc205130684"/>
      <w:bookmarkStart w:id="87" w:name="_Toc205780743"/>
      <w:bookmarkStart w:id="88" w:name="_Toc211618335"/>
      <w:bookmarkStart w:id="89" w:name="_Toc184481164"/>
      <w:bookmarkStart w:id="90" w:name="_Toc143012181"/>
      <w:bookmarkStart w:id="91" w:name="_Toc174898437"/>
      <w:bookmarkStart w:id="92" w:name="_Toc136923513"/>
      <w:r>
        <w:rPr>
          <w:rFonts w:hint="default" w:ascii="Times New Roman" w:hAnsi="Times New Roman" w:cs="Times New Roman"/>
          <w:color w:val="auto"/>
        </w:rPr>
        <w:t>法律、法规及相关政策</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pPr>
        <w:pStyle w:val="39"/>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《中华人民共和国环境保护法》，中华人民共和国主席令第9号，2014年4月24日修订；</w:t>
      </w:r>
    </w:p>
    <w:p>
      <w:pPr>
        <w:pStyle w:val="39"/>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《中华人民共和国环境影响评价法》，中华人民共和国主席第24号令，2018年12月29日施行；</w:t>
      </w:r>
    </w:p>
    <w:p>
      <w:pPr>
        <w:pStyle w:val="39"/>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《中华人民共和国环境噪声污染防治法》，中华人民共和国主席令第24号，2018年12月29日施行；</w:t>
      </w:r>
    </w:p>
    <w:p>
      <w:pPr>
        <w:pStyle w:val="39"/>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u w:val="single"/>
        </w:rPr>
      </w:pPr>
      <w:r>
        <w:rPr>
          <w:rFonts w:hint="default" w:ascii="Times New Roman" w:hAnsi="Times New Roman" w:cs="Times New Roman"/>
          <w:color w:val="auto"/>
          <w:u w:val="single"/>
        </w:rPr>
        <w:t>《中华人民共和国大气污染防治法》，20</w:t>
      </w:r>
      <w:r>
        <w:rPr>
          <w:rFonts w:hint="default" w:ascii="Times New Roman" w:hAnsi="Times New Roman" w:cs="Times New Roman"/>
          <w:color w:val="auto"/>
          <w:u w:val="single"/>
          <w:lang w:val="en-US" w:eastAsia="zh-CN"/>
        </w:rPr>
        <w:t>18</w:t>
      </w:r>
      <w:r>
        <w:rPr>
          <w:rFonts w:hint="default" w:ascii="Times New Roman" w:hAnsi="Times New Roman" w:cs="Times New Roman"/>
          <w:color w:val="auto"/>
          <w:u w:val="single"/>
        </w:rPr>
        <w:t>年</w:t>
      </w:r>
      <w:r>
        <w:rPr>
          <w:rFonts w:hint="default" w:ascii="Times New Roman" w:hAnsi="Times New Roman" w:cs="Times New Roman"/>
          <w:color w:val="auto"/>
          <w:u w:val="single"/>
          <w:lang w:val="en-US" w:eastAsia="zh-CN"/>
        </w:rPr>
        <w:t>10</w:t>
      </w:r>
      <w:r>
        <w:rPr>
          <w:rFonts w:hint="default" w:ascii="Times New Roman" w:hAnsi="Times New Roman" w:cs="Times New Roman"/>
          <w:color w:val="auto"/>
          <w:u w:val="single"/>
        </w:rPr>
        <w:t>月</w:t>
      </w:r>
      <w:r>
        <w:rPr>
          <w:rFonts w:hint="default" w:ascii="Times New Roman" w:hAnsi="Times New Roman" w:cs="Times New Roman"/>
          <w:color w:val="auto"/>
          <w:u w:val="single"/>
          <w:lang w:val="en-US" w:eastAsia="zh-CN"/>
        </w:rPr>
        <w:t>26</w:t>
      </w:r>
      <w:r>
        <w:rPr>
          <w:rFonts w:hint="default" w:ascii="Times New Roman" w:hAnsi="Times New Roman" w:cs="Times New Roman"/>
          <w:color w:val="auto"/>
          <w:u w:val="single"/>
        </w:rPr>
        <w:t>日修订；</w:t>
      </w:r>
    </w:p>
    <w:p>
      <w:pPr>
        <w:pStyle w:val="39"/>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《中华人民共和国水污染防治法》，中华人民共和国主席令第70号，2017年6月27日修订；</w:t>
      </w:r>
    </w:p>
    <w:p>
      <w:pPr>
        <w:pStyle w:val="39"/>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u w:val="single"/>
        </w:rPr>
      </w:pPr>
      <w:r>
        <w:rPr>
          <w:rFonts w:hint="default" w:ascii="Times New Roman" w:hAnsi="Times New Roman" w:cs="Times New Roman"/>
          <w:color w:val="auto"/>
          <w:u w:val="single"/>
        </w:rPr>
        <w:t>《中华人民共和国</w:t>
      </w:r>
      <w:r>
        <w:rPr>
          <w:rFonts w:hint="default" w:ascii="Times New Roman" w:hAnsi="Times New Roman" w:cs="Times New Roman"/>
          <w:color w:val="auto"/>
          <w:sz w:val="24"/>
          <w:u w:val="single"/>
          <w:lang w:eastAsia="zh-CN"/>
        </w:rPr>
        <w:t>土壤</w:t>
      </w:r>
      <w:r>
        <w:rPr>
          <w:rFonts w:hint="default" w:ascii="Times New Roman" w:hAnsi="Times New Roman" w:cs="Times New Roman"/>
          <w:color w:val="auto"/>
          <w:sz w:val="24"/>
          <w:u w:val="single"/>
        </w:rPr>
        <w:t>污染防治法</w:t>
      </w:r>
      <w:r>
        <w:rPr>
          <w:rFonts w:hint="default" w:ascii="Times New Roman" w:hAnsi="Times New Roman" w:cs="Times New Roman"/>
          <w:color w:val="auto"/>
          <w:u w:val="single"/>
        </w:rPr>
        <w:t>》，中华人民共和国主席令第</w:t>
      </w:r>
      <w:r>
        <w:rPr>
          <w:rFonts w:hint="default" w:ascii="Times New Roman" w:hAnsi="Times New Roman" w:cs="Times New Roman"/>
          <w:color w:val="auto"/>
          <w:u w:val="single"/>
          <w:lang w:val="en-US" w:eastAsia="zh-CN"/>
        </w:rPr>
        <w:t>8</w:t>
      </w:r>
      <w:r>
        <w:rPr>
          <w:rFonts w:hint="default" w:ascii="Times New Roman" w:hAnsi="Times New Roman" w:cs="Times New Roman"/>
          <w:color w:val="auto"/>
          <w:u w:val="single"/>
        </w:rPr>
        <w:t>号，201</w:t>
      </w:r>
      <w:r>
        <w:rPr>
          <w:rFonts w:hint="default" w:ascii="Times New Roman" w:hAnsi="Times New Roman" w:cs="Times New Roman"/>
          <w:color w:val="auto"/>
          <w:u w:val="single"/>
          <w:lang w:val="en-US" w:eastAsia="zh-CN"/>
        </w:rPr>
        <w:t>8</w:t>
      </w:r>
      <w:r>
        <w:rPr>
          <w:rFonts w:hint="default" w:ascii="Times New Roman" w:hAnsi="Times New Roman" w:cs="Times New Roman"/>
          <w:color w:val="auto"/>
          <w:u w:val="single"/>
        </w:rPr>
        <w:t>年</w:t>
      </w:r>
      <w:r>
        <w:rPr>
          <w:rFonts w:hint="default" w:ascii="Times New Roman" w:hAnsi="Times New Roman" w:cs="Times New Roman"/>
          <w:color w:val="auto"/>
          <w:u w:val="single"/>
          <w:lang w:val="en-US" w:eastAsia="zh-CN"/>
        </w:rPr>
        <w:t>8</w:t>
      </w:r>
      <w:r>
        <w:rPr>
          <w:rFonts w:hint="default" w:ascii="Times New Roman" w:hAnsi="Times New Roman" w:cs="Times New Roman"/>
          <w:color w:val="auto"/>
          <w:u w:val="single"/>
        </w:rPr>
        <w:t>月</w:t>
      </w:r>
      <w:r>
        <w:rPr>
          <w:rFonts w:hint="default" w:ascii="Times New Roman" w:hAnsi="Times New Roman" w:cs="Times New Roman"/>
          <w:color w:val="auto"/>
          <w:u w:val="single"/>
          <w:lang w:val="en-US" w:eastAsia="zh-CN"/>
        </w:rPr>
        <w:t>31</w:t>
      </w:r>
      <w:r>
        <w:rPr>
          <w:rFonts w:hint="default" w:ascii="Times New Roman" w:hAnsi="Times New Roman" w:cs="Times New Roman"/>
          <w:color w:val="auto"/>
          <w:u w:val="single"/>
        </w:rPr>
        <w:t>日</w:t>
      </w:r>
      <w:r>
        <w:rPr>
          <w:rFonts w:hint="default" w:ascii="Times New Roman" w:hAnsi="Times New Roman" w:cs="Times New Roman"/>
          <w:color w:val="auto"/>
          <w:u w:val="single"/>
          <w:lang w:eastAsia="zh-CN"/>
        </w:rPr>
        <w:t>发布</w:t>
      </w:r>
      <w:r>
        <w:rPr>
          <w:rFonts w:hint="default" w:ascii="Times New Roman" w:hAnsi="Times New Roman" w:cs="Times New Roman"/>
          <w:color w:val="auto"/>
          <w:u w:val="single"/>
        </w:rPr>
        <w:t>；</w:t>
      </w:r>
    </w:p>
    <w:p>
      <w:pPr>
        <w:pStyle w:val="39"/>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《中华人民共和国固体废物污染环境防治法》，中华人民共和国主席令第</w:t>
      </w:r>
      <w:r>
        <w:rPr>
          <w:rFonts w:hint="default" w:ascii="Times New Roman" w:hAnsi="Times New Roman" w:cs="Times New Roman"/>
          <w:color w:val="auto"/>
          <w:lang w:val="en-US" w:eastAsia="zh-CN"/>
        </w:rPr>
        <w:t>43</w:t>
      </w:r>
      <w:r>
        <w:rPr>
          <w:rFonts w:hint="default" w:ascii="Times New Roman" w:hAnsi="Times New Roman" w:cs="Times New Roman"/>
          <w:color w:val="auto"/>
        </w:rPr>
        <w:t>号，20</w:t>
      </w:r>
      <w:r>
        <w:rPr>
          <w:rFonts w:hint="default" w:ascii="Times New Roman" w:hAnsi="Times New Roman" w:cs="Times New Roman"/>
          <w:color w:val="auto"/>
          <w:lang w:val="en-US" w:eastAsia="zh-CN"/>
        </w:rPr>
        <w:t>20</w:t>
      </w:r>
      <w:r>
        <w:rPr>
          <w:rFonts w:hint="default" w:ascii="Times New Roman" w:hAnsi="Times New Roman" w:cs="Times New Roman"/>
          <w:color w:val="auto"/>
        </w:rPr>
        <w:t>年</w:t>
      </w:r>
      <w:r>
        <w:rPr>
          <w:rFonts w:hint="default" w:ascii="Times New Roman" w:hAnsi="Times New Roman" w:cs="Times New Roman"/>
          <w:color w:val="auto"/>
          <w:lang w:val="en-US" w:eastAsia="zh-CN"/>
        </w:rPr>
        <w:t>4</w:t>
      </w:r>
      <w:r>
        <w:rPr>
          <w:rFonts w:hint="default" w:ascii="Times New Roman" w:hAnsi="Times New Roman" w:cs="Times New Roman"/>
          <w:color w:val="auto"/>
        </w:rPr>
        <w:t>月</w:t>
      </w:r>
      <w:r>
        <w:rPr>
          <w:rFonts w:hint="default" w:ascii="Times New Roman" w:hAnsi="Times New Roman" w:cs="Times New Roman"/>
          <w:color w:val="auto"/>
          <w:lang w:val="en-US" w:eastAsia="zh-CN"/>
        </w:rPr>
        <w:t>29</w:t>
      </w:r>
      <w:r>
        <w:rPr>
          <w:rFonts w:hint="default" w:ascii="Times New Roman" w:hAnsi="Times New Roman" w:cs="Times New Roman"/>
          <w:color w:val="auto"/>
        </w:rPr>
        <w:t>日修订</w:t>
      </w:r>
      <w:r>
        <w:rPr>
          <w:rFonts w:hint="default" w:ascii="Times New Roman" w:hAnsi="Times New Roman" w:cs="Times New Roman"/>
          <w:color w:val="auto"/>
          <w:lang w:val="en-US" w:eastAsia="zh-CN"/>
        </w:rPr>
        <w:t>，自2020年9月1日起施行；</w:t>
      </w:r>
    </w:p>
    <w:p>
      <w:pPr>
        <w:pStyle w:val="39"/>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《中华人民共和国水法》，中华人民共和国主席令第48号，2016年7月2日修订；</w:t>
      </w:r>
    </w:p>
    <w:p>
      <w:pPr>
        <w:pStyle w:val="39"/>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《中华人民共和国清洁生产促进法》，中华人民共和国主席令第54号，2012年2月29日修订；</w:t>
      </w:r>
    </w:p>
    <w:p>
      <w:pPr>
        <w:pStyle w:val="39"/>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《中华人民共和国节约能源法》，中华人民共和国主席令第70号，2016年7月2日修订;</w:t>
      </w:r>
    </w:p>
    <w:p>
      <w:pPr>
        <w:pStyle w:val="39"/>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《中华人民共和国安全生产法》，中华人民共和国主席令第13号，2014年8月31日修订；</w:t>
      </w:r>
    </w:p>
    <w:p>
      <w:pPr>
        <w:pStyle w:val="39"/>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《中华人民共和国水土保持法》，中华人民共和国主席令第39号，2010年12月25日修订；</w:t>
      </w:r>
    </w:p>
    <w:p>
      <w:pPr>
        <w:pStyle w:val="39"/>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《中华人民共和国城乡规划法》，中华人民共和国主席令第23号，2015年4月24日修订；</w:t>
      </w:r>
    </w:p>
    <w:p>
      <w:pPr>
        <w:pStyle w:val="39"/>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《建设项目环境保护管理条例》，中华人民共和国国务院令第682号，2017年6月21日修订；</w:t>
      </w:r>
    </w:p>
    <w:p>
      <w:pPr>
        <w:pStyle w:val="39"/>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lang w:val="zh-CN"/>
        </w:rPr>
      </w:pPr>
      <w:r>
        <w:rPr>
          <w:rFonts w:hint="default" w:ascii="Times New Roman" w:hAnsi="Times New Roman" w:cs="Times New Roman"/>
          <w:color w:val="auto"/>
        </w:rPr>
        <w:t>《国务院关于印发</w:t>
      </w:r>
      <w:r>
        <w:rPr>
          <w:rFonts w:hint="default" w:ascii="Times New Roman" w:hAnsi="Times New Roman" w:cs="Times New Roman"/>
          <w:color w:val="auto"/>
          <w:lang w:eastAsia="zh-CN"/>
        </w:rPr>
        <w:t>“</w:t>
      </w:r>
      <w:r>
        <w:rPr>
          <w:rFonts w:hint="default" w:ascii="Times New Roman" w:hAnsi="Times New Roman" w:cs="Times New Roman"/>
          <w:color w:val="auto"/>
        </w:rPr>
        <w:t>十三五</w:t>
      </w:r>
      <w:r>
        <w:rPr>
          <w:rFonts w:hint="default" w:ascii="Times New Roman" w:hAnsi="Times New Roman" w:cs="Times New Roman"/>
          <w:color w:val="auto"/>
          <w:lang w:eastAsia="zh-CN"/>
        </w:rPr>
        <w:t>”</w:t>
      </w:r>
      <w:r>
        <w:rPr>
          <w:rFonts w:hint="default" w:ascii="Times New Roman" w:hAnsi="Times New Roman" w:cs="Times New Roman"/>
          <w:color w:val="auto"/>
        </w:rPr>
        <w:t>生态环境保护规划的通知》，国发[2016]65号，2016年11月24日；</w:t>
      </w:r>
    </w:p>
    <w:p>
      <w:pPr>
        <w:pStyle w:val="39"/>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lang w:val="zh-CN"/>
        </w:rPr>
      </w:pPr>
      <w:r>
        <w:rPr>
          <w:rFonts w:hint="default" w:ascii="Times New Roman" w:hAnsi="Times New Roman" w:cs="Times New Roman"/>
          <w:color w:val="auto"/>
        </w:rPr>
        <w:t>《国务院关于印发打赢蓝天保卫战三年行动计划的通知》，国发[2018]22号，2018年6月27日；</w:t>
      </w:r>
    </w:p>
    <w:p>
      <w:pPr>
        <w:pStyle w:val="39"/>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lang w:val="zh-CN"/>
        </w:rPr>
      </w:pPr>
      <w:r>
        <w:rPr>
          <w:rFonts w:hint="default" w:ascii="Times New Roman" w:hAnsi="Times New Roman" w:cs="Times New Roman"/>
          <w:color w:val="auto"/>
          <w:lang w:val="zh-CN"/>
        </w:rPr>
        <w:t>《国务院关于印发水污染防治行动计划的通知》，国发</w:t>
      </w:r>
      <w:r>
        <w:rPr>
          <w:rFonts w:hint="default" w:ascii="Times New Roman" w:hAnsi="Times New Roman" w:cs="Times New Roman"/>
          <w:color w:val="auto"/>
        </w:rPr>
        <w:t>[</w:t>
      </w:r>
      <w:r>
        <w:rPr>
          <w:rFonts w:hint="default" w:ascii="Times New Roman" w:hAnsi="Times New Roman" w:cs="Times New Roman"/>
          <w:color w:val="auto"/>
          <w:lang w:val="zh-CN"/>
        </w:rPr>
        <w:t>2015</w:t>
      </w:r>
      <w:r>
        <w:rPr>
          <w:rFonts w:hint="default" w:ascii="Times New Roman" w:hAnsi="Times New Roman" w:cs="Times New Roman"/>
          <w:color w:val="auto"/>
        </w:rPr>
        <w:t>]</w:t>
      </w:r>
      <w:r>
        <w:rPr>
          <w:rFonts w:hint="default" w:ascii="Times New Roman" w:hAnsi="Times New Roman" w:cs="Times New Roman"/>
          <w:color w:val="auto"/>
          <w:lang w:val="zh-CN"/>
        </w:rPr>
        <w:t>17号，2015年4月2日；</w:t>
      </w:r>
    </w:p>
    <w:p>
      <w:pPr>
        <w:pStyle w:val="39"/>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lang w:val="zh-CN"/>
        </w:rPr>
      </w:pPr>
      <w:r>
        <w:rPr>
          <w:rFonts w:hint="default" w:ascii="Times New Roman" w:hAnsi="Times New Roman" w:cs="Times New Roman"/>
          <w:color w:val="auto"/>
          <w:lang w:val="zh-CN"/>
        </w:rPr>
        <w:t>《国务院关于印发土壤污染防治行动计划的通知》，国发</w:t>
      </w:r>
      <w:r>
        <w:rPr>
          <w:rFonts w:hint="default" w:ascii="Times New Roman" w:hAnsi="Times New Roman" w:cs="Times New Roman"/>
          <w:color w:val="auto"/>
        </w:rPr>
        <w:t>[</w:t>
      </w:r>
      <w:r>
        <w:rPr>
          <w:rFonts w:hint="default" w:ascii="Times New Roman" w:hAnsi="Times New Roman" w:cs="Times New Roman"/>
          <w:color w:val="auto"/>
          <w:lang w:val="zh-CN"/>
        </w:rPr>
        <w:t>2016</w:t>
      </w:r>
      <w:r>
        <w:rPr>
          <w:rFonts w:hint="default" w:ascii="Times New Roman" w:hAnsi="Times New Roman" w:cs="Times New Roman"/>
          <w:color w:val="auto"/>
        </w:rPr>
        <w:t>]</w:t>
      </w:r>
      <w:r>
        <w:rPr>
          <w:rFonts w:hint="default" w:ascii="Times New Roman" w:hAnsi="Times New Roman" w:cs="Times New Roman"/>
          <w:color w:val="auto"/>
          <w:lang w:val="zh-CN"/>
        </w:rPr>
        <w:t>31号，2016年5月28日；</w:t>
      </w:r>
    </w:p>
    <w:p>
      <w:pPr>
        <w:pStyle w:val="39"/>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《国务院办公厅关于印发&lt;控制污染物排放许可制实施方案&gt;的通知》，国办发[2016]81号，2016年11月10日。</w:t>
      </w:r>
    </w:p>
    <w:p>
      <w:pPr>
        <w:pStyle w:val="39"/>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《国务院</w:t>
      </w:r>
      <w:r>
        <w:rPr>
          <w:rFonts w:hint="eastAsia" w:cs="Times New Roman"/>
          <w:color w:val="auto"/>
          <w:lang w:eastAsia="zh-CN"/>
        </w:rPr>
        <w:t>令第</w:t>
      </w:r>
      <w:r>
        <w:rPr>
          <w:rFonts w:hint="eastAsia" w:cs="Times New Roman"/>
          <w:color w:val="auto"/>
          <w:lang w:val="en-US" w:eastAsia="zh-CN"/>
        </w:rPr>
        <w:t>736号</w:t>
      </w:r>
      <w:r>
        <w:rPr>
          <w:rFonts w:hint="default" w:ascii="Times New Roman" w:hAnsi="Times New Roman" w:cs="Times New Roman"/>
          <w:color w:val="auto"/>
        </w:rPr>
        <w:t>&lt;排污许可管理条例&gt;》，，</w:t>
      </w:r>
      <w:r>
        <w:rPr>
          <w:rFonts w:hint="eastAsia" w:ascii="宋体" w:hAnsi="宋体" w:eastAsia="宋体" w:cs="宋体"/>
          <w:i w:val="0"/>
          <w:caps w:val="0"/>
          <w:color w:val="auto"/>
          <w:spacing w:val="0"/>
          <w:sz w:val="24"/>
          <w:szCs w:val="24"/>
          <w:shd w:val="clear" w:fill="FFFFFF"/>
        </w:rPr>
        <w:t>2020年12月9日国务院第117次常务会议通过，自2021年3月1日起施行</w:t>
      </w:r>
      <w:r>
        <w:rPr>
          <w:rFonts w:hint="default" w:ascii="Times New Roman" w:hAnsi="Times New Roman" w:cs="Times New Roman"/>
          <w:color w:val="auto"/>
        </w:rPr>
        <w:t>。</w:t>
      </w:r>
    </w:p>
    <w:p>
      <w:pPr>
        <w:pStyle w:val="5"/>
        <w:keepNext/>
        <w:keepLines/>
        <w:pageBreakBefore w:val="0"/>
        <w:widowControl w:val="0"/>
        <w:kinsoku/>
        <w:wordWrap/>
        <w:overflowPunct/>
        <w:topLinePunct w:val="0"/>
        <w:autoSpaceDE/>
        <w:autoSpaceDN/>
        <w:bidi w:val="0"/>
        <w:adjustRightInd w:val="0"/>
        <w:snapToGrid w:val="0"/>
        <w:spacing w:before="0" w:beforeLines="0" w:after="0" w:afterLines="0" w:line="360" w:lineRule="auto"/>
        <w:ind w:leftChars="0" w:firstLine="0" w:firstLineChars="0"/>
        <w:jc w:val="left"/>
        <w:textAlignment w:val="auto"/>
        <w:rPr>
          <w:rFonts w:hint="default" w:ascii="Times New Roman" w:hAnsi="Times New Roman" w:cs="Times New Roman"/>
          <w:color w:val="auto"/>
        </w:rPr>
      </w:pPr>
      <w:bookmarkStart w:id="93" w:name="_Toc23081"/>
      <w:r>
        <w:rPr>
          <w:rFonts w:hint="default" w:ascii="Times New Roman" w:hAnsi="Times New Roman" w:cs="Times New Roman"/>
          <w:color w:val="auto"/>
        </w:rPr>
        <w:t>部门规章及规范性文件</w:t>
      </w:r>
      <w:bookmarkEnd w:id="93"/>
    </w:p>
    <w:p>
      <w:pPr>
        <w:pStyle w:val="39"/>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"http://www.mep.gov.cn/gkml/hbb/bl/200910/t20091022_174583.htm" </w:instrText>
      </w:r>
      <w:r>
        <w:rPr>
          <w:rFonts w:hint="default" w:ascii="Times New Roman" w:hAnsi="Times New Roman" w:cs="Times New Roman"/>
          <w:color w:val="auto"/>
        </w:rPr>
        <w:fldChar w:fldCharType="separate"/>
      </w:r>
      <w:r>
        <w:rPr>
          <w:rFonts w:hint="default" w:ascii="Times New Roman" w:hAnsi="Times New Roman" w:cs="Times New Roman"/>
          <w:color w:val="auto"/>
        </w:rPr>
        <w:t>建设项目环境影响评价分类管理名录</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2021年版）</w:t>
      </w:r>
      <w:r>
        <w:rPr>
          <w:rFonts w:hint="default" w:ascii="Times New Roman" w:hAnsi="Times New Roman" w:cs="Times New Roman"/>
          <w:color w:val="auto"/>
        </w:rPr>
        <w:t>》，</w:t>
      </w:r>
      <w:r>
        <w:rPr>
          <w:rFonts w:hint="default" w:ascii="Times New Roman" w:hAnsi="Times New Roman" w:cs="Times New Roman"/>
          <w:color w:val="auto"/>
          <w:lang w:eastAsia="zh-CN"/>
        </w:rPr>
        <w:t>国家生态环境部</w:t>
      </w:r>
      <w:r>
        <w:rPr>
          <w:rFonts w:hint="default" w:ascii="Times New Roman" w:hAnsi="Times New Roman" w:cs="Times New Roman"/>
          <w:color w:val="auto"/>
        </w:rPr>
        <w:t>部令第</w:t>
      </w:r>
      <w:r>
        <w:rPr>
          <w:rFonts w:hint="default" w:ascii="Times New Roman" w:hAnsi="Times New Roman" w:cs="Times New Roman"/>
          <w:color w:val="auto"/>
          <w:lang w:val="en-US" w:eastAsia="zh-CN"/>
        </w:rPr>
        <w:t>16</w:t>
      </w:r>
      <w:r>
        <w:rPr>
          <w:rFonts w:hint="default" w:ascii="Times New Roman" w:hAnsi="Times New Roman" w:cs="Times New Roman"/>
          <w:color w:val="auto"/>
        </w:rPr>
        <w:t>号，20</w:t>
      </w:r>
      <w:r>
        <w:rPr>
          <w:rFonts w:hint="default" w:ascii="Times New Roman" w:hAnsi="Times New Roman" w:cs="Times New Roman"/>
          <w:color w:val="auto"/>
          <w:lang w:val="en-US" w:eastAsia="zh-CN"/>
        </w:rPr>
        <w:t>20</w:t>
      </w:r>
      <w:r>
        <w:rPr>
          <w:rFonts w:hint="default" w:ascii="Times New Roman" w:hAnsi="Times New Roman" w:cs="Times New Roman"/>
          <w:color w:val="auto"/>
        </w:rPr>
        <w:t>年</w:t>
      </w:r>
      <w:r>
        <w:rPr>
          <w:rFonts w:hint="default" w:ascii="Times New Roman" w:hAnsi="Times New Roman" w:cs="Times New Roman"/>
          <w:color w:val="auto"/>
          <w:lang w:val="en-US" w:eastAsia="zh-CN"/>
        </w:rPr>
        <w:t>11</w:t>
      </w:r>
      <w:r>
        <w:rPr>
          <w:rFonts w:hint="default" w:ascii="Times New Roman" w:hAnsi="Times New Roman" w:cs="Times New Roman"/>
          <w:color w:val="auto"/>
        </w:rPr>
        <w:t>月</w:t>
      </w:r>
      <w:r>
        <w:rPr>
          <w:rFonts w:hint="default" w:ascii="Times New Roman" w:hAnsi="Times New Roman" w:cs="Times New Roman"/>
          <w:color w:val="auto"/>
          <w:lang w:val="en-US" w:eastAsia="zh-CN"/>
        </w:rPr>
        <w:t>30</w:t>
      </w:r>
      <w:r>
        <w:rPr>
          <w:rFonts w:hint="default" w:ascii="Times New Roman" w:hAnsi="Times New Roman" w:cs="Times New Roman"/>
          <w:color w:val="auto"/>
        </w:rPr>
        <w:t>日</w:t>
      </w:r>
      <w:r>
        <w:rPr>
          <w:rFonts w:hint="default" w:ascii="Times New Roman" w:hAnsi="Times New Roman" w:cs="Times New Roman"/>
          <w:color w:val="auto"/>
          <w:lang w:eastAsia="zh-CN"/>
        </w:rPr>
        <w:t>发布</w:t>
      </w:r>
      <w:r>
        <w:rPr>
          <w:rFonts w:hint="default" w:ascii="Times New Roman" w:hAnsi="Times New Roman" w:cs="Times New Roman"/>
          <w:color w:val="auto"/>
        </w:rPr>
        <w:t>，20</w:t>
      </w:r>
      <w:r>
        <w:rPr>
          <w:rFonts w:hint="default" w:ascii="Times New Roman" w:hAnsi="Times New Roman" w:cs="Times New Roman"/>
          <w:color w:val="auto"/>
          <w:lang w:val="en-US" w:eastAsia="zh-CN"/>
        </w:rPr>
        <w:t>21</w:t>
      </w:r>
      <w:r>
        <w:rPr>
          <w:rFonts w:hint="default" w:ascii="Times New Roman" w:hAnsi="Times New Roman" w:cs="Times New Roman"/>
          <w:color w:val="auto"/>
        </w:rPr>
        <w:t>年</w:t>
      </w:r>
      <w:r>
        <w:rPr>
          <w:rFonts w:hint="default" w:ascii="Times New Roman" w:hAnsi="Times New Roman" w:cs="Times New Roman"/>
          <w:color w:val="auto"/>
          <w:lang w:val="en-US" w:eastAsia="zh-CN"/>
        </w:rPr>
        <w:t>1</w:t>
      </w:r>
      <w:r>
        <w:rPr>
          <w:rFonts w:hint="default" w:ascii="Times New Roman" w:hAnsi="Times New Roman" w:cs="Times New Roman"/>
          <w:color w:val="auto"/>
        </w:rPr>
        <w:t>月</w:t>
      </w:r>
      <w:r>
        <w:rPr>
          <w:rFonts w:hint="default" w:ascii="Times New Roman" w:hAnsi="Times New Roman" w:cs="Times New Roman"/>
          <w:color w:val="auto"/>
          <w:lang w:val="en-US" w:eastAsia="zh-CN"/>
        </w:rPr>
        <w:t>1</w:t>
      </w:r>
      <w:r>
        <w:rPr>
          <w:rFonts w:hint="default" w:ascii="Times New Roman" w:hAnsi="Times New Roman" w:cs="Times New Roman"/>
          <w:color w:val="auto"/>
        </w:rPr>
        <w:t>日</w:t>
      </w:r>
      <w:r>
        <w:rPr>
          <w:rFonts w:hint="default" w:ascii="Times New Roman" w:hAnsi="Times New Roman" w:cs="Times New Roman"/>
          <w:color w:val="auto"/>
          <w:lang w:eastAsia="zh-CN"/>
        </w:rPr>
        <w:t>起施行</w:t>
      </w:r>
      <w:r>
        <w:rPr>
          <w:rFonts w:hint="default" w:ascii="Times New Roman" w:hAnsi="Times New Roman" w:cs="Times New Roman"/>
          <w:color w:val="auto"/>
        </w:rPr>
        <w:t>；</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《国家危险废物名录》，</w:t>
      </w:r>
      <w:r>
        <w:rPr>
          <w:rFonts w:hint="default" w:ascii="Times New Roman" w:hAnsi="Times New Roman" w:cs="Times New Roman"/>
          <w:color w:val="auto"/>
          <w:lang w:eastAsia="zh-CN"/>
        </w:rPr>
        <w:t>环境保护部部令第</w:t>
      </w:r>
      <w:r>
        <w:rPr>
          <w:rFonts w:hint="default" w:ascii="Times New Roman" w:hAnsi="Times New Roman" w:cs="Times New Roman"/>
          <w:color w:val="auto"/>
          <w:lang w:val="en-US" w:eastAsia="zh-CN"/>
        </w:rPr>
        <w:t>39号</w:t>
      </w:r>
      <w:r>
        <w:rPr>
          <w:rFonts w:hint="default" w:ascii="Times New Roman" w:hAnsi="Times New Roman" w:cs="Times New Roman"/>
          <w:color w:val="auto"/>
        </w:rPr>
        <w:t>，20</w:t>
      </w:r>
      <w:r>
        <w:rPr>
          <w:rFonts w:hint="default" w:ascii="Times New Roman" w:hAnsi="Times New Roman" w:cs="Times New Roman"/>
          <w:color w:val="auto"/>
          <w:lang w:val="en-US" w:eastAsia="zh-CN"/>
        </w:rPr>
        <w:t>21</w:t>
      </w:r>
      <w:r>
        <w:rPr>
          <w:rFonts w:hint="default" w:ascii="Times New Roman" w:hAnsi="Times New Roman" w:cs="Times New Roman"/>
          <w:color w:val="auto"/>
        </w:rPr>
        <w:t>年</w:t>
      </w:r>
      <w:r>
        <w:rPr>
          <w:rFonts w:hint="default" w:ascii="Times New Roman" w:hAnsi="Times New Roman" w:cs="Times New Roman"/>
          <w:color w:val="auto"/>
          <w:lang w:val="en-US" w:eastAsia="zh-CN"/>
        </w:rPr>
        <w:t>1</w:t>
      </w:r>
      <w:r>
        <w:rPr>
          <w:rFonts w:hint="default" w:ascii="Times New Roman" w:hAnsi="Times New Roman" w:cs="Times New Roman"/>
          <w:color w:val="auto"/>
        </w:rPr>
        <w:t>月1日施行；</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《危险化学品建设项目安全监督管理办法》，国家安全生产监督管理总局令第45号，2012年1月30日；</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《危险化学品安全管理条例》，中华人民共和国国务院令第645号，2012年12月7日；</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《危险化学品目录（2015 版）》，国家安全监管总局等10部门公告2015年第5号，2015年2月27日；</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u w:val="single"/>
        </w:rPr>
      </w:pPr>
      <w:r>
        <w:rPr>
          <w:rFonts w:hint="default" w:ascii="Times New Roman" w:hAnsi="Times New Roman" w:eastAsia="宋体" w:cs="Times New Roman"/>
          <w:color w:val="auto"/>
          <w:kern w:val="2"/>
          <w:sz w:val="24"/>
          <w:szCs w:val="24"/>
          <w:u w:val="single"/>
          <w:lang w:val="en-US" w:eastAsia="zh-CN" w:bidi="ar-SA"/>
        </w:rPr>
        <w:t>《危险化学品重大危险源辨识》（GB18218-2018）</w:t>
      </w:r>
      <w:r>
        <w:rPr>
          <w:rFonts w:hint="default" w:ascii="Times New Roman" w:hAnsi="Times New Roman" w:cs="Times New Roman"/>
          <w:color w:val="auto"/>
          <w:kern w:val="2"/>
          <w:sz w:val="24"/>
          <w:szCs w:val="24"/>
          <w:u w:val="single"/>
          <w:lang w:val="en-US" w:eastAsia="zh-CN" w:bidi="ar-SA"/>
        </w:rPr>
        <w:t>，国家市场监管总局2018年15号公告，</w:t>
      </w:r>
      <w:r>
        <w:rPr>
          <w:rFonts w:hint="default" w:ascii="Times New Roman" w:hAnsi="Times New Roman" w:cs="Times New Roman"/>
          <w:color w:val="auto"/>
          <w:u w:val="single"/>
        </w:rPr>
        <w:t>201</w:t>
      </w:r>
      <w:r>
        <w:rPr>
          <w:rFonts w:hint="default" w:ascii="Times New Roman" w:hAnsi="Times New Roman" w:cs="Times New Roman"/>
          <w:color w:val="auto"/>
          <w:u w:val="single"/>
          <w:lang w:val="en-US" w:eastAsia="zh-CN"/>
        </w:rPr>
        <w:t>8</w:t>
      </w:r>
      <w:r>
        <w:rPr>
          <w:rFonts w:hint="default" w:ascii="Times New Roman" w:hAnsi="Times New Roman" w:cs="Times New Roman"/>
          <w:color w:val="auto"/>
          <w:u w:val="single"/>
        </w:rPr>
        <w:t>年</w:t>
      </w:r>
      <w:r>
        <w:rPr>
          <w:rFonts w:hint="default" w:ascii="Times New Roman" w:hAnsi="Times New Roman" w:cs="Times New Roman"/>
          <w:color w:val="auto"/>
          <w:u w:val="single"/>
          <w:lang w:val="en-US" w:eastAsia="zh-CN"/>
        </w:rPr>
        <w:t>11</w:t>
      </w:r>
      <w:r>
        <w:rPr>
          <w:rFonts w:hint="default" w:ascii="Times New Roman" w:hAnsi="Times New Roman" w:cs="Times New Roman"/>
          <w:color w:val="auto"/>
          <w:u w:val="single"/>
        </w:rPr>
        <w:t>月</w:t>
      </w:r>
      <w:r>
        <w:rPr>
          <w:rFonts w:hint="default" w:ascii="Times New Roman" w:hAnsi="Times New Roman" w:cs="Times New Roman"/>
          <w:color w:val="auto"/>
          <w:u w:val="single"/>
          <w:lang w:val="en-US" w:eastAsia="zh-CN"/>
        </w:rPr>
        <w:t>19</w:t>
      </w:r>
      <w:r>
        <w:rPr>
          <w:rFonts w:hint="default" w:ascii="Times New Roman" w:hAnsi="Times New Roman" w:cs="Times New Roman"/>
          <w:color w:val="auto"/>
          <w:u w:val="single"/>
        </w:rPr>
        <w:t>日</w:t>
      </w:r>
      <w:r>
        <w:rPr>
          <w:rFonts w:hint="default" w:ascii="Times New Roman" w:hAnsi="Times New Roman" w:cs="Times New Roman"/>
          <w:color w:val="auto"/>
          <w:u w:val="single"/>
          <w:lang w:eastAsia="zh-CN"/>
        </w:rPr>
        <w:t>发布</w:t>
      </w:r>
      <w:r>
        <w:rPr>
          <w:rFonts w:hint="default" w:ascii="Times New Roman" w:hAnsi="Times New Roman" w:cs="Times New Roman"/>
          <w:color w:val="auto"/>
          <w:u w:val="single"/>
        </w:rPr>
        <w:t>；</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《产业结构调整指导目录（2019年本）》，国家发改委2019第29号令，2019年10月30日；</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《环境影响评价公众参与办法》，生态环境部令第4号，2019年1月1日施行；</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《关于印发&lt;建设项目环境影响评价政府信息公开指南（试行）&gt;的通知》，环办[2013]103号，2013年11月14日；</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《关于印发《建设项目环境影响评价信息公开机制方案》的通知》，环发[2015]162号，2015年12月10日；</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u w:val="single"/>
        </w:rPr>
      </w:pPr>
      <w:r>
        <w:rPr>
          <w:rFonts w:hint="default" w:ascii="Times New Roman" w:hAnsi="Times New Roman" w:cs="Times New Roman"/>
          <w:color w:val="auto"/>
          <w:sz w:val="24"/>
          <w:u w:val="single"/>
        </w:rPr>
        <w:t>《建设项目环境风险评价技术导则》（HJ</w:t>
      </w:r>
      <w:r>
        <w:rPr>
          <w:rFonts w:hint="default" w:ascii="Times New Roman" w:hAnsi="Times New Roman" w:cs="Times New Roman"/>
          <w:color w:val="auto"/>
          <w:sz w:val="24"/>
          <w:u w:val="single"/>
          <w:lang w:val="en-US" w:eastAsia="zh-CN"/>
        </w:rPr>
        <w:t xml:space="preserve"> </w:t>
      </w:r>
      <w:r>
        <w:rPr>
          <w:rFonts w:hint="default" w:ascii="Times New Roman" w:hAnsi="Times New Roman" w:cs="Times New Roman"/>
          <w:color w:val="auto"/>
          <w:sz w:val="24"/>
          <w:u w:val="single"/>
        </w:rPr>
        <w:t>169-2018）</w:t>
      </w:r>
      <w:r>
        <w:rPr>
          <w:rFonts w:hint="default" w:ascii="Times New Roman" w:hAnsi="Times New Roman" w:cs="Times New Roman"/>
          <w:color w:val="auto"/>
          <w:sz w:val="24"/>
          <w:u w:val="single"/>
          <w:lang w:eastAsia="zh-CN"/>
        </w:rPr>
        <w:t>，生态环境部，</w:t>
      </w:r>
      <w:r>
        <w:rPr>
          <w:rFonts w:hint="default" w:ascii="Times New Roman" w:hAnsi="Times New Roman" w:cs="Times New Roman"/>
          <w:color w:val="auto"/>
          <w:u w:val="single"/>
        </w:rPr>
        <w:t>201</w:t>
      </w:r>
      <w:r>
        <w:rPr>
          <w:rFonts w:hint="default" w:ascii="Times New Roman" w:hAnsi="Times New Roman" w:cs="Times New Roman"/>
          <w:color w:val="auto"/>
          <w:u w:val="single"/>
          <w:lang w:val="en-US" w:eastAsia="zh-CN"/>
        </w:rPr>
        <w:t>8</w:t>
      </w:r>
      <w:r>
        <w:rPr>
          <w:rFonts w:hint="default" w:ascii="Times New Roman" w:hAnsi="Times New Roman" w:cs="Times New Roman"/>
          <w:color w:val="auto"/>
          <w:u w:val="single"/>
        </w:rPr>
        <w:t>年</w:t>
      </w:r>
      <w:r>
        <w:rPr>
          <w:rFonts w:hint="default" w:ascii="Times New Roman" w:hAnsi="Times New Roman" w:cs="Times New Roman"/>
          <w:color w:val="auto"/>
          <w:u w:val="single"/>
          <w:lang w:val="en-US" w:eastAsia="zh-CN"/>
        </w:rPr>
        <w:t>10</w:t>
      </w:r>
      <w:r>
        <w:rPr>
          <w:rFonts w:hint="default" w:ascii="Times New Roman" w:hAnsi="Times New Roman" w:cs="Times New Roman"/>
          <w:color w:val="auto"/>
          <w:u w:val="single"/>
        </w:rPr>
        <w:t>月</w:t>
      </w:r>
      <w:r>
        <w:rPr>
          <w:rFonts w:hint="default" w:ascii="Times New Roman" w:hAnsi="Times New Roman" w:cs="Times New Roman"/>
          <w:color w:val="auto"/>
          <w:u w:val="single"/>
          <w:lang w:val="en-US" w:eastAsia="zh-CN"/>
        </w:rPr>
        <w:t>15</w:t>
      </w:r>
      <w:r>
        <w:rPr>
          <w:rFonts w:hint="default" w:ascii="Times New Roman" w:hAnsi="Times New Roman" w:cs="Times New Roman"/>
          <w:color w:val="auto"/>
          <w:u w:val="single"/>
        </w:rPr>
        <w:t>日</w:t>
      </w:r>
      <w:r>
        <w:rPr>
          <w:rFonts w:hint="default" w:ascii="Times New Roman" w:hAnsi="Times New Roman" w:cs="Times New Roman"/>
          <w:color w:val="auto"/>
          <w:u w:val="single"/>
          <w:lang w:eastAsia="zh-CN"/>
        </w:rPr>
        <w:t>发布；</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《关于进一步加强环境影响评价管理防范环境风险的通知》，环发[2012]77号，2012年7月3日；</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《关于切实加强风险防范严格环境影响评价管理的通知》，环发[2012]98号，2012年8月7日；</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《危险废物转移联单管理办法》，国家环保总局令第5号，1999年10月1日施行；</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《关于发布&lt;建设项目危险废物环境影响评价指南&gt;的公告》，环境保护部公告2017年第43号，2017年8月29日；</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《危险废物污染防治技术政策》，环发[2001]199号，2001年12月17日；</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《关于切实加强环境影响评价监督管理工作的通知》，环办[2013]104号，2013年11月15日；</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《关于印发&lt;石化行业挥发性有机物综合整治方案&gt;的通知》，环发[2014]177号，2014年12月5日；</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《部分工业行业淘汰落后生产工艺装备和产品指导目录（2010年本）》，工产业〔2010〕第122号，2010年10月13日；</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《关于落实大气污染防治行动计划严格环境影响评价准入的通知》，环办[2014]30号，2014年3月25日；</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《国家突发环境事件应急预案》</w:t>
      </w:r>
      <w:r>
        <w:rPr>
          <w:rFonts w:hint="default" w:ascii="Times New Roman" w:hAnsi="Times New Roman" w:cs="Times New Roman"/>
          <w:color w:val="auto"/>
          <w:lang w:eastAsia="zh-CN"/>
        </w:rPr>
        <w:t>，</w:t>
      </w:r>
      <w:r>
        <w:rPr>
          <w:rFonts w:hint="default" w:ascii="Times New Roman" w:hAnsi="Times New Roman" w:cs="Times New Roman"/>
          <w:color w:val="auto"/>
        </w:rPr>
        <w:t>国办函[2014]119 号，2014年12月29日；</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《企业事业单位突发环境事件应急预案备案管理办法（试行）》，环发[2015]4号，2015年1月8日；</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《关于印发&lt;企业突发环境事件风险评估指南（试行）&gt;的通知》，环办[2014]34号，2014年4月3日；</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《关于印发&lt;石油化工企业环境应急预案编制指南&gt;的通知》，环办[2010]10号，2010年1月28日;</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《关于印发&lt;建设项目环境保护事中事后监督管理办法（试行）&gt;的通知》，环发[2015]163号，2015年12月10日；</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《关于以改善环境质量为核心加强环境影响评价管理的通知》，环环评[2016]150号，2016年10月26日；</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《关于规范火电等七个行业建设项目环境影响评价文件审批的通知》，环办[2015]112号，2015年12月18日；</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《关于加强规划环境影响评价与建设项目环境影响评价联动工作的意见》，环发[2015]178号，2015年12月30日；</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val="zh-CN"/>
        </w:rPr>
        <w:t>《长江经济带发展规划纲要》（</w:t>
      </w:r>
      <w:r>
        <w:rPr>
          <w:rFonts w:hint="default" w:ascii="Times New Roman" w:hAnsi="Times New Roman" w:cs="Times New Roman"/>
          <w:color w:val="auto"/>
        </w:rPr>
        <w:t>2016年</w:t>
      </w:r>
      <w:r>
        <w:rPr>
          <w:rFonts w:hint="default" w:ascii="Times New Roman" w:hAnsi="Times New Roman" w:cs="Times New Roman"/>
          <w:color w:val="auto"/>
          <w:lang w:val="zh-CN"/>
        </w:rPr>
        <w:t>）；</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《关于印发&lt;长江经济带生态环境保护规划&gt;的通知》，环财规[2017]88号，2017年7月13日；</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《挥发性有机物（</w:t>
      </w:r>
      <w:r>
        <w:rPr>
          <w:rFonts w:hint="default" w:ascii="Times New Roman" w:hAnsi="Times New Roman" w:cs="Times New Roman"/>
          <w:color w:val="auto"/>
          <w:lang w:eastAsia="zh-CN"/>
        </w:rPr>
        <w:t>VOCs</w:t>
      </w:r>
      <w:r>
        <w:rPr>
          <w:rFonts w:hint="default" w:ascii="Times New Roman" w:hAnsi="Times New Roman" w:cs="Times New Roman"/>
          <w:color w:val="auto"/>
        </w:rPr>
        <w:t>）污染防治技术政策》，环境保护部公告2013年第31号，2013年5月24日实施；</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《十三五挥发性有机物污染防治工作方案》，环境保护部、发展改革委、财政部、交通运输部、质检总局、能源局，2017年9月13日；</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《关于进一步加强危险化学品安全生产的指导意见》，安委办[2008]26号，2008年，9月14日；</w:t>
      </w:r>
    </w:p>
    <w:p>
      <w:pPr>
        <w:pStyle w:val="39"/>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《工矿用地土壤环境管理办法（试行）》，生态环境部令第3号，2018年5月3日。</w:t>
      </w:r>
    </w:p>
    <w:p>
      <w:pPr>
        <w:pStyle w:val="5"/>
        <w:keepNext/>
        <w:keepLines/>
        <w:pageBreakBefore w:val="0"/>
        <w:widowControl w:val="0"/>
        <w:kinsoku/>
        <w:wordWrap/>
        <w:overflowPunct/>
        <w:topLinePunct w:val="0"/>
        <w:autoSpaceDE/>
        <w:autoSpaceDN/>
        <w:bidi w:val="0"/>
        <w:adjustRightInd w:val="0"/>
        <w:snapToGrid w:val="0"/>
        <w:spacing w:before="0" w:beforeLines="0" w:after="0" w:afterLines="0" w:line="360" w:lineRule="auto"/>
        <w:ind w:leftChars="0" w:firstLine="0" w:firstLineChars="0"/>
        <w:jc w:val="left"/>
        <w:textAlignment w:val="auto"/>
        <w:rPr>
          <w:rFonts w:hint="default" w:ascii="Times New Roman" w:hAnsi="Times New Roman" w:cs="Times New Roman"/>
          <w:color w:val="auto"/>
        </w:rPr>
      </w:pPr>
      <w:bookmarkStart w:id="94" w:name="_Toc24227"/>
      <w:r>
        <w:rPr>
          <w:rFonts w:hint="default" w:ascii="Times New Roman" w:hAnsi="Times New Roman" w:cs="Times New Roman"/>
          <w:color w:val="auto"/>
        </w:rPr>
        <w:t>地方环保法规、政策</w:t>
      </w:r>
      <w:bookmarkEnd w:id="94"/>
    </w:p>
    <w:p>
      <w:pPr>
        <w:pStyle w:val="39"/>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《湖南省环境保护条例》(修正)，湖南省第十</w:t>
      </w:r>
      <w:r>
        <w:rPr>
          <w:rFonts w:hint="default" w:ascii="Times New Roman" w:hAnsi="Times New Roman" w:cs="Times New Roman"/>
          <w:color w:val="auto"/>
          <w:lang w:eastAsia="zh-CN"/>
        </w:rPr>
        <w:t>三</w:t>
      </w:r>
      <w:r>
        <w:rPr>
          <w:rFonts w:hint="default" w:ascii="Times New Roman" w:hAnsi="Times New Roman" w:cs="Times New Roman"/>
          <w:color w:val="auto"/>
        </w:rPr>
        <w:t>届人民代表大会常务委员会第</w:t>
      </w:r>
      <w:r>
        <w:rPr>
          <w:rFonts w:hint="default" w:ascii="Times New Roman" w:hAnsi="Times New Roman" w:cs="Times New Roman"/>
          <w:color w:val="auto"/>
          <w:lang w:eastAsia="zh-CN"/>
        </w:rPr>
        <w:t>十三</w:t>
      </w:r>
      <w:r>
        <w:rPr>
          <w:rFonts w:hint="default" w:ascii="Times New Roman" w:hAnsi="Times New Roman" w:cs="Times New Roman"/>
          <w:color w:val="auto"/>
        </w:rPr>
        <w:t>次会议，201</w:t>
      </w:r>
      <w:r>
        <w:rPr>
          <w:rFonts w:hint="default" w:ascii="Times New Roman" w:hAnsi="Times New Roman" w:cs="Times New Roman"/>
          <w:color w:val="auto"/>
          <w:lang w:val="en-US" w:eastAsia="zh-CN"/>
        </w:rPr>
        <w:t>9</w:t>
      </w:r>
      <w:r>
        <w:rPr>
          <w:rFonts w:hint="default" w:ascii="Times New Roman" w:hAnsi="Times New Roman" w:cs="Times New Roman"/>
          <w:color w:val="auto"/>
        </w:rPr>
        <w:t>年</w:t>
      </w:r>
      <w:r>
        <w:rPr>
          <w:rFonts w:hint="default" w:ascii="Times New Roman" w:hAnsi="Times New Roman" w:cs="Times New Roman"/>
          <w:color w:val="auto"/>
          <w:lang w:val="en-US" w:eastAsia="zh-CN"/>
        </w:rPr>
        <w:t>9</w:t>
      </w:r>
      <w:r>
        <w:rPr>
          <w:rFonts w:hint="default" w:ascii="Times New Roman" w:hAnsi="Times New Roman" w:cs="Times New Roman"/>
          <w:color w:val="auto"/>
        </w:rPr>
        <w:t>月2</w:t>
      </w:r>
      <w:r>
        <w:rPr>
          <w:rFonts w:hint="default" w:ascii="Times New Roman" w:hAnsi="Times New Roman" w:cs="Times New Roman"/>
          <w:color w:val="auto"/>
          <w:lang w:val="en-US" w:eastAsia="zh-CN"/>
        </w:rPr>
        <w:t>8</w:t>
      </w:r>
      <w:r>
        <w:rPr>
          <w:rFonts w:hint="default" w:ascii="Times New Roman" w:hAnsi="Times New Roman" w:cs="Times New Roman"/>
          <w:color w:val="auto"/>
        </w:rPr>
        <w:t>日；</w:t>
      </w:r>
    </w:p>
    <w:p>
      <w:pPr>
        <w:pStyle w:val="39"/>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《湖南省大气污染防治条例》，湖南省第十二届人民代表大会常务委员会第60号，2017年6月1日施行；</w:t>
      </w:r>
    </w:p>
    <w:p>
      <w:pPr>
        <w:pStyle w:val="39"/>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《关于印发&lt;湖南省</w:t>
      </w:r>
      <w:r>
        <w:rPr>
          <w:rFonts w:hint="default" w:ascii="Times New Roman" w:hAnsi="Times New Roman" w:cs="Times New Roman"/>
          <w:color w:val="auto"/>
          <w:lang w:eastAsia="zh-CN"/>
        </w:rPr>
        <w:t>“</w:t>
      </w:r>
      <w:r>
        <w:rPr>
          <w:rFonts w:hint="default" w:ascii="Times New Roman" w:hAnsi="Times New Roman" w:cs="Times New Roman"/>
          <w:color w:val="auto"/>
        </w:rPr>
        <w:t>十三五</w:t>
      </w:r>
      <w:r>
        <w:rPr>
          <w:rFonts w:hint="default" w:ascii="Times New Roman" w:hAnsi="Times New Roman" w:cs="Times New Roman"/>
          <w:color w:val="auto"/>
          <w:lang w:eastAsia="zh-CN"/>
        </w:rPr>
        <w:t>”</w:t>
      </w:r>
      <w:r>
        <w:rPr>
          <w:rFonts w:hint="default" w:ascii="Times New Roman" w:hAnsi="Times New Roman" w:cs="Times New Roman"/>
          <w:color w:val="auto"/>
        </w:rPr>
        <w:t>环境保护规划&gt;的通知》，湘环发[2016]25号，2016年9月8日；</w:t>
      </w:r>
    </w:p>
    <w:p>
      <w:pPr>
        <w:pStyle w:val="39"/>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《关于公布湖南省县级以上地表水集中式饮用水水源保护区划定方案的通知》，湖南省人民政府，湘政函[2016]176号，2016年12月30日；</w:t>
      </w:r>
    </w:p>
    <w:p>
      <w:pPr>
        <w:pStyle w:val="39"/>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《湖南省主要水系地表水环境功能区划》，DB43/023-2005，2005年7月1日；</w:t>
      </w:r>
    </w:p>
    <w:p>
      <w:pPr>
        <w:pStyle w:val="39"/>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《湖南省主体功能区规划》，湖南省人民政府，2012年12月27日；</w:t>
      </w:r>
    </w:p>
    <w:p>
      <w:pPr>
        <w:pStyle w:val="39"/>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湖南省地方标准 用水定额</w:t>
      </w:r>
      <w:r>
        <w:rPr>
          <w:rFonts w:hint="default" w:ascii="Times New Roman" w:hAnsi="Times New Roman" w:cs="Times New Roman"/>
          <w:color w:val="auto"/>
        </w:rPr>
        <w:t>》</w:t>
      </w:r>
      <w:r>
        <w:rPr>
          <w:rFonts w:hint="default" w:ascii="Times New Roman" w:hAnsi="Times New Roman" w:cs="Times New Roman"/>
          <w:color w:val="auto"/>
          <w:lang w:val="en-US" w:eastAsia="zh-CN"/>
        </w:rPr>
        <w:t>（DB43/T388-2020）</w:t>
      </w:r>
      <w:r>
        <w:rPr>
          <w:rFonts w:hint="default" w:ascii="Times New Roman" w:hAnsi="Times New Roman" w:cs="Times New Roman"/>
          <w:color w:val="auto"/>
          <w:lang w:eastAsia="zh-CN"/>
        </w:rPr>
        <w:t>，湖南省技术质量监督局，</w:t>
      </w:r>
      <w:r>
        <w:rPr>
          <w:rFonts w:hint="default" w:ascii="Times New Roman" w:hAnsi="Times New Roman" w:cs="Times New Roman"/>
          <w:color w:val="auto"/>
          <w:lang w:val="en-US" w:eastAsia="zh-CN"/>
        </w:rPr>
        <w:t>2020年5月27日实施；</w:t>
      </w:r>
      <w:r>
        <w:rPr>
          <w:rFonts w:hint="default" w:ascii="Times New Roman" w:hAnsi="Times New Roman" w:cs="Times New Roman"/>
          <w:color w:val="auto"/>
        </w:rPr>
        <w:t>；</w:t>
      </w:r>
    </w:p>
    <w:p>
      <w:pPr>
        <w:pStyle w:val="39"/>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《湖南省人民政府关于印发&lt;湖南省贯彻落实&lt;水污染防治行动计划&gt;实施方案（2016-2020年）&gt;的通知，湘政发[2015]53号，2015年12月31日；</w:t>
      </w:r>
    </w:p>
    <w:p>
      <w:pPr>
        <w:pStyle w:val="39"/>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《湖南省人民政府办公厅关于印发&lt;贯彻落实&lt;大气污染防治行动计划&gt;实施细则&gt;的通知》，湘政办发[2013]77号，2013年12月23日；</w:t>
      </w:r>
    </w:p>
    <w:p>
      <w:pPr>
        <w:pStyle w:val="39"/>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《湖南省人民政府关于印发&lt;湖南省土壤污染防治工作方案&gt;的通知》，湘政发[2017]4号，2017年1月23日；</w:t>
      </w:r>
    </w:p>
    <w:p>
      <w:pPr>
        <w:pStyle w:val="39"/>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《关于印发&lt;湖南省</w:t>
      </w:r>
      <w:r>
        <w:rPr>
          <w:rFonts w:hint="default" w:ascii="Times New Roman" w:hAnsi="Times New Roman" w:cs="Times New Roman"/>
          <w:color w:val="auto"/>
          <w:lang w:eastAsia="zh-CN"/>
        </w:rPr>
        <w:t>“</w:t>
      </w:r>
      <w:r>
        <w:rPr>
          <w:rFonts w:hint="default" w:ascii="Times New Roman" w:hAnsi="Times New Roman" w:cs="Times New Roman"/>
          <w:color w:val="auto"/>
        </w:rPr>
        <w:t>十三五</w:t>
      </w:r>
      <w:r>
        <w:rPr>
          <w:rFonts w:hint="default" w:ascii="Times New Roman" w:hAnsi="Times New Roman" w:cs="Times New Roman"/>
          <w:color w:val="auto"/>
          <w:lang w:eastAsia="zh-CN"/>
        </w:rPr>
        <w:t>”</w:t>
      </w:r>
      <w:r>
        <w:rPr>
          <w:rFonts w:hint="default" w:ascii="Times New Roman" w:hAnsi="Times New Roman" w:cs="Times New Roman"/>
          <w:color w:val="auto"/>
        </w:rPr>
        <w:t>新型工业化发展规划&gt;的通知》，</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"http://sjxw.hunan.gov.cn/xxgk_71033/zcfg/gfxwj/201612/P020161215617046599807.doc" </w:instrText>
      </w:r>
      <w:r>
        <w:rPr>
          <w:rFonts w:hint="default" w:ascii="Times New Roman" w:hAnsi="Times New Roman" w:cs="Times New Roman"/>
          <w:color w:val="auto"/>
        </w:rPr>
        <w:fldChar w:fldCharType="separate"/>
      </w:r>
      <w:r>
        <w:rPr>
          <w:rFonts w:hint="default" w:ascii="Times New Roman" w:hAnsi="Times New Roman" w:cs="Times New Roman"/>
          <w:color w:val="auto"/>
        </w:rPr>
        <w:t>湘经信投资〔2016〕587号</w:t>
      </w:r>
      <w:r>
        <w:rPr>
          <w:rFonts w:hint="default" w:ascii="Times New Roman" w:hAnsi="Times New Roman" w:cs="Times New Roman"/>
          <w:color w:val="auto"/>
        </w:rPr>
        <w:fldChar w:fldCharType="end"/>
      </w:r>
      <w:r>
        <w:rPr>
          <w:rFonts w:hint="default" w:ascii="Times New Roman" w:hAnsi="Times New Roman" w:cs="Times New Roman"/>
          <w:color w:val="auto"/>
        </w:rPr>
        <w:t>，2016年11月18日；</w:t>
      </w:r>
    </w:p>
    <w:p>
      <w:pPr>
        <w:pStyle w:val="39"/>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《湖南省国民经济和社会发展第十三个五年规划纲要》，2016年4月25日；</w:t>
      </w:r>
    </w:p>
    <w:p>
      <w:pPr>
        <w:pStyle w:val="39"/>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lang w:val="zh-CN"/>
        </w:rPr>
      </w:pPr>
      <w:r>
        <w:rPr>
          <w:rFonts w:hint="default" w:ascii="Times New Roman" w:hAnsi="Times New Roman" w:cs="Times New Roman"/>
          <w:color w:val="auto"/>
          <w:lang w:val="zh-CN"/>
        </w:rPr>
        <w:t>关于印发《</w:t>
      </w:r>
      <w:r>
        <w:rPr>
          <w:rFonts w:hint="default" w:ascii="Times New Roman" w:hAnsi="Times New Roman" w:cs="Times New Roman"/>
          <w:color w:val="auto"/>
        </w:rPr>
        <w:t>湖南省石化行业</w:t>
      </w:r>
      <w:r>
        <w:rPr>
          <w:rFonts w:hint="default" w:ascii="Times New Roman" w:hAnsi="Times New Roman" w:cs="Times New Roman"/>
          <w:color w:val="auto"/>
          <w:lang w:eastAsia="zh-CN"/>
        </w:rPr>
        <w:t>“</w:t>
      </w:r>
      <w:r>
        <w:rPr>
          <w:rFonts w:hint="default" w:ascii="Times New Roman" w:hAnsi="Times New Roman" w:cs="Times New Roman"/>
          <w:color w:val="auto"/>
        </w:rPr>
        <w:t>十三五</w:t>
      </w:r>
      <w:r>
        <w:rPr>
          <w:rFonts w:hint="default" w:ascii="Times New Roman" w:hAnsi="Times New Roman" w:cs="Times New Roman"/>
          <w:color w:val="auto"/>
          <w:lang w:eastAsia="zh-CN"/>
        </w:rPr>
        <w:t>”</w:t>
      </w:r>
      <w:r>
        <w:rPr>
          <w:rFonts w:hint="default" w:ascii="Times New Roman" w:hAnsi="Times New Roman" w:cs="Times New Roman"/>
          <w:color w:val="auto"/>
        </w:rPr>
        <w:t>发展规划</w:t>
      </w:r>
      <w:r>
        <w:rPr>
          <w:rFonts w:hint="default" w:ascii="Times New Roman" w:hAnsi="Times New Roman" w:cs="Times New Roman"/>
          <w:color w:val="auto"/>
          <w:lang w:val="zh-CN"/>
        </w:rPr>
        <w:t>》的通知（湘经信原材料</w:t>
      </w:r>
      <w:r>
        <w:rPr>
          <w:rFonts w:hint="default" w:ascii="Times New Roman" w:hAnsi="Times New Roman" w:cs="Times New Roman"/>
          <w:color w:val="auto"/>
        </w:rPr>
        <w:t>[2016]524号</w:t>
      </w:r>
      <w:r>
        <w:rPr>
          <w:rFonts w:hint="default" w:ascii="Times New Roman" w:hAnsi="Times New Roman" w:cs="Times New Roman"/>
          <w:color w:val="auto"/>
          <w:lang w:val="zh-CN"/>
        </w:rPr>
        <w:t>），</w:t>
      </w:r>
      <w:r>
        <w:rPr>
          <w:rFonts w:hint="default" w:ascii="Times New Roman" w:hAnsi="Times New Roman" w:cs="Times New Roman"/>
          <w:color w:val="auto"/>
        </w:rPr>
        <w:t>2016年10月13日</w:t>
      </w:r>
      <w:r>
        <w:rPr>
          <w:rFonts w:hint="default" w:ascii="Times New Roman" w:hAnsi="Times New Roman" w:cs="Times New Roman"/>
          <w:color w:val="auto"/>
          <w:lang w:val="zh-CN"/>
        </w:rPr>
        <w:t>；</w:t>
      </w:r>
    </w:p>
    <w:p>
      <w:pPr>
        <w:pStyle w:val="39"/>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val="zh-CN"/>
        </w:rPr>
        <w:t>《岳阳市城市总体规划》（2008-2030）；</w:t>
      </w:r>
    </w:p>
    <w:p>
      <w:pPr>
        <w:pStyle w:val="39"/>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《关于印发&lt;岳阳市水环境功能区管理规定&gt;、&lt;岳阳市水环境功能区划分&gt;、&lt;岳阳市环境空气质量功能区划分&gt;、&lt;岳阳市城市区域环境噪声标准适用区域划分规定&gt;的通知》，岳政发[2002]18号；</w:t>
      </w:r>
    </w:p>
    <w:p>
      <w:pPr>
        <w:pStyle w:val="39"/>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《关于印发&lt;岳阳市水环境功能区管理规定&gt;和&lt;岳阳市水环境功能区划分&gt;的通知》，岳政办发[2010]30号，2010年11月8日；</w:t>
      </w:r>
    </w:p>
    <w:p>
      <w:pPr>
        <w:pStyle w:val="39"/>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lang w:val="zh-CN"/>
        </w:rPr>
      </w:pPr>
      <w:r>
        <w:rPr>
          <w:rFonts w:hint="default" w:ascii="Times New Roman" w:hAnsi="Times New Roman" w:cs="Times New Roman"/>
          <w:color w:val="auto"/>
        </w:rPr>
        <w:t>《岳阳市贯彻落实&lt;大气污染防治行动计划&gt;实施方案》，岳政办发[2014]17号，2014年9月3日</w:t>
      </w:r>
      <w:r>
        <w:rPr>
          <w:rFonts w:hint="default" w:ascii="Times New Roman" w:hAnsi="Times New Roman" w:cs="Times New Roman"/>
          <w:color w:val="auto"/>
          <w:lang w:eastAsia="zh-CN"/>
        </w:rPr>
        <w:t>；</w:t>
      </w:r>
    </w:p>
    <w:p>
      <w:pPr>
        <w:pStyle w:val="39"/>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《岳阳市生态环境保护</w:t>
      </w:r>
      <w:r>
        <w:rPr>
          <w:rFonts w:hint="default" w:ascii="Times New Roman" w:hAnsi="Times New Roman" w:cs="Times New Roman"/>
          <w:color w:val="auto"/>
          <w:lang w:eastAsia="zh-CN"/>
        </w:rPr>
        <w:t>“</w:t>
      </w:r>
      <w:r>
        <w:rPr>
          <w:rFonts w:hint="default" w:ascii="Times New Roman" w:hAnsi="Times New Roman" w:cs="Times New Roman"/>
          <w:color w:val="auto"/>
        </w:rPr>
        <w:t>十三五</w:t>
      </w:r>
      <w:r>
        <w:rPr>
          <w:rFonts w:hint="default" w:ascii="Times New Roman" w:hAnsi="Times New Roman" w:cs="Times New Roman"/>
          <w:color w:val="auto"/>
          <w:lang w:eastAsia="zh-CN"/>
        </w:rPr>
        <w:t>”</w:t>
      </w:r>
      <w:r>
        <w:rPr>
          <w:rFonts w:hint="default" w:ascii="Times New Roman" w:hAnsi="Times New Roman" w:cs="Times New Roman"/>
          <w:color w:val="auto"/>
        </w:rPr>
        <w:t>规划》</w:t>
      </w:r>
      <w:r>
        <w:rPr>
          <w:rFonts w:hint="default" w:ascii="Times New Roman" w:hAnsi="Times New Roman" w:cs="Times New Roman"/>
          <w:color w:val="auto"/>
          <w:lang w:eastAsia="zh-CN"/>
        </w:rPr>
        <w:t>；</w:t>
      </w:r>
    </w:p>
    <w:p>
      <w:pPr>
        <w:pStyle w:val="39"/>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《岳阳市人民政府关于实施岳阳市“三线一单”生态环境分区管控的意见》（岳政发〔2021〕2号）。</w:t>
      </w:r>
    </w:p>
    <w:p>
      <w:pPr>
        <w:pStyle w:val="5"/>
        <w:keepNext/>
        <w:keepLines/>
        <w:pageBreakBefore w:val="0"/>
        <w:widowControl w:val="0"/>
        <w:kinsoku/>
        <w:wordWrap/>
        <w:overflowPunct/>
        <w:topLinePunct w:val="0"/>
        <w:autoSpaceDE/>
        <w:autoSpaceDN/>
        <w:bidi w:val="0"/>
        <w:adjustRightInd w:val="0"/>
        <w:snapToGrid w:val="0"/>
        <w:spacing w:before="0" w:beforeLines="0" w:after="0" w:afterLines="0" w:line="360" w:lineRule="auto"/>
        <w:ind w:leftChars="0" w:firstLine="0" w:firstLineChars="0"/>
        <w:jc w:val="left"/>
        <w:textAlignment w:val="auto"/>
        <w:rPr>
          <w:rFonts w:hint="default" w:ascii="Times New Roman" w:hAnsi="Times New Roman" w:cs="Times New Roman"/>
          <w:color w:val="auto"/>
        </w:rPr>
      </w:pPr>
      <w:bookmarkStart w:id="95" w:name="_Toc15802"/>
      <w:r>
        <w:rPr>
          <w:rFonts w:hint="default" w:ascii="Times New Roman" w:hAnsi="Times New Roman" w:cs="Times New Roman"/>
          <w:color w:val="auto"/>
        </w:rPr>
        <w:t>相关技术导则及规范</w:t>
      </w:r>
      <w:bookmarkEnd w:id="3"/>
      <w:bookmarkEnd w:id="4"/>
      <w:bookmarkEnd w:id="5"/>
      <w:bookmarkEnd w:id="6"/>
      <w:bookmarkEnd w:id="7"/>
      <w:bookmarkEnd w:id="8"/>
      <w:bookmarkEnd w:id="95"/>
    </w:p>
    <w:p>
      <w:pPr>
        <w:pStyle w:val="39"/>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bookmarkStart w:id="96" w:name="_Toc6401"/>
      <w:bookmarkStart w:id="97" w:name="_Toc260024107"/>
      <w:bookmarkStart w:id="98" w:name="_Toc287294852"/>
      <w:r>
        <w:rPr>
          <w:rFonts w:hint="default" w:ascii="Times New Roman" w:hAnsi="Times New Roman" w:cs="Times New Roman"/>
          <w:color w:val="auto"/>
        </w:rPr>
        <w:t>《建设项目环境影响评价技术导则 总纲》（HJ2.1-2016），环境保护部；</w:t>
      </w:r>
    </w:p>
    <w:p>
      <w:pPr>
        <w:pStyle w:val="39"/>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《环境影响评价技术导则 大气环境》（HJ2.2-2018），</w:t>
      </w:r>
      <w:r>
        <w:rPr>
          <w:rFonts w:hint="default" w:ascii="Times New Roman" w:hAnsi="Times New Roman" w:cs="Times New Roman"/>
          <w:color w:val="auto"/>
          <w:lang w:eastAsia="zh-CN"/>
        </w:rPr>
        <w:t>生态环境部</w:t>
      </w:r>
      <w:r>
        <w:rPr>
          <w:rFonts w:hint="default" w:ascii="Times New Roman" w:hAnsi="Times New Roman" w:cs="Times New Roman"/>
          <w:color w:val="auto"/>
        </w:rPr>
        <w:t>；</w:t>
      </w:r>
    </w:p>
    <w:p>
      <w:pPr>
        <w:pStyle w:val="39"/>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《环境影响评价技术导则 地表水环境》（HJ2.3-2018），</w:t>
      </w:r>
      <w:r>
        <w:rPr>
          <w:rFonts w:hint="default" w:ascii="Times New Roman" w:hAnsi="Times New Roman" w:cs="Times New Roman"/>
          <w:color w:val="auto"/>
          <w:lang w:eastAsia="zh-CN"/>
        </w:rPr>
        <w:t>生态环境部</w:t>
      </w:r>
      <w:r>
        <w:rPr>
          <w:rFonts w:hint="default" w:ascii="Times New Roman" w:hAnsi="Times New Roman" w:cs="Times New Roman"/>
          <w:color w:val="auto"/>
        </w:rPr>
        <w:t>；</w:t>
      </w:r>
    </w:p>
    <w:p>
      <w:pPr>
        <w:pStyle w:val="39"/>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rPr>
        <w:t>环境影响评价技术导则</w:t>
      </w:r>
      <w:r>
        <w:rPr>
          <w:rFonts w:hint="default" w:ascii="Times New Roman" w:hAnsi="Times New Roman" w:cs="Times New Roman"/>
          <w:color w:val="auto"/>
          <w:lang w:val="en-US" w:eastAsia="zh-CN"/>
        </w:rPr>
        <w:t xml:space="preserve"> 土壤环境（试行）</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HJ964-2018</w:t>
      </w:r>
      <w:r>
        <w:rPr>
          <w:rFonts w:hint="default" w:ascii="Times New Roman" w:hAnsi="Times New Roman" w:cs="Times New Roman"/>
          <w:color w:val="auto"/>
          <w:lang w:eastAsia="zh-CN"/>
        </w:rPr>
        <w:t>）生态环境部</w:t>
      </w:r>
      <w:r>
        <w:rPr>
          <w:rFonts w:hint="default" w:ascii="Times New Roman" w:hAnsi="Times New Roman" w:cs="Times New Roman"/>
          <w:color w:val="auto"/>
        </w:rPr>
        <w:t>；</w:t>
      </w:r>
    </w:p>
    <w:p>
      <w:pPr>
        <w:pStyle w:val="39"/>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《环境影响评价技术导则 地下水环境》（HJ610-2016），环境保护部；</w:t>
      </w:r>
    </w:p>
    <w:p>
      <w:pPr>
        <w:pStyle w:val="39"/>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《环境影响评价技术导则 声环境》（HJ2.4-2009），环境保护部；</w:t>
      </w:r>
    </w:p>
    <w:p>
      <w:pPr>
        <w:pStyle w:val="39"/>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《环境影响评价技术导则 生态影响》（HJ19-2011），环境保护部；</w:t>
      </w:r>
    </w:p>
    <w:p>
      <w:pPr>
        <w:pStyle w:val="39"/>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《建设项目环境风险评价技术导则》（HJ/T169-2018），环境保护部</w:t>
      </w:r>
      <w:r>
        <w:rPr>
          <w:rFonts w:hint="default" w:ascii="Times New Roman" w:hAnsi="Times New Roman" w:cs="Times New Roman"/>
          <w:color w:val="auto"/>
          <w:lang w:eastAsia="zh-CN"/>
        </w:rPr>
        <w:t>；</w:t>
      </w:r>
    </w:p>
    <w:p>
      <w:pPr>
        <w:pStyle w:val="39"/>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val="zh-CN"/>
        </w:rPr>
        <w:t>《石油化工工程防渗技术规范》（GB/T50934-2013），中华人民共和国住房和城乡建设部；</w:t>
      </w:r>
    </w:p>
    <w:p>
      <w:pPr>
        <w:pStyle w:val="39"/>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default" w:ascii="Times New Roman" w:hAnsi="Times New Roman" w:cs="Times New Roman"/>
          <w:color w:val="auto"/>
        </w:rPr>
      </w:pPr>
      <w:r>
        <w:rPr>
          <w:rFonts w:hint="default" w:ascii="Times New Roman" w:hAnsi="Times New Roman" w:cs="Times New Roman"/>
          <w:color w:val="auto"/>
        </w:rPr>
        <w:t>《化工建设项目环境保护设计规范》（GB50483-2009）</w:t>
      </w:r>
      <w:r>
        <w:rPr>
          <w:rFonts w:hint="default" w:ascii="Times New Roman" w:hAnsi="Times New Roman" w:cs="Times New Roman"/>
          <w:color w:val="auto"/>
          <w:lang w:val="zh-CN"/>
        </w:rPr>
        <w:t>，中华人民共和国住房和城乡建设部</w:t>
      </w:r>
      <w:r>
        <w:rPr>
          <w:rFonts w:hint="default" w:ascii="Times New Roman" w:hAnsi="Times New Roman" w:cs="Times New Roman"/>
          <w:color w:val="auto"/>
        </w:rPr>
        <w:t>；</w:t>
      </w:r>
      <w:r>
        <w:rPr>
          <w:rFonts w:hint="default" w:ascii="Times New Roman" w:hAnsi="Times New Roman" w:cs="Times New Roman"/>
          <w:color w:val="auto"/>
          <w:sz w:val="24"/>
          <w:lang w:val="en-US" w:eastAsia="zh-CN"/>
        </w:rPr>
        <w:t xml:space="preserve"> </w:t>
      </w:r>
    </w:p>
    <w:p>
      <w:pPr>
        <w:pStyle w:val="39"/>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default" w:ascii="Times New Roman" w:hAnsi="Times New Roman" w:cs="Times New Roman"/>
          <w:color w:val="auto"/>
        </w:rPr>
      </w:pPr>
      <w:r>
        <w:rPr>
          <w:rFonts w:hint="default" w:ascii="Times New Roman" w:hAnsi="Times New Roman" w:cs="Times New Roman"/>
          <w:color w:val="auto"/>
          <w:sz w:val="24"/>
          <w:lang w:val="zh-CN" w:eastAsia="zh-CN"/>
        </w:rPr>
        <w:t>《土壤环境质量 建设用地土壤污染风险管控标准（试行）》（GB36600-2018）；</w:t>
      </w:r>
    </w:p>
    <w:p>
      <w:pPr>
        <w:pStyle w:val="39"/>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《危险废物收集、贮存及运输技术规范》（HJ2025-2012）</w:t>
      </w:r>
      <w:r>
        <w:rPr>
          <w:rFonts w:hint="default" w:ascii="Times New Roman" w:hAnsi="Times New Roman" w:cs="Times New Roman"/>
          <w:color w:val="auto"/>
          <w:lang w:eastAsia="zh-CN"/>
        </w:rPr>
        <w:t>，环境保护部</w:t>
      </w:r>
      <w:r>
        <w:rPr>
          <w:rFonts w:hint="default" w:ascii="Times New Roman" w:hAnsi="Times New Roman" w:cs="Times New Roman"/>
          <w:color w:val="auto"/>
        </w:rPr>
        <w:t>；</w:t>
      </w:r>
    </w:p>
    <w:p>
      <w:pPr>
        <w:pStyle w:val="39"/>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《危险化学品重大危险源辨识》（GB18218-</w:t>
      </w:r>
      <w:r>
        <w:rPr>
          <w:rFonts w:hint="default" w:ascii="Times New Roman" w:hAnsi="Times New Roman" w:cs="Times New Roman"/>
          <w:color w:val="auto"/>
          <w:lang w:val="en-US" w:eastAsia="zh-CN"/>
        </w:rPr>
        <w:t>2018</w:t>
      </w:r>
      <w:r>
        <w:rPr>
          <w:rFonts w:hint="default" w:ascii="Times New Roman" w:hAnsi="Times New Roman" w:cs="Times New Roman"/>
          <w:color w:val="auto"/>
        </w:rPr>
        <w:t>）</w:t>
      </w:r>
      <w:r>
        <w:rPr>
          <w:rFonts w:hint="default" w:ascii="Times New Roman" w:hAnsi="Times New Roman" w:cs="Times New Roman"/>
          <w:color w:val="auto"/>
          <w:lang w:eastAsia="zh-CN"/>
        </w:rPr>
        <w:t>，国家市场监督管理总局，中国国家标准化管理委员会</w:t>
      </w:r>
      <w:r>
        <w:rPr>
          <w:rFonts w:hint="default" w:ascii="Times New Roman" w:hAnsi="Times New Roman" w:cs="Times New Roman"/>
          <w:color w:val="auto"/>
        </w:rPr>
        <w:t>；</w:t>
      </w:r>
    </w:p>
    <w:p>
      <w:pPr>
        <w:pStyle w:val="39"/>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《危险废物鉴别标准</w:t>
      </w:r>
      <w:r>
        <w:rPr>
          <w:rFonts w:hint="default" w:ascii="Times New Roman" w:hAnsi="Times New Roman" w:cs="Times New Roman"/>
          <w:color w:val="auto"/>
          <w:lang w:val="en-US" w:eastAsia="zh-CN"/>
        </w:rPr>
        <w:t xml:space="preserve"> 通则</w:t>
      </w:r>
      <w:r>
        <w:rPr>
          <w:rFonts w:hint="default" w:ascii="Times New Roman" w:hAnsi="Times New Roman" w:cs="Times New Roman"/>
          <w:color w:val="auto"/>
        </w:rPr>
        <w:t>》（GB5085.7-</w:t>
      </w:r>
      <w:r>
        <w:rPr>
          <w:rFonts w:hint="default" w:ascii="Times New Roman" w:hAnsi="Times New Roman" w:cs="Times New Roman"/>
          <w:color w:val="auto"/>
          <w:lang w:val="en-US" w:eastAsia="zh-CN"/>
        </w:rPr>
        <w:t>2019</w:t>
      </w:r>
      <w:r>
        <w:rPr>
          <w:rFonts w:hint="default" w:ascii="Times New Roman" w:hAnsi="Times New Roman" w:cs="Times New Roman"/>
          <w:color w:val="auto"/>
        </w:rPr>
        <w:t>）</w:t>
      </w:r>
      <w:r>
        <w:rPr>
          <w:rFonts w:hint="default" w:ascii="Times New Roman" w:hAnsi="Times New Roman" w:cs="Times New Roman"/>
          <w:color w:val="auto"/>
          <w:lang w:eastAsia="zh-CN"/>
        </w:rPr>
        <w:t>，生态环境部；</w:t>
      </w:r>
    </w:p>
    <w:p>
      <w:pPr>
        <w:pStyle w:val="39"/>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eastAsia="zh-CN"/>
        </w:rPr>
        <w:t>《大气污染治理工程技术导则》（</w:t>
      </w:r>
      <w:r>
        <w:rPr>
          <w:rFonts w:hint="default" w:ascii="Times New Roman" w:hAnsi="Times New Roman" w:cs="Times New Roman"/>
          <w:color w:val="auto"/>
          <w:lang w:val="en-US" w:eastAsia="zh-CN"/>
        </w:rPr>
        <w:t>HJ2000-2010</w:t>
      </w:r>
      <w:r>
        <w:rPr>
          <w:rFonts w:hint="default" w:ascii="Times New Roman" w:hAnsi="Times New Roman" w:cs="Times New Roman"/>
          <w:color w:val="auto"/>
          <w:lang w:eastAsia="zh-CN"/>
        </w:rPr>
        <w:t>），环境保护部。</w:t>
      </w:r>
    </w:p>
    <w:bookmarkEnd w:id="96"/>
    <w:bookmarkEnd w:id="97"/>
    <w:bookmarkEnd w:id="98"/>
    <w:p>
      <w:pPr>
        <w:pStyle w:val="5"/>
        <w:keepNext/>
        <w:keepLines/>
        <w:pageBreakBefore w:val="0"/>
        <w:widowControl w:val="0"/>
        <w:kinsoku/>
        <w:wordWrap/>
        <w:overflowPunct/>
        <w:topLinePunct w:val="0"/>
        <w:autoSpaceDE/>
        <w:autoSpaceDN/>
        <w:bidi w:val="0"/>
        <w:adjustRightInd w:val="0"/>
        <w:snapToGrid w:val="0"/>
        <w:spacing w:before="0" w:beforeLines="0" w:after="0" w:afterLines="0" w:line="360" w:lineRule="auto"/>
        <w:ind w:leftChars="0" w:firstLine="0" w:firstLineChars="0"/>
        <w:jc w:val="left"/>
        <w:textAlignment w:val="auto"/>
        <w:rPr>
          <w:rFonts w:hint="default" w:ascii="Times New Roman" w:hAnsi="Times New Roman" w:cs="Times New Roman"/>
          <w:color w:val="auto"/>
        </w:rPr>
      </w:pPr>
      <w:bookmarkStart w:id="99" w:name="_Toc32083"/>
      <w:r>
        <w:rPr>
          <w:rFonts w:hint="default" w:ascii="Times New Roman" w:hAnsi="Times New Roman" w:cs="Times New Roman"/>
          <w:color w:val="auto"/>
        </w:rPr>
        <w:t>其他</w:t>
      </w:r>
      <w:r>
        <w:rPr>
          <w:rFonts w:hint="default" w:ascii="Times New Roman" w:hAnsi="Times New Roman" w:cs="Times New Roman"/>
          <w:color w:val="auto"/>
          <w:lang w:eastAsia="zh-CN"/>
        </w:rPr>
        <w:t>编制依据及工程</w:t>
      </w:r>
      <w:r>
        <w:rPr>
          <w:rFonts w:hint="default" w:ascii="Times New Roman" w:hAnsi="Times New Roman" w:cs="Times New Roman"/>
          <w:color w:val="auto"/>
        </w:rPr>
        <w:t>资料</w:t>
      </w:r>
      <w:bookmarkEnd w:id="99"/>
    </w:p>
    <w:p>
      <w:pPr>
        <w:pStyle w:val="39"/>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eastAsia="zh-CN"/>
        </w:rPr>
        <w:t>项目环评委托书</w:t>
      </w:r>
      <w:r>
        <w:rPr>
          <w:rFonts w:hint="default" w:ascii="Times New Roman" w:hAnsi="Times New Roman" w:cs="Times New Roman"/>
          <w:color w:val="auto"/>
        </w:rPr>
        <w:t>；</w:t>
      </w:r>
    </w:p>
    <w:p>
      <w:pPr>
        <w:pStyle w:val="39"/>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《关于岳阳鑫达实业有限公司500吨/年加氢催化剂生产项目执行环境保护标准的函》；</w:t>
      </w:r>
    </w:p>
    <w:p>
      <w:pPr>
        <w:pStyle w:val="39"/>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《岳阳鑫达实业有限公司加氢催化剂生产可行性报告》；</w:t>
      </w:r>
    </w:p>
    <w:p>
      <w:pPr>
        <w:pStyle w:val="39"/>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《岳阳鑫达实业有限公司年产抗氧化剂TNP1000吨、氯化锂400吨、催化剂二氯二茂钛12吨项目环境影响报告书》及其批复；</w:t>
      </w:r>
    </w:p>
    <w:p>
      <w:pPr>
        <w:pStyle w:val="39"/>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岳阳鑫达实业有限公司提供的其它相关资料。</w:t>
      </w:r>
    </w:p>
    <w:p>
      <w:pPr>
        <w:pStyle w:val="4"/>
        <w:keepNext/>
        <w:keepLines/>
        <w:pageBreakBefore w:val="0"/>
        <w:widowControl w:val="0"/>
        <w:kinsoku/>
        <w:wordWrap/>
        <w:overflowPunct/>
        <w:topLinePunct w:val="0"/>
        <w:autoSpaceDE/>
        <w:autoSpaceDN/>
        <w:bidi w:val="0"/>
        <w:adjustRightInd w:val="0"/>
        <w:snapToGrid w:val="0"/>
        <w:spacing w:beforeLines="0" w:afterLines="0" w:line="360" w:lineRule="auto"/>
        <w:ind w:leftChars="0" w:firstLine="0" w:firstLineChars="0"/>
        <w:textAlignment w:val="auto"/>
        <w:rPr>
          <w:rFonts w:hint="default" w:ascii="Times New Roman" w:hAnsi="Times New Roman" w:cs="Times New Roman"/>
          <w:color w:val="auto"/>
        </w:rPr>
      </w:pPr>
      <w:bookmarkStart w:id="100" w:name="_Toc328548557"/>
      <w:bookmarkStart w:id="101" w:name="_Toc19690"/>
      <w:bookmarkStart w:id="102" w:name="_Toc373328276"/>
      <w:bookmarkStart w:id="103" w:name="_Toc15708"/>
      <w:bookmarkStart w:id="104" w:name="_Toc328401038"/>
      <w:bookmarkStart w:id="105" w:name="_Toc155"/>
      <w:bookmarkStart w:id="106" w:name="_Toc306024694"/>
      <w:bookmarkStart w:id="107" w:name="_Toc306096892"/>
      <w:bookmarkStart w:id="108" w:name="_Toc302766699"/>
      <w:r>
        <w:rPr>
          <w:rFonts w:hint="default" w:ascii="Times New Roman" w:hAnsi="Times New Roman" w:cs="Times New Roman"/>
          <w:color w:val="auto"/>
        </w:rPr>
        <w:t>环境影响识别与评价因子筛选</w:t>
      </w:r>
      <w:bookmarkEnd w:id="100"/>
      <w:bookmarkEnd w:id="101"/>
      <w:bookmarkEnd w:id="102"/>
      <w:bookmarkEnd w:id="103"/>
      <w:bookmarkEnd w:id="104"/>
      <w:bookmarkEnd w:id="105"/>
    </w:p>
    <w:bookmarkEnd w:id="106"/>
    <w:bookmarkEnd w:id="107"/>
    <w:bookmarkEnd w:id="108"/>
    <w:p>
      <w:pPr>
        <w:pStyle w:val="5"/>
        <w:keepNext/>
        <w:keepLines/>
        <w:pageBreakBefore w:val="0"/>
        <w:widowControl w:val="0"/>
        <w:kinsoku/>
        <w:wordWrap/>
        <w:overflowPunct/>
        <w:topLinePunct w:val="0"/>
        <w:autoSpaceDE/>
        <w:autoSpaceDN/>
        <w:bidi w:val="0"/>
        <w:adjustRightInd w:val="0"/>
        <w:snapToGrid w:val="0"/>
        <w:spacing w:before="0" w:beforeLines="0" w:after="0" w:afterLines="0" w:line="360" w:lineRule="auto"/>
        <w:ind w:leftChars="0" w:firstLine="0" w:firstLineChars="0"/>
        <w:jc w:val="left"/>
        <w:textAlignment w:val="auto"/>
        <w:rPr>
          <w:rFonts w:hint="default" w:ascii="Times New Roman" w:hAnsi="Times New Roman" w:cs="Times New Roman"/>
          <w:color w:val="auto"/>
        </w:rPr>
      </w:pPr>
      <w:bookmarkStart w:id="109" w:name="_Toc328547962"/>
      <w:bookmarkStart w:id="110" w:name="_Toc328548558"/>
      <w:bookmarkStart w:id="111" w:name="_Toc328401039"/>
      <w:bookmarkStart w:id="112" w:name="_Toc328401224"/>
      <w:bookmarkStart w:id="113" w:name="_Toc26230"/>
      <w:r>
        <w:rPr>
          <w:rFonts w:hint="default" w:ascii="Times New Roman" w:hAnsi="Times New Roman" w:cs="Times New Roman"/>
          <w:color w:val="auto"/>
        </w:rPr>
        <w:t>环境影响因素识别</w:t>
      </w:r>
      <w:bookmarkEnd w:id="109"/>
      <w:bookmarkEnd w:id="110"/>
      <w:bookmarkEnd w:id="111"/>
      <w:bookmarkEnd w:id="112"/>
      <w:bookmarkEnd w:id="113"/>
    </w:p>
    <w:p>
      <w:pPr>
        <w:pStyle w:val="39"/>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color w:val="auto"/>
        </w:rPr>
      </w:pPr>
      <w:bookmarkStart w:id="114" w:name="_Toc279933422"/>
      <w:bookmarkStart w:id="115" w:name="_Toc279694496"/>
      <w:r>
        <w:rPr>
          <w:rFonts w:hint="default" w:ascii="Times New Roman" w:hAnsi="Times New Roman" w:cs="Times New Roman"/>
          <w:color w:val="auto"/>
        </w:rPr>
        <w:t>根据区域环境特征及工程排污特点等，对工程污染物排放所涉及到的环境要素进行识别，其结果</w:t>
      </w:r>
      <w:r>
        <w:rPr>
          <w:rFonts w:hint="default" w:ascii="Times New Roman" w:hAnsi="Times New Roman" w:cs="Times New Roman"/>
          <w:color w:val="auto"/>
          <w:lang w:eastAsia="zh-CN"/>
        </w:rPr>
        <w:t>见</w:t>
      </w:r>
      <w:r>
        <w:rPr>
          <w:rFonts w:hint="default" w:ascii="Times New Roman" w:hAnsi="Times New Roman" w:cs="Times New Roman"/>
          <w:color w:val="auto"/>
        </w:rPr>
        <w:t>表</w:t>
      </w:r>
      <w:r>
        <w:rPr>
          <w:rFonts w:hint="default" w:ascii="Times New Roman" w:hAnsi="Times New Roman" w:cs="Times New Roman"/>
          <w:color w:val="auto"/>
          <w:lang w:val="en-US" w:eastAsia="zh-CN"/>
        </w:rPr>
        <w:t>2-1</w:t>
      </w:r>
      <w:r>
        <w:rPr>
          <w:rFonts w:hint="default" w:ascii="Times New Roman" w:hAnsi="Times New Roman" w:cs="Times New Roman"/>
          <w:color w:val="auto"/>
        </w:rPr>
        <w:t>。</w:t>
      </w:r>
    </w:p>
    <w:p>
      <w:pPr>
        <w:pStyle w:val="39"/>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由下表分析可知，本项目环境保护目标主要为周边居民，项目建设对社会环境和居民生活质量影响不大，施工期会对大气环境、声环境、生态环境有一定影响，运营期对大气环境、水环境、声环境会有一定程度的影响。</w:t>
      </w:r>
    </w:p>
    <w:p>
      <w:pPr>
        <w:pStyle w:val="14"/>
        <w:keepNext w:val="0"/>
        <w:keepLines w:val="0"/>
        <w:pageBreakBefore w:val="0"/>
        <w:widowControl w:val="0"/>
        <w:kinsoku/>
        <w:wordWrap/>
        <w:overflowPunct/>
        <w:topLinePunct w:val="0"/>
        <w:autoSpaceDE/>
        <w:autoSpaceDN/>
        <w:bidi w:val="0"/>
        <w:adjustRightInd/>
        <w:snapToGrid/>
        <w:spacing w:before="157" w:beforeLines="50"/>
        <w:textAlignment w:val="auto"/>
        <w:outlineLvl w:val="9"/>
        <w:rPr>
          <w:rFonts w:hint="default" w:ascii="Times New Roman" w:hAnsi="Times New Roman" w:cs="Times New Roman"/>
          <w:color w:val="auto"/>
        </w:rPr>
      </w:pPr>
    </w:p>
    <w:p>
      <w:pPr>
        <w:pStyle w:val="14"/>
        <w:keepNext w:val="0"/>
        <w:keepLines w:val="0"/>
        <w:pageBreakBefore w:val="0"/>
        <w:widowControl w:val="0"/>
        <w:kinsoku/>
        <w:wordWrap/>
        <w:overflowPunct/>
        <w:topLinePunct w:val="0"/>
        <w:autoSpaceDE/>
        <w:autoSpaceDN/>
        <w:bidi w:val="0"/>
        <w:adjustRightInd/>
        <w:snapToGrid/>
        <w:spacing w:before="157" w:beforeLines="50"/>
        <w:textAlignment w:val="auto"/>
        <w:outlineLvl w:val="9"/>
        <w:rPr>
          <w:rFonts w:hint="default" w:ascii="Times New Roman" w:hAnsi="Times New Roman" w:cs="Times New Roman"/>
          <w:color w:val="auto"/>
        </w:rPr>
      </w:pPr>
    </w:p>
    <w:p>
      <w:pPr>
        <w:pStyle w:val="14"/>
        <w:keepNext w:val="0"/>
        <w:keepLines w:val="0"/>
        <w:pageBreakBefore w:val="0"/>
        <w:widowControl w:val="0"/>
        <w:kinsoku/>
        <w:wordWrap/>
        <w:overflowPunct/>
        <w:topLinePunct w:val="0"/>
        <w:autoSpaceDE/>
        <w:autoSpaceDN/>
        <w:bidi w:val="0"/>
        <w:adjustRightInd/>
        <w:snapToGrid/>
        <w:spacing w:before="157" w:beforeLines="50"/>
        <w:textAlignment w:val="auto"/>
        <w:outlineLvl w:val="9"/>
        <w:rPr>
          <w:rFonts w:hint="default" w:ascii="Times New Roman" w:hAnsi="Times New Roman" w:cs="Times New Roman"/>
          <w:color w:val="auto"/>
        </w:rPr>
      </w:pPr>
    </w:p>
    <w:p>
      <w:pPr>
        <w:pStyle w:val="14"/>
        <w:keepNext w:val="0"/>
        <w:keepLines w:val="0"/>
        <w:pageBreakBefore w:val="0"/>
        <w:widowControl w:val="0"/>
        <w:kinsoku/>
        <w:wordWrap/>
        <w:overflowPunct/>
        <w:topLinePunct w:val="0"/>
        <w:autoSpaceDE/>
        <w:autoSpaceDN/>
        <w:bidi w:val="0"/>
        <w:adjustRightInd/>
        <w:snapToGrid/>
        <w:spacing w:before="157" w:beforeLines="50"/>
        <w:textAlignment w:val="auto"/>
        <w:outlineLvl w:val="9"/>
        <w:rPr>
          <w:rFonts w:hint="default" w:ascii="Times New Roman" w:hAnsi="Times New Roman" w:cs="Times New Roman"/>
          <w:color w:val="auto"/>
        </w:rPr>
      </w:pPr>
    </w:p>
    <w:p>
      <w:pPr>
        <w:pStyle w:val="14"/>
        <w:keepNext w:val="0"/>
        <w:keepLines w:val="0"/>
        <w:pageBreakBefore w:val="0"/>
        <w:widowControl w:val="0"/>
        <w:kinsoku/>
        <w:wordWrap/>
        <w:overflowPunct/>
        <w:topLinePunct w:val="0"/>
        <w:autoSpaceDE/>
        <w:autoSpaceDN/>
        <w:bidi w:val="0"/>
        <w:adjustRightInd/>
        <w:snapToGrid/>
        <w:spacing w:before="157" w:beforeLines="50"/>
        <w:textAlignment w:val="auto"/>
        <w:outlineLvl w:val="9"/>
        <w:rPr>
          <w:rFonts w:hint="default" w:ascii="Times New Roman" w:hAnsi="Times New Roman" w:cs="Times New Roman"/>
          <w:color w:val="auto"/>
        </w:rPr>
      </w:pPr>
    </w:p>
    <w:p>
      <w:pPr>
        <w:pStyle w:val="14"/>
        <w:keepNext w:val="0"/>
        <w:keepLines w:val="0"/>
        <w:pageBreakBefore w:val="0"/>
        <w:widowControl w:val="0"/>
        <w:kinsoku/>
        <w:wordWrap/>
        <w:overflowPunct/>
        <w:topLinePunct w:val="0"/>
        <w:autoSpaceDE/>
        <w:autoSpaceDN/>
        <w:bidi w:val="0"/>
        <w:adjustRightInd/>
        <w:snapToGrid/>
        <w:spacing w:before="157" w:beforeLines="50"/>
        <w:textAlignment w:val="auto"/>
        <w:outlineLvl w:val="9"/>
        <w:rPr>
          <w:rFonts w:hint="default" w:ascii="Times New Roman" w:hAnsi="Times New Roman" w:cs="Times New Roman"/>
          <w:color w:val="auto"/>
          <w:lang w:val="zh-CN"/>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 xml:space="preserve">-1 </w:t>
      </w:r>
      <w:r>
        <w:rPr>
          <w:rFonts w:hint="default" w:ascii="Times New Roman" w:hAnsi="Times New Roman" w:cs="Times New Roman"/>
          <w:color w:val="auto"/>
          <w:lang w:val="zh-CN"/>
        </w:rPr>
        <w:t>环境影响要素识别</w:t>
      </w:r>
      <w:bookmarkEnd w:id="114"/>
      <w:bookmarkEnd w:id="115"/>
    </w:p>
    <w:tbl>
      <w:tblPr>
        <w:tblStyle w:val="24"/>
        <w:tblW w:w="94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20"/>
        <w:gridCol w:w="1288"/>
        <w:gridCol w:w="711"/>
        <w:gridCol w:w="711"/>
        <w:gridCol w:w="711"/>
        <w:gridCol w:w="716"/>
        <w:gridCol w:w="546"/>
        <w:gridCol w:w="581"/>
        <w:gridCol w:w="579"/>
        <w:gridCol w:w="579"/>
        <w:gridCol w:w="585"/>
        <w:gridCol w:w="573"/>
        <w:gridCol w:w="710"/>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1708" w:type="dxa"/>
            <w:gridSpan w:val="2"/>
            <w:vMerge w:val="restart"/>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时段</w:t>
            </w:r>
          </w:p>
        </w:tc>
        <w:tc>
          <w:tcPr>
            <w:tcW w:w="2849" w:type="dxa"/>
            <w:gridSpan w:val="4"/>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自然环境</w:t>
            </w:r>
          </w:p>
        </w:tc>
        <w:tc>
          <w:tcPr>
            <w:tcW w:w="1127" w:type="dxa"/>
            <w:gridSpan w:val="2"/>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生态环境</w:t>
            </w:r>
          </w:p>
        </w:tc>
        <w:tc>
          <w:tcPr>
            <w:tcW w:w="1743" w:type="dxa"/>
            <w:gridSpan w:val="3"/>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社会环境</w:t>
            </w:r>
          </w:p>
        </w:tc>
        <w:tc>
          <w:tcPr>
            <w:tcW w:w="2052" w:type="dxa"/>
            <w:gridSpan w:val="3"/>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生活质量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1708" w:type="dxa"/>
            <w:gridSpan w:val="2"/>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地面</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水质</w:t>
            </w: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质量</w:t>
            </w: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水质</w:t>
            </w:r>
          </w:p>
        </w:tc>
        <w:tc>
          <w:tcPr>
            <w:tcW w:w="71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w:t>
            </w:r>
          </w:p>
        </w:tc>
        <w:tc>
          <w:tcPr>
            <w:tcW w:w="54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植被</w:t>
            </w:r>
          </w:p>
        </w:tc>
        <w:tc>
          <w:tcPr>
            <w:tcW w:w="58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景观</w:t>
            </w:r>
          </w:p>
        </w:tc>
        <w:tc>
          <w:tcPr>
            <w:tcW w:w="57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工业发展</w:t>
            </w:r>
          </w:p>
        </w:tc>
        <w:tc>
          <w:tcPr>
            <w:tcW w:w="57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交通</w:t>
            </w:r>
          </w:p>
        </w:tc>
        <w:tc>
          <w:tcPr>
            <w:tcW w:w="58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能源利用</w:t>
            </w:r>
          </w:p>
        </w:tc>
        <w:tc>
          <w:tcPr>
            <w:tcW w:w="57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人口就业</w:t>
            </w:r>
          </w:p>
        </w:tc>
        <w:tc>
          <w:tcPr>
            <w:tcW w:w="71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公众</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健康</w:t>
            </w:r>
          </w:p>
        </w:tc>
        <w:tc>
          <w:tcPr>
            <w:tcW w:w="76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生活水平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20" w:type="dxa"/>
            <w:vMerge w:val="restart"/>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运营期</w:t>
            </w:r>
          </w:p>
        </w:tc>
        <w:tc>
          <w:tcPr>
            <w:tcW w:w="128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物品运输</w:t>
            </w: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1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54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8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7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7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58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57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71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6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20"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28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产品生产</w:t>
            </w: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1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4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8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7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7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8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7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71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6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20"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28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废气排放</w:t>
            </w: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1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4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8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7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7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8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7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1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76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20"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28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废水排放</w:t>
            </w: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1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4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8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7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7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8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7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1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6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20"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28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设备噪声</w:t>
            </w: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1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4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8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7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7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8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7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1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6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20"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28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固废堆放</w:t>
            </w: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1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4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8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7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7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8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7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1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6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20"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28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事故风险</w:t>
            </w: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71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4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8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7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7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8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7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1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76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20" w:type="dxa"/>
            <w:vMerge w:val="restart"/>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施工期</w:t>
            </w:r>
          </w:p>
        </w:tc>
        <w:tc>
          <w:tcPr>
            <w:tcW w:w="128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材料堆存</w:t>
            </w: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1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4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8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7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7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8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7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1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6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20"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28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建筑施工</w:t>
            </w: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1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54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8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7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7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8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7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71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6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20"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28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物品运输</w:t>
            </w: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71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1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54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8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7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7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58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57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71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6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479" w:type="dxa"/>
            <w:gridSpan w:val="14"/>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注：表中</w:t>
            </w:r>
            <w:r>
              <w:rPr>
                <w:rFonts w:hint="default" w:ascii="Times New Roman" w:hAnsi="Times New Roman" w:cs="Times New Roman"/>
                <w:color w:val="auto"/>
                <w:sz w:val="21"/>
                <w:szCs w:val="21"/>
                <w:lang w:val="en-US" w:eastAsia="zh-CN"/>
              </w:rPr>
              <w:t xml:space="preserve"> - </w:t>
            </w:r>
            <w:r>
              <w:rPr>
                <w:rFonts w:hint="default" w:ascii="Times New Roman" w:hAnsi="Times New Roman" w:cs="Times New Roman"/>
                <w:color w:val="auto"/>
                <w:sz w:val="21"/>
                <w:szCs w:val="21"/>
              </w:rPr>
              <w:t>表示负效益；+</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表示正效益；0表示短期影响；1表示长期影响</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影响轻微  ▲</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影响一般  ■</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影响较重</w:t>
            </w:r>
          </w:p>
        </w:tc>
      </w:tr>
    </w:tbl>
    <w:p>
      <w:pPr>
        <w:pStyle w:val="5"/>
        <w:keepNext/>
        <w:keepLines/>
        <w:pageBreakBefore w:val="0"/>
        <w:widowControl w:val="0"/>
        <w:kinsoku/>
        <w:wordWrap/>
        <w:overflowPunct/>
        <w:topLinePunct w:val="0"/>
        <w:autoSpaceDE/>
        <w:autoSpaceDN/>
        <w:bidi w:val="0"/>
        <w:adjustRightInd/>
        <w:snapToGrid/>
        <w:spacing w:before="157" w:beforeLines="50"/>
        <w:jc w:val="left"/>
        <w:textAlignment w:val="auto"/>
        <w:outlineLvl w:val="2"/>
        <w:rPr>
          <w:rFonts w:hint="default" w:ascii="Times New Roman" w:hAnsi="Times New Roman" w:cs="Times New Roman"/>
          <w:color w:val="auto"/>
          <w:highlight w:val="none"/>
        </w:rPr>
      </w:pPr>
      <w:bookmarkStart w:id="116" w:name="_Toc328401225"/>
      <w:bookmarkStart w:id="117" w:name="_Toc328548559"/>
      <w:bookmarkStart w:id="118" w:name="_Toc328547963"/>
      <w:bookmarkStart w:id="119" w:name="_Toc1025"/>
      <w:bookmarkStart w:id="120" w:name="_Toc328401040"/>
      <w:r>
        <w:rPr>
          <w:rFonts w:hint="default" w:ascii="Times New Roman" w:hAnsi="Times New Roman" w:cs="Times New Roman"/>
          <w:color w:val="auto"/>
          <w:highlight w:val="none"/>
        </w:rPr>
        <w:t>评价因子筛选</w:t>
      </w:r>
      <w:bookmarkEnd w:id="116"/>
      <w:bookmarkEnd w:id="117"/>
      <w:bookmarkEnd w:id="118"/>
      <w:bookmarkEnd w:id="119"/>
      <w:bookmarkEnd w:id="120"/>
    </w:p>
    <w:p>
      <w:pPr>
        <w:pStyle w:val="39"/>
        <w:bidi w:val="0"/>
        <w:rPr>
          <w:rFonts w:hint="default" w:ascii="Times New Roman" w:hAnsi="Times New Roman" w:cs="Times New Roman"/>
          <w:color w:val="auto"/>
        </w:rPr>
      </w:pPr>
      <w:r>
        <w:rPr>
          <w:rFonts w:hint="default" w:ascii="Times New Roman" w:hAnsi="Times New Roman" w:cs="Times New Roman"/>
          <w:color w:val="auto"/>
        </w:rPr>
        <w:t>根据项目工程特征、排污种类及周围地区环境质量概况，确定本评价因子包括污染源评价因子、环境质量评价因子和影响分析因子，评价因子见表</w:t>
      </w:r>
      <w:r>
        <w:rPr>
          <w:rFonts w:hint="default" w:ascii="Times New Roman" w:hAnsi="Times New Roman" w:cs="Times New Roman"/>
          <w:color w:val="auto"/>
          <w:lang w:val="en-US" w:eastAsia="zh-CN"/>
        </w:rPr>
        <w:t>2-2</w:t>
      </w:r>
      <w:r>
        <w:rPr>
          <w:rFonts w:hint="default" w:ascii="Times New Roman" w:hAnsi="Times New Roman" w:cs="Times New Roman"/>
          <w:color w:val="auto"/>
        </w:rPr>
        <w:t>。</w:t>
      </w:r>
    </w:p>
    <w:p>
      <w:pPr>
        <w:pStyle w:val="14"/>
        <w:keepNext w:val="0"/>
        <w:keepLines w:val="0"/>
        <w:pageBreakBefore w:val="0"/>
        <w:widowControl w:val="0"/>
        <w:kinsoku/>
        <w:wordWrap/>
        <w:overflowPunct/>
        <w:topLinePunct w:val="0"/>
        <w:autoSpaceDE/>
        <w:autoSpaceDN/>
        <w:bidi w:val="0"/>
        <w:adjustRightInd/>
        <w:snapToGrid/>
        <w:spacing w:before="157" w:beforeLines="50"/>
        <w:textAlignment w:val="auto"/>
        <w:outlineLvl w:val="9"/>
        <w:rPr>
          <w:rFonts w:hint="default" w:ascii="Times New Roman" w:hAnsi="Times New Roman" w:cs="Times New Roman"/>
          <w:color w:val="auto"/>
          <w:lang w:val="zh-CN"/>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 xml:space="preserve">2 </w:t>
      </w:r>
      <w:r>
        <w:rPr>
          <w:rFonts w:hint="default" w:ascii="Times New Roman" w:hAnsi="Times New Roman" w:cs="Times New Roman"/>
          <w:color w:val="auto"/>
          <w:lang w:val="zh-CN"/>
        </w:rPr>
        <w:t>评价因子一览表</w:t>
      </w:r>
    </w:p>
    <w:tbl>
      <w:tblPr>
        <w:tblStyle w:val="24"/>
        <w:tblW w:w="976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06"/>
        <w:gridCol w:w="1710"/>
        <w:gridCol w:w="68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exact"/>
          <w:jc w:val="center"/>
        </w:trPr>
        <w:tc>
          <w:tcPr>
            <w:tcW w:w="1206" w:type="dxa"/>
            <w:vAlign w:val="center"/>
          </w:tcPr>
          <w:p>
            <w:pPr>
              <w:pStyle w:val="40"/>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评价要素</w:t>
            </w:r>
          </w:p>
        </w:tc>
        <w:tc>
          <w:tcPr>
            <w:tcW w:w="1710" w:type="dxa"/>
            <w:vAlign w:val="center"/>
          </w:tcPr>
          <w:p>
            <w:pPr>
              <w:pStyle w:val="40"/>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评价类型</w:t>
            </w:r>
          </w:p>
        </w:tc>
        <w:tc>
          <w:tcPr>
            <w:tcW w:w="6847" w:type="dxa"/>
            <w:vAlign w:val="center"/>
          </w:tcPr>
          <w:p>
            <w:pPr>
              <w:pStyle w:val="40"/>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评价因子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exact"/>
          <w:jc w:val="center"/>
        </w:trPr>
        <w:tc>
          <w:tcPr>
            <w:tcW w:w="1206" w:type="dxa"/>
            <w:vMerge w:val="restart"/>
            <w:vAlign w:val="center"/>
          </w:tcPr>
          <w:p>
            <w:pPr>
              <w:pStyle w:val="40"/>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w:t>
            </w:r>
          </w:p>
        </w:tc>
        <w:tc>
          <w:tcPr>
            <w:tcW w:w="1710" w:type="dxa"/>
            <w:vAlign w:val="center"/>
          </w:tcPr>
          <w:p>
            <w:pPr>
              <w:pStyle w:val="40"/>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现状评价因子</w:t>
            </w:r>
          </w:p>
        </w:tc>
        <w:tc>
          <w:tcPr>
            <w:tcW w:w="6847" w:type="dxa"/>
            <w:vAlign w:val="center"/>
          </w:tcPr>
          <w:p>
            <w:pPr>
              <w:pStyle w:val="40"/>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pH、COD</w:t>
            </w:r>
            <w:r>
              <w:rPr>
                <w:rFonts w:hint="default" w:ascii="Times New Roman" w:hAnsi="Times New Roman" w:cs="Times New Roman"/>
                <w:color w:val="auto"/>
                <w:sz w:val="21"/>
                <w:szCs w:val="21"/>
                <w:vertAlign w:val="subscript"/>
              </w:rPr>
              <w:t>Cr</w:t>
            </w: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rPr>
              <w:t>、DO、SS、NH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-N、总</w:t>
            </w:r>
            <w:r>
              <w:rPr>
                <w:rFonts w:hint="default" w:ascii="Times New Roman" w:hAnsi="Times New Roman" w:cs="Times New Roman"/>
                <w:color w:val="auto"/>
                <w:sz w:val="21"/>
                <w:szCs w:val="21"/>
                <w:lang w:eastAsia="zh-CN"/>
              </w:rPr>
              <w:t>磷</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Ni、</w:t>
            </w:r>
            <w:r>
              <w:rPr>
                <w:rFonts w:hint="default" w:ascii="Times New Roman" w:hAnsi="Times New Roman" w:cs="Times New Roman"/>
                <w:color w:val="auto"/>
                <w:sz w:val="21"/>
                <w:szCs w:val="21"/>
              </w:rPr>
              <w:t>石油类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exact"/>
          <w:jc w:val="center"/>
        </w:trPr>
        <w:tc>
          <w:tcPr>
            <w:tcW w:w="1206" w:type="dxa"/>
            <w:vMerge w:val="continue"/>
            <w:vAlign w:val="center"/>
          </w:tcPr>
          <w:p>
            <w:pPr>
              <w:pStyle w:val="40"/>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1710" w:type="dxa"/>
            <w:vAlign w:val="center"/>
          </w:tcPr>
          <w:p>
            <w:pPr>
              <w:pStyle w:val="40"/>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影响预测因子</w:t>
            </w:r>
          </w:p>
        </w:tc>
        <w:tc>
          <w:tcPr>
            <w:tcW w:w="6847" w:type="dxa"/>
            <w:vAlign w:val="center"/>
          </w:tcPr>
          <w:p>
            <w:pPr>
              <w:pStyle w:val="40"/>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污水处理设施</w:t>
            </w:r>
            <w:r>
              <w:rPr>
                <w:rFonts w:hint="default" w:ascii="Times New Roman" w:hAnsi="Times New Roman" w:cs="Times New Roman"/>
                <w:color w:val="auto"/>
                <w:sz w:val="21"/>
                <w:szCs w:val="21"/>
              </w:rPr>
              <w:t>接纳可行性及达标性分析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exact"/>
          <w:jc w:val="center"/>
        </w:trPr>
        <w:tc>
          <w:tcPr>
            <w:tcW w:w="1206" w:type="dxa"/>
            <w:vAlign w:val="center"/>
          </w:tcPr>
          <w:p>
            <w:pPr>
              <w:pStyle w:val="40"/>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w:t>
            </w:r>
          </w:p>
        </w:tc>
        <w:tc>
          <w:tcPr>
            <w:tcW w:w="1710" w:type="dxa"/>
            <w:vAlign w:val="center"/>
          </w:tcPr>
          <w:p>
            <w:pPr>
              <w:pStyle w:val="40"/>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现状评价因子</w:t>
            </w:r>
          </w:p>
        </w:tc>
        <w:tc>
          <w:tcPr>
            <w:tcW w:w="6847" w:type="dxa"/>
            <w:vAlign w:val="center"/>
          </w:tcPr>
          <w:p>
            <w:pPr>
              <w:pStyle w:val="40"/>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pH、耗氧量、氨氮、石油类、挥发性酚类、硫酸盐、硫化物、氟化物、氯化物、镍、总硬度、</w:t>
            </w:r>
            <w:r>
              <w:rPr>
                <w:rFonts w:hint="default" w:ascii="Times New Roman" w:hAnsi="Times New Roman" w:cs="Times New Roman"/>
                <w:color w:val="auto"/>
                <w:sz w:val="21"/>
                <w:szCs w:val="21"/>
                <w:u w:val="single"/>
                <w:lang w:eastAsia="zh-CN"/>
              </w:rPr>
              <w:t>嗅与</w:t>
            </w:r>
            <w:r>
              <w:rPr>
                <w:rFonts w:hint="default" w:ascii="Times New Roman" w:hAnsi="Times New Roman" w:cs="Times New Roman"/>
                <w:color w:val="auto"/>
                <w:sz w:val="21"/>
                <w:szCs w:val="21"/>
                <w:u w:val="single"/>
              </w:rPr>
              <w:t>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0" w:hRule="exact"/>
          <w:jc w:val="center"/>
        </w:trPr>
        <w:tc>
          <w:tcPr>
            <w:tcW w:w="1206" w:type="dxa"/>
            <w:vMerge w:val="restart"/>
            <w:vAlign w:val="center"/>
          </w:tcPr>
          <w:p>
            <w:pPr>
              <w:pStyle w:val="40"/>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w:t>
            </w:r>
          </w:p>
        </w:tc>
        <w:tc>
          <w:tcPr>
            <w:tcW w:w="1710" w:type="dxa"/>
            <w:vAlign w:val="center"/>
          </w:tcPr>
          <w:p>
            <w:pPr>
              <w:pStyle w:val="40"/>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现状评价因子</w:t>
            </w:r>
          </w:p>
        </w:tc>
        <w:tc>
          <w:tcPr>
            <w:tcW w:w="6847" w:type="dxa"/>
            <w:vAlign w:val="center"/>
          </w:tcPr>
          <w:p>
            <w:pPr>
              <w:pStyle w:val="40"/>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rPr>
              <w:t>SO</w:t>
            </w:r>
            <w:r>
              <w:rPr>
                <w:rFonts w:hint="default" w:ascii="Times New Roman" w:hAnsi="Times New Roman" w:cs="Times New Roman"/>
                <w:color w:val="auto"/>
                <w:sz w:val="21"/>
                <w:szCs w:val="21"/>
                <w:u w:val="single"/>
                <w:vertAlign w:val="subscript"/>
              </w:rPr>
              <w:t>2</w:t>
            </w:r>
            <w:r>
              <w:rPr>
                <w:rFonts w:hint="default" w:ascii="Times New Roman" w:hAnsi="Times New Roman" w:cs="Times New Roman"/>
                <w:color w:val="auto"/>
                <w:sz w:val="21"/>
                <w:szCs w:val="21"/>
                <w:u w:val="single"/>
              </w:rPr>
              <w:t>、NO</w:t>
            </w:r>
            <w:r>
              <w:rPr>
                <w:rFonts w:hint="default" w:ascii="Times New Roman" w:hAnsi="Times New Roman" w:cs="Times New Roman"/>
                <w:color w:val="auto"/>
                <w:sz w:val="21"/>
                <w:szCs w:val="21"/>
                <w:u w:val="single"/>
                <w:vertAlign w:val="subscript"/>
              </w:rPr>
              <w:t>2</w:t>
            </w:r>
            <w:r>
              <w:rPr>
                <w:rFonts w:hint="default" w:ascii="Times New Roman" w:hAnsi="Times New Roman" w:cs="Times New Roman"/>
                <w:color w:val="auto"/>
                <w:sz w:val="21"/>
                <w:szCs w:val="21"/>
                <w:u w:val="single"/>
              </w:rPr>
              <w:t>、PM</w:t>
            </w:r>
            <w:r>
              <w:rPr>
                <w:rFonts w:hint="default" w:ascii="Times New Roman" w:hAnsi="Times New Roman" w:cs="Times New Roman"/>
                <w:color w:val="auto"/>
                <w:sz w:val="21"/>
                <w:szCs w:val="21"/>
                <w:u w:val="single"/>
                <w:vertAlign w:val="subscript"/>
              </w:rPr>
              <w:t>2.5</w:t>
            </w:r>
            <w:r>
              <w:rPr>
                <w:rFonts w:hint="default" w:ascii="Times New Roman" w:hAnsi="Times New Roman" w:cs="Times New Roman"/>
                <w:color w:val="auto"/>
                <w:sz w:val="21"/>
                <w:szCs w:val="21"/>
                <w:u w:val="single"/>
              </w:rPr>
              <w:t>、PM</w:t>
            </w:r>
            <w:r>
              <w:rPr>
                <w:rFonts w:hint="default" w:ascii="Times New Roman" w:hAnsi="Times New Roman" w:cs="Times New Roman"/>
                <w:color w:val="auto"/>
                <w:sz w:val="21"/>
                <w:szCs w:val="21"/>
                <w:u w:val="single"/>
                <w:vertAlign w:val="subscript"/>
              </w:rPr>
              <w:t>10</w:t>
            </w:r>
            <w:r>
              <w:rPr>
                <w:rFonts w:hint="default" w:ascii="Times New Roman" w:hAnsi="Times New Roman" w:cs="Times New Roman"/>
                <w:color w:val="auto"/>
                <w:sz w:val="21"/>
                <w:szCs w:val="21"/>
                <w:u w:val="single"/>
              </w:rPr>
              <w:t>、CO、TSP、臭氧、非甲烷总烃、VOC</w:t>
            </w:r>
            <w:r>
              <w:rPr>
                <w:rFonts w:hint="default" w:ascii="Times New Roman" w:hAnsi="Times New Roman" w:cs="Times New Roman"/>
                <w:color w:val="auto"/>
                <w:sz w:val="21"/>
                <w:szCs w:val="21"/>
                <w:u w:val="single"/>
                <w:lang w:val="en-US" w:eastAsia="zh-CN"/>
              </w:rP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exact"/>
          <w:jc w:val="center"/>
        </w:trPr>
        <w:tc>
          <w:tcPr>
            <w:tcW w:w="1206" w:type="dxa"/>
            <w:vMerge w:val="continue"/>
            <w:vAlign w:val="center"/>
          </w:tcPr>
          <w:p>
            <w:pPr>
              <w:pStyle w:val="40"/>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1710" w:type="dxa"/>
            <w:vAlign w:val="center"/>
          </w:tcPr>
          <w:p>
            <w:pPr>
              <w:pStyle w:val="40"/>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影响预测因子</w:t>
            </w:r>
          </w:p>
        </w:tc>
        <w:tc>
          <w:tcPr>
            <w:tcW w:w="6847" w:type="dxa"/>
            <w:vAlign w:val="center"/>
          </w:tcPr>
          <w:p>
            <w:pPr>
              <w:pStyle w:val="40"/>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VOCs</w:t>
            </w:r>
            <w:r>
              <w:rPr>
                <w:rFonts w:hint="default" w:ascii="Times New Roman" w:hAnsi="Times New Roman" w:cs="Times New Roman"/>
                <w:color w:val="auto"/>
                <w:sz w:val="21"/>
                <w:szCs w:val="21"/>
                <w:u w:val="single"/>
              </w:rPr>
              <w:t>、TSP</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exact"/>
          <w:jc w:val="center"/>
        </w:trPr>
        <w:tc>
          <w:tcPr>
            <w:tcW w:w="1206" w:type="dxa"/>
            <w:vMerge w:val="restart"/>
            <w:vAlign w:val="center"/>
          </w:tcPr>
          <w:p>
            <w:pPr>
              <w:pStyle w:val="40"/>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1710" w:type="dxa"/>
            <w:vAlign w:val="center"/>
          </w:tcPr>
          <w:p>
            <w:pPr>
              <w:pStyle w:val="40"/>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现状评价因子</w:t>
            </w:r>
          </w:p>
        </w:tc>
        <w:tc>
          <w:tcPr>
            <w:tcW w:w="6847" w:type="dxa"/>
            <w:vAlign w:val="center"/>
          </w:tcPr>
          <w:p>
            <w:pPr>
              <w:pStyle w:val="40"/>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等效连续A声级Leq(A)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exact"/>
          <w:jc w:val="center"/>
        </w:trPr>
        <w:tc>
          <w:tcPr>
            <w:tcW w:w="1206" w:type="dxa"/>
            <w:vMerge w:val="continue"/>
            <w:vAlign w:val="center"/>
          </w:tcPr>
          <w:p>
            <w:pPr>
              <w:pStyle w:val="40"/>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1710" w:type="dxa"/>
            <w:vAlign w:val="center"/>
          </w:tcPr>
          <w:p>
            <w:pPr>
              <w:pStyle w:val="40"/>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影响预测因子</w:t>
            </w:r>
          </w:p>
        </w:tc>
        <w:tc>
          <w:tcPr>
            <w:tcW w:w="6847" w:type="dxa"/>
            <w:vAlign w:val="center"/>
          </w:tcPr>
          <w:p>
            <w:pPr>
              <w:pStyle w:val="40"/>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等效连续A声级Leq(A)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exact"/>
          <w:jc w:val="center"/>
        </w:trPr>
        <w:tc>
          <w:tcPr>
            <w:tcW w:w="1206" w:type="dxa"/>
            <w:vAlign w:val="center"/>
          </w:tcPr>
          <w:p>
            <w:pPr>
              <w:pStyle w:val="40"/>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土壤</w:t>
            </w:r>
          </w:p>
        </w:tc>
        <w:tc>
          <w:tcPr>
            <w:tcW w:w="1710" w:type="dxa"/>
            <w:vAlign w:val="center"/>
          </w:tcPr>
          <w:p>
            <w:pPr>
              <w:pStyle w:val="40"/>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现状评价因子</w:t>
            </w:r>
          </w:p>
        </w:tc>
        <w:tc>
          <w:tcPr>
            <w:tcW w:w="6847" w:type="dxa"/>
            <w:vAlign w:val="center"/>
          </w:tcPr>
          <w:p>
            <w:pPr>
              <w:pStyle w:val="40"/>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lang w:val="en-US"/>
              </w:rPr>
            </w:pPr>
            <w:r>
              <w:rPr>
                <w:rFonts w:hint="eastAsia" w:cs="Times New Roman"/>
                <w:color w:val="auto"/>
                <w:sz w:val="21"/>
                <w:szCs w:val="21"/>
                <w:u w:val="single"/>
                <w:lang w:val="en-US" w:eastAsia="zh-CN"/>
              </w:rPr>
              <w:t>P</w:t>
            </w:r>
            <w:r>
              <w:rPr>
                <w:rFonts w:hint="default" w:ascii="Times New Roman" w:hAnsi="Times New Roman" w:cs="Times New Roman"/>
                <w:color w:val="auto"/>
                <w:sz w:val="21"/>
                <w:szCs w:val="21"/>
                <w:u w:val="single"/>
                <w:lang w:val="en-US" w:eastAsia="zh-CN"/>
              </w:rPr>
              <w:t>H、</w:t>
            </w:r>
            <w:r>
              <w:rPr>
                <w:rFonts w:hint="default" w:ascii="Times New Roman" w:hAnsi="Times New Roman" w:cs="Times New Roman"/>
                <w:color w:val="auto"/>
                <w:sz w:val="21"/>
                <w:szCs w:val="21"/>
                <w:u w:val="single"/>
                <w:lang w:val="zh-CN" w:eastAsia="zh-CN"/>
              </w:rPr>
              <w:t>GB36600-201</w:t>
            </w:r>
            <w:r>
              <w:rPr>
                <w:rFonts w:hint="default" w:ascii="Times New Roman" w:hAnsi="Times New Roman" w:cs="Times New Roman"/>
                <w:color w:val="auto"/>
                <w:sz w:val="21"/>
                <w:szCs w:val="21"/>
                <w:u w:val="single"/>
                <w:lang w:val="en-US" w:eastAsia="zh-CN"/>
              </w:rPr>
              <w:t>8</w:t>
            </w:r>
            <w:r>
              <w:rPr>
                <w:rFonts w:hint="default" w:ascii="Times New Roman" w:hAnsi="Times New Roman" w:cs="Times New Roman"/>
                <w:color w:val="auto"/>
                <w:sz w:val="21"/>
                <w:szCs w:val="21"/>
                <w:u w:val="single"/>
                <w:lang w:val="zh-CN" w:eastAsia="zh-CN"/>
              </w:rPr>
              <w:t>中</w:t>
            </w:r>
            <w:r>
              <w:rPr>
                <w:rFonts w:hint="default" w:ascii="Times New Roman" w:hAnsi="Times New Roman" w:cs="Times New Roman"/>
                <w:color w:val="auto"/>
                <w:sz w:val="21"/>
                <w:szCs w:val="21"/>
                <w:u w:val="single"/>
                <w:lang w:val="en-US" w:eastAsia="zh-CN"/>
              </w:rPr>
              <w:t>重金属砷、镉、六价铬、铜、铅、汞、镍、锌、总铬8项、</w:t>
            </w:r>
            <w:r>
              <w:rPr>
                <w:rFonts w:hint="default" w:ascii="Times New Roman" w:hAnsi="Times New Roman" w:cs="Times New Roman"/>
                <w:color w:val="auto"/>
                <w:sz w:val="21"/>
                <w:szCs w:val="21"/>
                <w:u w:val="single"/>
                <w:lang w:val="zh-CN" w:eastAsia="zh-CN"/>
              </w:rPr>
              <w:t>挥发性有机物</w:t>
            </w:r>
            <w:r>
              <w:rPr>
                <w:rFonts w:hint="default" w:ascii="Times New Roman" w:hAnsi="Times New Roman" w:cs="Times New Roman"/>
                <w:color w:val="auto"/>
                <w:sz w:val="21"/>
                <w:szCs w:val="21"/>
                <w:u w:val="single"/>
                <w:lang w:val="en-US" w:eastAsia="zh-CN"/>
              </w:rPr>
              <w:t>27项、</w:t>
            </w:r>
            <w:r>
              <w:rPr>
                <w:rFonts w:hint="default" w:ascii="Times New Roman" w:hAnsi="Times New Roman" w:cs="Times New Roman"/>
                <w:color w:val="auto"/>
                <w:sz w:val="21"/>
                <w:szCs w:val="21"/>
                <w:u w:val="single"/>
                <w:lang w:val="zh-CN" w:eastAsia="zh-CN"/>
              </w:rPr>
              <w:t>半挥发性有机物</w:t>
            </w:r>
            <w:r>
              <w:rPr>
                <w:rFonts w:hint="default" w:ascii="Times New Roman" w:hAnsi="Times New Roman" w:cs="Times New Roman"/>
                <w:color w:val="auto"/>
                <w:sz w:val="21"/>
                <w:szCs w:val="21"/>
                <w:u w:val="single"/>
                <w:lang w:val="en-US" w:eastAsia="zh-CN"/>
              </w:rPr>
              <w:t>11项</w:t>
            </w:r>
          </w:p>
        </w:tc>
      </w:tr>
    </w:tbl>
    <w:p>
      <w:pPr>
        <w:pStyle w:val="4"/>
        <w:keepNext w:val="0"/>
        <w:keepLines w:val="0"/>
        <w:pageBreakBefore w:val="0"/>
        <w:widowControl w:val="0"/>
        <w:kinsoku/>
        <w:wordWrap/>
        <w:overflowPunct/>
        <w:topLinePunct w:val="0"/>
        <w:autoSpaceDE/>
        <w:autoSpaceDN/>
        <w:bidi w:val="0"/>
        <w:adjustRightInd w:val="0"/>
        <w:snapToGrid w:val="0"/>
        <w:spacing w:beforeLines="0" w:afterLines="0"/>
        <w:textAlignment w:val="auto"/>
        <w:outlineLvl w:val="1"/>
        <w:rPr>
          <w:rFonts w:hint="default" w:ascii="Times New Roman" w:hAnsi="Times New Roman" w:cs="Times New Roman"/>
          <w:color w:val="auto"/>
        </w:rPr>
      </w:pPr>
      <w:bookmarkStart w:id="121" w:name="_Toc9087"/>
      <w:bookmarkStart w:id="122" w:name="_Toc19948"/>
      <w:bookmarkStart w:id="123" w:name="_Toc5855"/>
      <w:bookmarkStart w:id="124" w:name="_Toc25200"/>
      <w:bookmarkStart w:id="125" w:name="_Toc31109"/>
      <w:bookmarkStart w:id="126" w:name="_Toc10140"/>
      <w:bookmarkStart w:id="127" w:name="_Toc15400"/>
      <w:bookmarkStart w:id="128" w:name="_Toc304578435"/>
      <w:bookmarkStart w:id="129" w:name="_Toc11603"/>
      <w:bookmarkStart w:id="130" w:name="_Toc6518"/>
      <w:bookmarkStart w:id="131" w:name="_Toc287294857"/>
      <w:bookmarkStart w:id="132" w:name="_Toc153093128"/>
      <w:r>
        <w:rPr>
          <w:rFonts w:hint="default" w:ascii="Times New Roman" w:hAnsi="Times New Roman" w:cs="Times New Roman"/>
          <w:color w:val="auto"/>
        </w:rPr>
        <w:t>环境功能区划</w:t>
      </w:r>
      <w:bookmarkEnd w:id="121"/>
      <w:bookmarkEnd w:id="122"/>
      <w:bookmarkEnd w:id="123"/>
      <w:bookmarkEnd w:id="124"/>
    </w:p>
    <w:bookmarkEnd w:id="125"/>
    <w:bookmarkEnd w:id="126"/>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rPr>
      </w:pPr>
      <w:bookmarkStart w:id="133" w:name="_Toc27732"/>
      <w:bookmarkStart w:id="134" w:name="_Toc220122763"/>
      <w:r>
        <w:rPr>
          <w:rFonts w:hint="default" w:ascii="Times New Roman" w:hAnsi="Times New Roman" w:cs="Times New Roman"/>
          <w:color w:val="auto"/>
        </w:rPr>
        <w:t>地表水环境功能区划</w:t>
      </w:r>
      <w:bookmarkEnd w:id="133"/>
      <w:bookmarkEnd w:id="134"/>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bookmarkStart w:id="135" w:name="_Toc220122764"/>
      <w:r>
        <w:rPr>
          <w:rFonts w:hint="default" w:ascii="Times New Roman" w:hAnsi="Times New Roman" w:cs="Times New Roman"/>
          <w:color w:val="auto"/>
        </w:rPr>
        <w:t>项目位于</w:t>
      </w:r>
      <w:r>
        <w:rPr>
          <w:rFonts w:hint="default" w:ascii="Times New Roman" w:hAnsi="Times New Roman" w:cs="Times New Roman"/>
          <w:color w:val="auto"/>
          <w:lang w:eastAsia="zh-CN"/>
        </w:rPr>
        <w:t>岳阳市云溪区岳化大道392号</w:t>
      </w:r>
      <w:r>
        <w:rPr>
          <w:rFonts w:hint="default" w:ascii="Times New Roman" w:hAnsi="Times New Roman" w:cs="Times New Roman"/>
          <w:color w:val="auto"/>
        </w:rPr>
        <w:t>，</w:t>
      </w:r>
      <w:r>
        <w:rPr>
          <w:rFonts w:hint="default" w:ascii="Times New Roman" w:hAnsi="Times New Roman" w:cs="Times New Roman"/>
          <w:color w:val="auto"/>
          <w:lang w:eastAsia="zh-CN"/>
        </w:rPr>
        <w:t>岳阳</w:t>
      </w:r>
      <w:r>
        <w:rPr>
          <w:rFonts w:hint="default" w:ascii="Times New Roman" w:hAnsi="Times New Roman" w:cs="Times New Roman"/>
          <w:color w:val="auto"/>
        </w:rPr>
        <w:t>鑫达</w:t>
      </w:r>
      <w:r>
        <w:rPr>
          <w:rFonts w:hint="default" w:ascii="Times New Roman" w:hAnsi="Times New Roman" w:cs="Times New Roman"/>
          <w:color w:val="auto"/>
          <w:lang w:eastAsia="zh-CN"/>
        </w:rPr>
        <w:t>实业</w:t>
      </w:r>
      <w:r>
        <w:rPr>
          <w:rFonts w:hint="default" w:ascii="Times New Roman" w:hAnsi="Times New Roman" w:cs="Times New Roman"/>
          <w:color w:val="auto"/>
        </w:rPr>
        <w:t>公司现有厂房内，其污水经巴陵石化现有的污水处理场处理达标后排放至长江，根据《岳阳市水环境功能区划》的划分：长江塔市驿（湖北省流入湖南省断面）至黄盖湖（湖南省流入湖北省断面）水域功能区类型为一般渔业用水区，执行《地表水环境质量标准》（GB3838-2002）中Ⅲ类水质标准；区内雨水经沟渠排放至</w:t>
      </w:r>
      <w:r>
        <w:rPr>
          <w:rFonts w:hint="default" w:ascii="Times New Roman" w:hAnsi="Times New Roman" w:cs="Times New Roman"/>
          <w:color w:val="auto"/>
          <w:lang w:eastAsia="zh-CN"/>
        </w:rPr>
        <w:t>松杨湖</w:t>
      </w:r>
      <w:r>
        <w:rPr>
          <w:rFonts w:hint="default" w:ascii="Times New Roman" w:hAnsi="Times New Roman" w:cs="Times New Roman"/>
          <w:color w:val="auto"/>
        </w:rPr>
        <w:t>，其功能区类型为景观娱乐用水域，执行《地表水环境质量标准》（GB3838-2002）中Ⅳ类水质标准。</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rPr>
      </w:pPr>
      <w:bookmarkStart w:id="136" w:name="_Toc11479"/>
      <w:r>
        <w:rPr>
          <w:rFonts w:hint="default" w:ascii="Times New Roman" w:hAnsi="Times New Roman" w:cs="Times New Roman"/>
          <w:color w:val="auto"/>
        </w:rPr>
        <w:t>地下水环境功能区划</w:t>
      </w:r>
      <w:bookmarkEnd w:id="136"/>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根据《地下水质量标准》（GB/T14848-2017）中关于地下水分类可知，</w:t>
      </w:r>
      <w:r>
        <w:rPr>
          <w:rFonts w:hint="default" w:ascii="Times New Roman" w:hAnsi="Times New Roman" w:cs="Times New Roman"/>
          <w:color w:val="auto"/>
          <w:lang w:eastAsia="zh-CN"/>
        </w:rPr>
        <w:t>“</w:t>
      </w:r>
      <w:r>
        <w:rPr>
          <w:rFonts w:hint="default" w:ascii="Times New Roman" w:hAnsi="Times New Roman" w:cs="Times New Roman"/>
          <w:color w:val="auto"/>
        </w:rPr>
        <w:t>地下水化学组分含量中等，以GB5749-2006为依据，主要适用于集中式生活饮用水水源及工农业水</w:t>
      </w:r>
      <w:r>
        <w:rPr>
          <w:rFonts w:hint="default" w:ascii="Times New Roman" w:hAnsi="Times New Roman" w:cs="Times New Roman"/>
          <w:color w:val="auto"/>
          <w:lang w:eastAsia="zh-CN"/>
        </w:rPr>
        <w:t>”</w:t>
      </w:r>
      <w:r>
        <w:rPr>
          <w:rFonts w:hint="default" w:ascii="Times New Roman" w:hAnsi="Times New Roman" w:cs="Times New Roman"/>
          <w:color w:val="auto"/>
        </w:rPr>
        <w:t>划分为Ⅲ类地下水，因此本项目所在区域属于III类地下水环境功能区，地下水水质执行《地下水质量标准》（GB/T14848-2017）中的Ⅲ类标准。</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rPr>
      </w:pPr>
      <w:bookmarkStart w:id="137" w:name="_Toc10105"/>
      <w:r>
        <w:rPr>
          <w:rFonts w:hint="default" w:ascii="Times New Roman" w:hAnsi="Times New Roman" w:cs="Times New Roman"/>
          <w:color w:val="auto"/>
        </w:rPr>
        <w:t>大气环境功能区划</w:t>
      </w:r>
      <w:bookmarkEnd w:id="135"/>
      <w:bookmarkEnd w:id="137"/>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位于湖南岳阳绿色化工产业园云溪片区-巴陵石化公司工业区内，根据《环境空气质量标准》（GB3095-2012）及其修改单中环境空气功能区分类以及《岳阳市环境空气质量功能区划分》的相关规定，本项目所在区域属于二类环境空气功能区，环境空气执行《环境空气质量标准》（GB3095-2012）及其修改单中的二级标准。</w:t>
      </w:r>
      <w:bookmarkStart w:id="138" w:name="_Toc220122765"/>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rPr>
      </w:pPr>
      <w:bookmarkStart w:id="139" w:name="_Toc7040"/>
      <w:r>
        <w:rPr>
          <w:rFonts w:hint="default" w:ascii="Times New Roman" w:hAnsi="Times New Roman" w:cs="Times New Roman"/>
          <w:color w:val="auto"/>
        </w:rPr>
        <w:t>声环境功能区划</w:t>
      </w:r>
      <w:bookmarkEnd w:id="138"/>
      <w:bookmarkEnd w:id="139"/>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项目位于湖南岳阳绿色化工产业园云溪片区，根据《声环境质量标准》（GB3096-2008）声功能区分类，本区域属3类区，执行《声环境质量标准》（GB3096-2008）中3类环境噪声限值。</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rPr>
      </w:pPr>
      <w:bookmarkStart w:id="140" w:name="_Toc220122766"/>
      <w:bookmarkStart w:id="141" w:name="_Toc2642"/>
      <w:r>
        <w:rPr>
          <w:rFonts w:hint="default" w:ascii="Times New Roman" w:hAnsi="Times New Roman" w:cs="Times New Roman"/>
          <w:color w:val="auto"/>
        </w:rPr>
        <w:t>项目所在区域环境功能属性汇总</w:t>
      </w:r>
      <w:bookmarkEnd w:id="140"/>
      <w:bookmarkEnd w:id="141"/>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项目所在区域的功能属性见表</w:t>
      </w:r>
      <w:r>
        <w:rPr>
          <w:rFonts w:hint="default" w:ascii="Times New Roman" w:hAnsi="Times New Roman" w:cs="Times New Roman"/>
          <w:color w:val="auto"/>
          <w:lang w:val="en-US" w:eastAsia="zh-CN"/>
        </w:rPr>
        <w:t xml:space="preserve"> 2-3</w:t>
      </w:r>
      <w:r>
        <w:rPr>
          <w:rFonts w:hint="default" w:ascii="Times New Roman" w:hAnsi="Times New Roman" w:cs="Times New Roman"/>
          <w:color w:val="auto"/>
        </w:rPr>
        <w:t>。</w:t>
      </w: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 xml:space="preserve">-3 </w:t>
      </w:r>
      <w:r>
        <w:rPr>
          <w:rFonts w:hint="default" w:ascii="Times New Roman" w:hAnsi="Times New Roman" w:cs="Times New Roman"/>
          <w:color w:val="auto"/>
        </w:rPr>
        <w:t>项目拟选址环境功能属性</w:t>
      </w:r>
    </w:p>
    <w:tbl>
      <w:tblPr>
        <w:tblStyle w:val="24"/>
        <w:tblW w:w="9287" w:type="dxa"/>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3256"/>
        <w:gridCol w:w="3007"/>
        <w:gridCol w:w="799"/>
        <w:gridCol w:w="1452"/>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7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编号</w:t>
            </w:r>
          </w:p>
        </w:tc>
        <w:tc>
          <w:tcPr>
            <w:tcW w:w="325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5258" w:type="dxa"/>
            <w:gridSpan w:val="3"/>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功能属性及执行标准</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73"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256"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水环境功能区</w:t>
            </w:r>
          </w:p>
        </w:tc>
        <w:tc>
          <w:tcPr>
            <w:tcW w:w="3007" w:type="dxa"/>
            <w:tcBorders>
              <w:bottom w:val="single" w:color="auto"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松杨湖</w:t>
            </w:r>
          </w:p>
        </w:tc>
        <w:tc>
          <w:tcPr>
            <w:tcW w:w="799" w:type="dxa"/>
            <w:tcBorders>
              <w:bottom w:val="single" w:color="auto"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景观</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用水</w:t>
            </w:r>
          </w:p>
        </w:tc>
        <w:tc>
          <w:tcPr>
            <w:tcW w:w="1452" w:type="dxa"/>
            <w:tcBorders>
              <w:bottom w:val="single" w:color="auto"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Ⅳ类标准</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73"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3256"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3007" w:type="dxa"/>
            <w:tcBorders>
              <w:bottom w:val="single" w:color="auto"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长江：长江塔市驿（湖北省流入湖南省断面）至黄盖湖（湖南省流入湖北省断面）</w:t>
            </w:r>
          </w:p>
        </w:tc>
        <w:tc>
          <w:tcPr>
            <w:tcW w:w="799" w:type="dxa"/>
            <w:tcBorders>
              <w:bottom w:val="single" w:color="auto"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渔业</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用水</w:t>
            </w:r>
          </w:p>
        </w:tc>
        <w:tc>
          <w:tcPr>
            <w:tcW w:w="1452" w:type="dxa"/>
            <w:tcBorders>
              <w:bottom w:val="single" w:color="auto"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3 \* ROMAN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III</w:t>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类标准</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73"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3256"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3007" w:type="dxa"/>
            <w:tcBorders>
              <w:bottom w:val="single" w:color="auto"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w:t>
            </w:r>
          </w:p>
        </w:tc>
        <w:tc>
          <w:tcPr>
            <w:tcW w:w="799" w:type="dxa"/>
            <w:tcBorders>
              <w:bottom w:val="single" w:color="auto"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w:t>
            </w:r>
          </w:p>
        </w:tc>
        <w:tc>
          <w:tcPr>
            <w:tcW w:w="1452" w:type="dxa"/>
            <w:tcBorders>
              <w:bottom w:val="single" w:color="auto"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3 \* ROMAN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III</w:t>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类标准</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7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325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环境空气质量功能区</w:t>
            </w:r>
          </w:p>
        </w:tc>
        <w:tc>
          <w:tcPr>
            <w:tcW w:w="5258" w:type="dxa"/>
            <w:gridSpan w:val="3"/>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二类区，环境空气质量执行《环境空气质量标准》（GB3095-2012）的二级标准</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7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325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声环境功能区</w:t>
            </w:r>
          </w:p>
        </w:tc>
        <w:tc>
          <w:tcPr>
            <w:tcW w:w="5258" w:type="dxa"/>
            <w:gridSpan w:val="3"/>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3类声环境功能区，执行《声环境质量标准》（GB3096-2008）3类环境噪声限值</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7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325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是否基本农田保护区</w:t>
            </w:r>
          </w:p>
        </w:tc>
        <w:tc>
          <w:tcPr>
            <w:tcW w:w="5258" w:type="dxa"/>
            <w:gridSpan w:val="3"/>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7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325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是否森林公园</w:t>
            </w:r>
          </w:p>
        </w:tc>
        <w:tc>
          <w:tcPr>
            <w:tcW w:w="5258" w:type="dxa"/>
            <w:gridSpan w:val="3"/>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7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325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是否生态功能保护区</w:t>
            </w:r>
          </w:p>
        </w:tc>
        <w:tc>
          <w:tcPr>
            <w:tcW w:w="5258" w:type="dxa"/>
            <w:gridSpan w:val="3"/>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7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325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是否水土流失重点防治区</w:t>
            </w:r>
          </w:p>
        </w:tc>
        <w:tc>
          <w:tcPr>
            <w:tcW w:w="5258" w:type="dxa"/>
            <w:gridSpan w:val="3"/>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7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325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是否人口密集区</w:t>
            </w:r>
          </w:p>
        </w:tc>
        <w:tc>
          <w:tcPr>
            <w:tcW w:w="5258" w:type="dxa"/>
            <w:gridSpan w:val="3"/>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7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325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是否重点文物保护单位</w:t>
            </w:r>
          </w:p>
        </w:tc>
        <w:tc>
          <w:tcPr>
            <w:tcW w:w="5258" w:type="dxa"/>
            <w:gridSpan w:val="3"/>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7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325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是否三河、三湖、两控区</w:t>
            </w:r>
          </w:p>
        </w:tc>
        <w:tc>
          <w:tcPr>
            <w:tcW w:w="5258" w:type="dxa"/>
            <w:gridSpan w:val="3"/>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是（两控区）</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7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325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是否水库库区</w:t>
            </w:r>
          </w:p>
        </w:tc>
        <w:tc>
          <w:tcPr>
            <w:tcW w:w="5258" w:type="dxa"/>
            <w:gridSpan w:val="3"/>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7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325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是否污水处理厂集水范围</w:t>
            </w:r>
          </w:p>
        </w:tc>
        <w:tc>
          <w:tcPr>
            <w:tcW w:w="5258" w:type="dxa"/>
            <w:gridSpan w:val="3"/>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是（巴陵分公司污水处理厂）</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7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325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是否属于生态敏感与脆弱区</w:t>
            </w:r>
          </w:p>
        </w:tc>
        <w:tc>
          <w:tcPr>
            <w:tcW w:w="5258" w:type="dxa"/>
            <w:gridSpan w:val="3"/>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bl>
    <w:p>
      <w:pPr>
        <w:pStyle w:val="4"/>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outlineLvl w:val="1"/>
        <w:rPr>
          <w:rFonts w:hint="default" w:ascii="Times New Roman" w:hAnsi="Times New Roman" w:cs="Times New Roman"/>
          <w:color w:val="auto"/>
        </w:rPr>
      </w:pPr>
      <w:bookmarkStart w:id="142" w:name="_Toc18956"/>
      <w:bookmarkStart w:id="143" w:name="_Toc14617"/>
      <w:r>
        <w:rPr>
          <w:rFonts w:hint="default" w:ascii="Times New Roman" w:hAnsi="Times New Roman" w:cs="Times New Roman"/>
          <w:color w:val="auto"/>
        </w:rPr>
        <w:t>评价标准</w:t>
      </w:r>
      <w:bookmarkEnd w:id="127"/>
      <w:bookmarkEnd w:id="128"/>
      <w:bookmarkEnd w:id="129"/>
      <w:bookmarkEnd w:id="130"/>
      <w:bookmarkEnd w:id="131"/>
      <w:bookmarkEnd w:id="132"/>
      <w:bookmarkEnd w:id="142"/>
      <w:bookmarkEnd w:id="143"/>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根据岳阳市环境保护局云溪区分局对该项目环评执行标准</w:t>
      </w:r>
      <w:r>
        <w:rPr>
          <w:rFonts w:hint="default" w:ascii="Times New Roman" w:hAnsi="Times New Roman" w:cs="Times New Roman"/>
          <w:color w:val="auto"/>
          <w:lang w:eastAsia="zh-CN"/>
        </w:rPr>
        <w:t>函</w:t>
      </w:r>
      <w:r>
        <w:rPr>
          <w:rFonts w:hint="default" w:ascii="Times New Roman" w:hAnsi="Times New Roman" w:cs="Times New Roman"/>
          <w:color w:val="auto"/>
        </w:rPr>
        <w:t>，确定本次环评各环境要素执行的环境质量标准和污染物排放标准如下：</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outlineLvl w:val="2"/>
        <w:rPr>
          <w:rFonts w:hint="default" w:ascii="Times New Roman" w:hAnsi="Times New Roman" w:cs="Times New Roman"/>
          <w:color w:val="auto"/>
        </w:rPr>
      </w:pPr>
      <w:bookmarkStart w:id="144" w:name="_Toc26429"/>
      <w:r>
        <w:rPr>
          <w:rFonts w:hint="default" w:ascii="Times New Roman" w:hAnsi="Times New Roman" w:cs="Times New Roman"/>
          <w:color w:val="auto"/>
        </w:rPr>
        <w:t>环境质量标准</w:t>
      </w:r>
      <w:bookmarkEnd w:id="144"/>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（1）环境空气：常规因子执行《环境空气质量标准》（GB3095-2012）中的二级标准；非甲烷总烃参照执行中国环境科学出版社出版的国家环境保护局科技标准司的《大气污染物综合排放标准详解》第244页</w:t>
      </w:r>
      <w:r>
        <w:rPr>
          <w:rFonts w:hint="default" w:ascii="Times New Roman" w:hAnsi="Times New Roman" w:cs="Times New Roman"/>
          <w:color w:val="auto"/>
          <w:lang w:eastAsia="zh-CN"/>
        </w:rPr>
        <w:t>规定中</w:t>
      </w:r>
      <w:r>
        <w:rPr>
          <w:rFonts w:hint="default" w:ascii="Times New Roman" w:hAnsi="Times New Roman" w:cs="Times New Roman"/>
          <w:color w:val="auto"/>
        </w:rPr>
        <w:t>标准；</w:t>
      </w:r>
      <w:r>
        <w:rPr>
          <w:rFonts w:hint="default" w:ascii="Times New Roman" w:hAnsi="Times New Roman" w:cs="Times New Roman"/>
          <w:color w:val="auto"/>
          <w:lang w:eastAsia="zh-CN"/>
        </w:rPr>
        <w:t>VOCs</w:t>
      </w:r>
      <w:r>
        <w:rPr>
          <w:rFonts w:hint="default" w:ascii="Times New Roman" w:hAnsi="Times New Roman" w:cs="Times New Roman"/>
          <w:color w:val="auto"/>
        </w:rPr>
        <w:t>参照《环境影响评价技术导则 大气环境》（HJ2.2-2018）</w:t>
      </w:r>
      <w:r>
        <w:rPr>
          <w:rFonts w:hint="default" w:ascii="Times New Roman" w:hAnsi="Times New Roman" w:cs="Times New Roman"/>
          <w:color w:val="auto"/>
          <w:lang w:eastAsia="zh-CN"/>
        </w:rPr>
        <w:t>标准</w:t>
      </w:r>
      <w:r>
        <w:rPr>
          <w:rFonts w:hint="default" w:ascii="Times New Roman" w:hAnsi="Times New Roman" w:cs="Times New Roman"/>
          <w:color w:val="auto"/>
        </w:rPr>
        <w:t>执行，具体标准值见表</w:t>
      </w:r>
      <w:r>
        <w:rPr>
          <w:rFonts w:hint="default" w:ascii="Times New Roman" w:hAnsi="Times New Roman" w:cs="Times New Roman"/>
          <w:color w:val="auto"/>
          <w:lang w:val="en-US" w:eastAsia="zh-CN"/>
        </w:rPr>
        <w:t xml:space="preserve"> 2-4</w:t>
      </w:r>
      <w:r>
        <w:rPr>
          <w:rFonts w:hint="default" w:ascii="Times New Roman" w:hAnsi="Times New Roman" w:cs="Times New Roman"/>
          <w:color w:val="auto"/>
        </w:rPr>
        <w:t>。</w:t>
      </w: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 xml:space="preserve">-4  </w:t>
      </w:r>
      <w:r>
        <w:rPr>
          <w:rFonts w:hint="default" w:ascii="Times New Roman" w:hAnsi="Times New Roman" w:cs="Times New Roman"/>
          <w:color w:val="auto"/>
        </w:rPr>
        <w:t>环境空气质量标准</w:t>
      </w:r>
    </w:p>
    <w:tbl>
      <w:tblPr>
        <w:tblStyle w:val="24"/>
        <w:tblpPr w:leftFromText="180" w:rightFromText="180" w:vertAnchor="text" w:tblpXSpec="center" w:tblpY="1"/>
        <w:tblOverlap w:val="never"/>
        <w:tblW w:w="928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681"/>
        <w:gridCol w:w="1408"/>
        <w:gridCol w:w="1560"/>
        <w:gridCol w:w="463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6" w:hRule="atLeast"/>
          <w:jc w:val="center"/>
        </w:trPr>
        <w:tc>
          <w:tcPr>
            <w:tcW w:w="1681" w:type="dxa"/>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污染物名称</w:t>
            </w:r>
          </w:p>
        </w:tc>
        <w:tc>
          <w:tcPr>
            <w:tcW w:w="2968" w:type="dxa"/>
            <w:gridSpan w:val="2"/>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w:t>
            </w:r>
          </w:p>
        </w:tc>
        <w:tc>
          <w:tcPr>
            <w:tcW w:w="4638" w:type="dxa"/>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选用标准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6" w:hRule="atLeast"/>
          <w:jc w:val="center"/>
        </w:trPr>
        <w:tc>
          <w:tcPr>
            <w:tcW w:w="1681" w:type="dxa"/>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SO2</w:t>
            </w:r>
          </w:p>
        </w:tc>
        <w:tc>
          <w:tcPr>
            <w:tcW w:w="1408" w:type="dxa"/>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日平均</w:t>
            </w:r>
          </w:p>
        </w:tc>
        <w:tc>
          <w:tcPr>
            <w:tcW w:w="1560" w:type="dxa"/>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150（ug/m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4638" w:type="dxa"/>
            <w:vMerge w:val="restart"/>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《环境空气质量标准》（GB3095-2012）</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中二级标准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6" w:hRule="atLeast"/>
          <w:jc w:val="center"/>
        </w:trPr>
        <w:tc>
          <w:tcPr>
            <w:tcW w:w="1681" w:type="dxa"/>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PM10</w:t>
            </w:r>
          </w:p>
        </w:tc>
        <w:tc>
          <w:tcPr>
            <w:tcW w:w="1408" w:type="dxa"/>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GB"/>
              </w:rPr>
              <w:t>日平均</w:t>
            </w:r>
          </w:p>
        </w:tc>
        <w:tc>
          <w:tcPr>
            <w:tcW w:w="1560" w:type="dxa"/>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150（ug/m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4638" w:type="dxa"/>
            <w:vMerge w:val="continue"/>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6" w:hRule="atLeast"/>
          <w:jc w:val="center"/>
        </w:trPr>
        <w:tc>
          <w:tcPr>
            <w:tcW w:w="1681" w:type="dxa"/>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PM2.5</w:t>
            </w:r>
          </w:p>
        </w:tc>
        <w:tc>
          <w:tcPr>
            <w:tcW w:w="1408" w:type="dxa"/>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GB"/>
              </w:rPr>
              <w:t>日平均</w:t>
            </w:r>
          </w:p>
        </w:tc>
        <w:tc>
          <w:tcPr>
            <w:tcW w:w="1560" w:type="dxa"/>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75（ug/m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4638" w:type="dxa"/>
            <w:vMerge w:val="continue"/>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6" w:hRule="atLeast"/>
          <w:jc w:val="center"/>
        </w:trPr>
        <w:tc>
          <w:tcPr>
            <w:tcW w:w="1681" w:type="dxa"/>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TSP</w:t>
            </w:r>
          </w:p>
        </w:tc>
        <w:tc>
          <w:tcPr>
            <w:tcW w:w="1408" w:type="dxa"/>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GB"/>
              </w:rPr>
              <w:t>日平均</w:t>
            </w:r>
          </w:p>
        </w:tc>
        <w:tc>
          <w:tcPr>
            <w:tcW w:w="1560" w:type="dxa"/>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300（ug/m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4638" w:type="dxa"/>
            <w:vMerge w:val="continue"/>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6" w:hRule="atLeast"/>
          <w:jc w:val="center"/>
        </w:trPr>
        <w:tc>
          <w:tcPr>
            <w:tcW w:w="1681" w:type="dxa"/>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NO2</w:t>
            </w:r>
          </w:p>
        </w:tc>
        <w:tc>
          <w:tcPr>
            <w:tcW w:w="1408" w:type="dxa"/>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GB"/>
              </w:rPr>
            </w:pPr>
            <w:r>
              <w:rPr>
                <w:rFonts w:hint="default" w:ascii="Times New Roman" w:hAnsi="Times New Roman" w:cs="Times New Roman"/>
                <w:color w:val="auto"/>
                <w:sz w:val="21"/>
                <w:szCs w:val="21"/>
                <w:lang w:val="en-GB"/>
              </w:rPr>
              <w:t>日平均</w:t>
            </w:r>
          </w:p>
        </w:tc>
        <w:tc>
          <w:tcPr>
            <w:tcW w:w="1560" w:type="dxa"/>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80（ug/m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4638" w:type="dxa"/>
            <w:vMerge w:val="continue"/>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6" w:hRule="atLeast"/>
          <w:jc w:val="center"/>
        </w:trPr>
        <w:tc>
          <w:tcPr>
            <w:tcW w:w="1681" w:type="dxa"/>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w:t>
            </w:r>
          </w:p>
        </w:tc>
        <w:tc>
          <w:tcPr>
            <w:tcW w:w="1408" w:type="dxa"/>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GB"/>
              </w:rPr>
            </w:pPr>
            <w:r>
              <w:rPr>
                <w:rFonts w:hint="default" w:ascii="Times New Roman" w:hAnsi="Times New Roman" w:cs="Times New Roman"/>
                <w:color w:val="auto"/>
                <w:sz w:val="21"/>
                <w:szCs w:val="21"/>
                <w:lang w:val="en-GB"/>
              </w:rPr>
              <w:t>日平均</w:t>
            </w:r>
          </w:p>
        </w:tc>
        <w:tc>
          <w:tcPr>
            <w:tcW w:w="1560" w:type="dxa"/>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4638" w:type="dxa"/>
            <w:vMerge w:val="continue"/>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6" w:hRule="atLeast"/>
          <w:jc w:val="center"/>
        </w:trPr>
        <w:tc>
          <w:tcPr>
            <w:tcW w:w="1681" w:type="dxa"/>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臭氧</w:t>
            </w:r>
          </w:p>
        </w:tc>
        <w:tc>
          <w:tcPr>
            <w:tcW w:w="1408" w:type="dxa"/>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GB"/>
              </w:rPr>
            </w:pPr>
            <w:r>
              <w:rPr>
                <w:rFonts w:hint="default" w:ascii="Times New Roman" w:hAnsi="Times New Roman" w:cs="Times New Roman"/>
                <w:color w:val="auto"/>
                <w:sz w:val="21"/>
                <w:szCs w:val="21"/>
              </w:rPr>
              <w:t>8小时值</w:t>
            </w:r>
          </w:p>
        </w:tc>
        <w:tc>
          <w:tcPr>
            <w:tcW w:w="1560" w:type="dxa"/>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160（ug/m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4638" w:type="dxa"/>
            <w:vMerge w:val="continue"/>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6" w:hRule="atLeast"/>
          <w:jc w:val="center"/>
        </w:trPr>
        <w:tc>
          <w:tcPr>
            <w:tcW w:w="1681" w:type="dxa"/>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非甲烷总烃</w:t>
            </w:r>
          </w:p>
        </w:tc>
        <w:tc>
          <w:tcPr>
            <w:tcW w:w="1408" w:type="dxa"/>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小时值</w:t>
            </w:r>
          </w:p>
        </w:tc>
        <w:tc>
          <w:tcPr>
            <w:tcW w:w="1560" w:type="dxa"/>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4638" w:type="dxa"/>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《大气污染物综合排放标准详解》第244页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6" w:hRule="atLeast"/>
          <w:jc w:val="center"/>
        </w:trPr>
        <w:tc>
          <w:tcPr>
            <w:tcW w:w="1681" w:type="dxa"/>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VOCs</w:t>
            </w:r>
          </w:p>
        </w:tc>
        <w:tc>
          <w:tcPr>
            <w:tcW w:w="1408" w:type="dxa"/>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8小时值</w:t>
            </w:r>
          </w:p>
        </w:tc>
        <w:tc>
          <w:tcPr>
            <w:tcW w:w="1560" w:type="dxa"/>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4638" w:type="dxa"/>
            <w:shd w:val="clear" w:color="auto" w:fill="auto"/>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《环境影响评价技术导则 大气环境》（HJ2.2-2018）</w:t>
            </w:r>
          </w:p>
        </w:tc>
      </w:tr>
    </w:tbl>
    <w:p>
      <w:pPr>
        <w:pStyle w:val="39"/>
        <w:keepNext w:val="0"/>
        <w:keepLines w:val="0"/>
        <w:pageBreakBefore w:val="0"/>
        <w:widowControl w:val="0"/>
        <w:kinsoku/>
        <w:wordWrap/>
        <w:overflowPunct/>
        <w:topLinePunct w:val="0"/>
        <w:autoSpaceDE/>
        <w:autoSpaceDN/>
        <w:bidi w:val="0"/>
        <w:adjustRightInd/>
        <w:snapToGrid/>
        <w:spacing w:before="157" w:beforeLines="50"/>
        <w:textAlignment w:val="auto"/>
        <w:outlineLvl w:val="9"/>
        <w:rPr>
          <w:rFonts w:hint="default" w:ascii="Times New Roman" w:hAnsi="Times New Roman" w:eastAsia="宋体" w:cs="Times New Roman"/>
          <w:color w:val="auto"/>
          <w:lang w:val="en-US" w:eastAsia="zh-CN"/>
        </w:rPr>
      </w:pPr>
      <w:r>
        <w:rPr>
          <w:rFonts w:hint="default" w:ascii="Times New Roman" w:hAnsi="Times New Roman" w:cs="Times New Roman"/>
          <w:color w:val="auto"/>
        </w:rPr>
        <w:t>（2）地表水环境：</w:t>
      </w:r>
      <w:r>
        <w:rPr>
          <w:rFonts w:hint="default" w:ascii="Times New Roman" w:hAnsi="Times New Roman" w:cs="Times New Roman"/>
          <w:color w:val="auto"/>
          <w:lang w:eastAsia="zh-CN"/>
        </w:rPr>
        <w:t>松杨湖</w:t>
      </w:r>
      <w:r>
        <w:rPr>
          <w:rFonts w:hint="default" w:ascii="Times New Roman" w:hAnsi="Times New Roman" w:cs="Times New Roman"/>
          <w:color w:val="auto"/>
        </w:rPr>
        <w:t>执行《地表水质量标准》（GB3838－2002）Ⅳ类标准，长江塔市驿（湖北省流入湖南省断面）至黄盖湖（湖南省流入湖北省断面）执行（GB3838－2002）Ⅲ类标准。具体标准值见表</w:t>
      </w:r>
      <w:r>
        <w:rPr>
          <w:rFonts w:hint="default" w:ascii="Times New Roman" w:hAnsi="Times New Roman" w:cs="Times New Roman"/>
          <w:color w:val="auto"/>
          <w:lang w:val="en-US" w:eastAsia="zh-CN"/>
        </w:rPr>
        <w:t>2</w:t>
      </w:r>
      <w:r>
        <w:rPr>
          <w:rFonts w:hint="default" w:ascii="Times New Roman" w:hAnsi="Times New Roman" w:cs="Times New Roman"/>
          <w:color w:val="auto"/>
        </w:rPr>
        <w:t>-</w:t>
      </w:r>
      <w:r>
        <w:rPr>
          <w:rFonts w:hint="default" w:ascii="Times New Roman" w:hAnsi="Times New Roman" w:cs="Times New Roman"/>
          <w:color w:val="auto"/>
          <w:lang w:val="en-US" w:eastAsia="zh-CN"/>
        </w:rPr>
        <w:t>5。</w:t>
      </w:r>
    </w:p>
    <w:p>
      <w:pPr>
        <w:pStyle w:val="14"/>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2-5</w:t>
      </w:r>
      <w:r>
        <w:rPr>
          <w:rFonts w:hint="default" w:ascii="Times New Roman" w:hAnsi="Times New Roman" w:cs="Times New Roman"/>
          <w:color w:val="auto"/>
        </w:rPr>
        <w:t xml:space="preserve">   地表水环境质量评价标准    单位：mg/L（pH无量纲）</w:t>
      </w:r>
    </w:p>
    <w:tbl>
      <w:tblPr>
        <w:tblStyle w:val="24"/>
        <w:tblW w:w="910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755"/>
        <w:gridCol w:w="1706"/>
        <w:gridCol w:w="1705"/>
        <w:gridCol w:w="1471"/>
        <w:gridCol w:w="1344"/>
        <w:gridCol w:w="11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33" w:hRule="exact"/>
          <w:jc w:val="center"/>
        </w:trPr>
        <w:tc>
          <w:tcPr>
            <w:tcW w:w="17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170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w:t>
            </w:r>
          </w:p>
        </w:tc>
        <w:tc>
          <w:tcPr>
            <w:tcW w:w="170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CODcr</w:t>
            </w:r>
          </w:p>
        </w:tc>
        <w:tc>
          <w:tcPr>
            <w:tcW w:w="147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氨氮</w:t>
            </w:r>
          </w:p>
        </w:tc>
        <w:tc>
          <w:tcPr>
            <w:tcW w:w="134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TP</w:t>
            </w:r>
          </w:p>
        </w:tc>
        <w:tc>
          <w:tcPr>
            <w:tcW w:w="112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石油类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33" w:hRule="exact"/>
          <w:jc w:val="center"/>
        </w:trPr>
        <w:tc>
          <w:tcPr>
            <w:tcW w:w="17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Ⅲ类</w:t>
            </w:r>
          </w:p>
        </w:tc>
        <w:tc>
          <w:tcPr>
            <w:tcW w:w="170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9</w:t>
            </w:r>
          </w:p>
        </w:tc>
        <w:tc>
          <w:tcPr>
            <w:tcW w:w="170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20</w:t>
            </w:r>
          </w:p>
        </w:tc>
        <w:tc>
          <w:tcPr>
            <w:tcW w:w="147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1.0</w:t>
            </w:r>
          </w:p>
        </w:tc>
        <w:tc>
          <w:tcPr>
            <w:tcW w:w="134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0.2</w:t>
            </w:r>
          </w:p>
        </w:tc>
        <w:tc>
          <w:tcPr>
            <w:tcW w:w="112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33" w:hRule="exact"/>
          <w:jc w:val="center"/>
        </w:trPr>
        <w:tc>
          <w:tcPr>
            <w:tcW w:w="17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Ⅳ类</w:t>
            </w:r>
          </w:p>
        </w:tc>
        <w:tc>
          <w:tcPr>
            <w:tcW w:w="170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9</w:t>
            </w:r>
          </w:p>
        </w:tc>
        <w:tc>
          <w:tcPr>
            <w:tcW w:w="170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30</w:t>
            </w:r>
          </w:p>
        </w:tc>
        <w:tc>
          <w:tcPr>
            <w:tcW w:w="147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1.5</w:t>
            </w:r>
          </w:p>
        </w:tc>
        <w:tc>
          <w:tcPr>
            <w:tcW w:w="134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0.1</w:t>
            </w:r>
          </w:p>
        </w:tc>
        <w:tc>
          <w:tcPr>
            <w:tcW w:w="112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33" w:hRule="exact"/>
          <w:jc w:val="center"/>
        </w:trPr>
        <w:tc>
          <w:tcPr>
            <w:tcW w:w="17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170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BOD5</w:t>
            </w:r>
          </w:p>
        </w:tc>
        <w:tc>
          <w:tcPr>
            <w:tcW w:w="170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高锰酸盐指数</w:t>
            </w:r>
          </w:p>
        </w:tc>
        <w:tc>
          <w:tcPr>
            <w:tcW w:w="147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DO</w:t>
            </w:r>
          </w:p>
        </w:tc>
        <w:tc>
          <w:tcPr>
            <w:tcW w:w="134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硫化物</w:t>
            </w:r>
          </w:p>
        </w:tc>
        <w:tc>
          <w:tcPr>
            <w:tcW w:w="112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挥发酚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33" w:hRule="exact"/>
          <w:jc w:val="center"/>
        </w:trPr>
        <w:tc>
          <w:tcPr>
            <w:tcW w:w="17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Ⅲ类</w:t>
            </w:r>
          </w:p>
        </w:tc>
        <w:tc>
          <w:tcPr>
            <w:tcW w:w="170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4</w:t>
            </w:r>
          </w:p>
        </w:tc>
        <w:tc>
          <w:tcPr>
            <w:tcW w:w="170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6</w:t>
            </w:r>
          </w:p>
        </w:tc>
        <w:tc>
          <w:tcPr>
            <w:tcW w:w="147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5</w:t>
            </w:r>
          </w:p>
        </w:tc>
        <w:tc>
          <w:tcPr>
            <w:tcW w:w="134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0.2</w:t>
            </w:r>
          </w:p>
        </w:tc>
        <w:tc>
          <w:tcPr>
            <w:tcW w:w="112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0.005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33" w:hRule="exact"/>
          <w:jc w:val="center"/>
        </w:trPr>
        <w:tc>
          <w:tcPr>
            <w:tcW w:w="17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Ⅳ类</w:t>
            </w:r>
          </w:p>
        </w:tc>
        <w:tc>
          <w:tcPr>
            <w:tcW w:w="170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6</w:t>
            </w:r>
          </w:p>
        </w:tc>
        <w:tc>
          <w:tcPr>
            <w:tcW w:w="170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10</w:t>
            </w:r>
          </w:p>
        </w:tc>
        <w:tc>
          <w:tcPr>
            <w:tcW w:w="147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3</w:t>
            </w:r>
          </w:p>
        </w:tc>
        <w:tc>
          <w:tcPr>
            <w:tcW w:w="134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0.5</w:t>
            </w:r>
          </w:p>
        </w:tc>
        <w:tc>
          <w:tcPr>
            <w:tcW w:w="112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33" w:hRule="exact"/>
          <w:jc w:val="center"/>
        </w:trPr>
        <w:tc>
          <w:tcPr>
            <w:tcW w:w="17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依据</w:t>
            </w:r>
          </w:p>
        </w:tc>
        <w:tc>
          <w:tcPr>
            <w:tcW w:w="7346" w:type="dxa"/>
            <w:gridSpan w:val="5"/>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《地表水环境质量标准》  GB3838-2002</w:t>
            </w:r>
          </w:p>
        </w:tc>
      </w:tr>
    </w:tbl>
    <w:p>
      <w:pPr>
        <w:pStyle w:val="39"/>
        <w:keepNext w:val="0"/>
        <w:keepLines w:val="0"/>
        <w:pageBreakBefore w:val="0"/>
        <w:widowControl w:val="0"/>
        <w:kinsoku/>
        <w:wordWrap/>
        <w:overflowPunct/>
        <w:topLinePunct w:val="0"/>
        <w:autoSpaceDE/>
        <w:autoSpaceDN/>
        <w:bidi w:val="0"/>
        <w:adjustRightInd/>
        <w:snapToGrid/>
        <w:spacing w:before="157" w:beforeLines="50"/>
        <w:textAlignment w:val="auto"/>
        <w:outlineLvl w:val="9"/>
        <w:rPr>
          <w:rFonts w:hint="default" w:ascii="Times New Roman" w:hAnsi="Times New Roman" w:eastAsia="宋体" w:cs="Times New Roman"/>
          <w:color w:val="auto"/>
          <w:lang w:val="en-US" w:eastAsia="zh-CN"/>
        </w:rPr>
      </w:pPr>
      <w:r>
        <w:rPr>
          <w:rFonts w:hint="default" w:ascii="Times New Roman" w:hAnsi="Times New Roman" w:cs="Times New Roman"/>
          <w:color w:val="auto"/>
        </w:rPr>
        <w:t>（3）地下水环境：区域地下水执行《地下水环境质量标准》（GB/T14848-2017）Ⅲ类标准。具体标准值见表</w:t>
      </w:r>
      <w:r>
        <w:rPr>
          <w:rFonts w:hint="default" w:ascii="Times New Roman" w:hAnsi="Times New Roman" w:cs="Times New Roman"/>
          <w:color w:val="auto"/>
          <w:lang w:val="en-US" w:eastAsia="zh-CN"/>
        </w:rPr>
        <w:t>2-6。</w:t>
      </w:r>
    </w:p>
    <w:p>
      <w:pPr>
        <w:pStyle w:val="14"/>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 xml:space="preserve">-6 </w:t>
      </w:r>
      <w:r>
        <w:rPr>
          <w:rFonts w:hint="default" w:ascii="Times New Roman" w:hAnsi="Times New Roman" w:cs="Times New Roman"/>
          <w:color w:val="auto"/>
        </w:rPr>
        <w:t xml:space="preserve"> 地下水环境质量标准  单位：mg/L（pH无量纲）</w:t>
      </w:r>
    </w:p>
    <w:tbl>
      <w:tblPr>
        <w:tblStyle w:val="24"/>
        <w:tblW w:w="9101"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433"/>
        <w:gridCol w:w="945"/>
        <w:gridCol w:w="1101"/>
        <w:gridCol w:w="1194"/>
        <w:gridCol w:w="1147"/>
        <w:gridCol w:w="943"/>
        <w:gridCol w:w="945"/>
        <w:gridCol w:w="139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19" w:hRule="atLeast"/>
          <w:jc w:val="center"/>
        </w:trPr>
        <w:tc>
          <w:tcPr>
            <w:tcW w:w="1433" w:type="dxa"/>
            <w:tcMar>
              <w:top w:w="15" w:type="dxa"/>
              <w:left w:w="15" w:type="dxa"/>
              <w:bottom w:w="0" w:type="dxa"/>
              <w:right w:w="15" w:type="dxa"/>
            </w:tcMar>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94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类别</w:t>
            </w:r>
          </w:p>
        </w:tc>
        <w:tc>
          <w:tcPr>
            <w:tcW w:w="110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w:t>
            </w:r>
          </w:p>
        </w:tc>
        <w:tc>
          <w:tcPr>
            <w:tcW w:w="119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耗氧量</w:t>
            </w:r>
          </w:p>
        </w:tc>
        <w:tc>
          <w:tcPr>
            <w:tcW w:w="114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氨氮</w:t>
            </w:r>
          </w:p>
        </w:tc>
        <w:tc>
          <w:tcPr>
            <w:tcW w:w="94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挥发性酚类</w:t>
            </w:r>
          </w:p>
        </w:tc>
        <w:tc>
          <w:tcPr>
            <w:tcW w:w="94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硫酸盐</w:t>
            </w:r>
          </w:p>
        </w:tc>
        <w:tc>
          <w:tcPr>
            <w:tcW w:w="139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硫化物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29" w:hRule="atLeast"/>
          <w:jc w:val="center"/>
        </w:trPr>
        <w:tc>
          <w:tcPr>
            <w:tcW w:w="1433" w:type="dxa"/>
            <w:tcMar>
              <w:top w:w="15" w:type="dxa"/>
              <w:left w:w="15" w:type="dxa"/>
              <w:bottom w:w="0" w:type="dxa"/>
              <w:right w:w="15" w:type="dxa"/>
            </w:tcMar>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w:t>
            </w:r>
          </w:p>
        </w:tc>
        <w:tc>
          <w:tcPr>
            <w:tcW w:w="94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c>
          <w:tcPr>
            <w:tcW w:w="110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8.5</w:t>
            </w:r>
          </w:p>
        </w:tc>
        <w:tc>
          <w:tcPr>
            <w:tcW w:w="119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3.0</w:t>
            </w:r>
          </w:p>
        </w:tc>
        <w:tc>
          <w:tcPr>
            <w:tcW w:w="114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0.5</w:t>
            </w:r>
          </w:p>
        </w:tc>
        <w:tc>
          <w:tcPr>
            <w:tcW w:w="94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0.002</w:t>
            </w:r>
          </w:p>
        </w:tc>
        <w:tc>
          <w:tcPr>
            <w:tcW w:w="94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250</w:t>
            </w:r>
          </w:p>
        </w:tc>
        <w:tc>
          <w:tcPr>
            <w:tcW w:w="139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0.02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9" w:hRule="atLeast"/>
          <w:jc w:val="center"/>
        </w:trPr>
        <w:tc>
          <w:tcPr>
            <w:tcW w:w="1433" w:type="dxa"/>
            <w:tcMar>
              <w:top w:w="15" w:type="dxa"/>
              <w:left w:w="15" w:type="dxa"/>
              <w:bottom w:w="0" w:type="dxa"/>
              <w:right w:w="15" w:type="dxa"/>
            </w:tcMar>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94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类别</w:t>
            </w:r>
          </w:p>
        </w:tc>
        <w:tc>
          <w:tcPr>
            <w:tcW w:w="110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氟化物</w:t>
            </w:r>
          </w:p>
        </w:tc>
        <w:tc>
          <w:tcPr>
            <w:tcW w:w="119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氯化物</w:t>
            </w:r>
          </w:p>
        </w:tc>
        <w:tc>
          <w:tcPr>
            <w:tcW w:w="114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镍*</w:t>
            </w:r>
          </w:p>
        </w:tc>
        <w:tc>
          <w:tcPr>
            <w:tcW w:w="94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总硬度</w:t>
            </w:r>
          </w:p>
        </w:tc>
        <w:tc>
          <w:tcPr>
            <w:tcW w:w="94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嗅与味</w:t>
            </w:r>
          </w:p>
        </w:tc>
        <w:tc>
          <w:tcPr>
            <w:tcW w:w="139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74" w:hRule="atLeast"/>
          <w:jc w:val="center"/>
        </w:trPr>
        <w:tc>
          <w:tcPr>
            <w:tcW w:w="1433" w:type="dxa"/>
            <w:tcMar>
              <w:top w:w="15" w:type="dxa"/>
              <w:left w:w="15" w:type="dxa"/>
              <w:bottom w:w="0" w:type="dxa"/>
              <w:right w:w="15" w:type="dxa"/>
            </w:tcMar>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w:t>
            </w:r>
          </w:p>
        </w:tc>
        <w:tc>
          <w:tcPr>
            <w:tcW w:w="94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c>
          <w:tcPr>
            <w:tcW w:w="110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1.0</w:t>
            </w:r>
          </w:p>
        </w:tc>
        <w:tc>
          <w:tcPr>
            <w:tcW w:w="119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250</w:t>
            </w:r>
          </w:p>
        </w:tc>
        <w:tc>
          <w:tcPr>
            <w:tcW w:w="114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0.02</w:t>
            </w:r>
          </w:p>
        </w:tc>
        <w:tc>
          <w:tcPr>
            <w:tcW w:w="94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450</w:t>
            </w:r>
          </w:p>
        </w:tc>
        <w:tc>
          <w:tcPr>
            <w:tcW w:w="94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w:t>
            </w:r>
          </w:p>
        </w:tc>
        <w:tc>
          <w:tcPr>
            <w:tcW w:w="139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bl>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w:t>
      </w:r>
      <w:r>
        <w:rPr>
          <w:rFonts w:hint="default" w:ascii="Times New Roman" w:hAnsi="Times New Roman" w:cs="Times New Roman"/>
          <w:color w:val="auto"/>
          <w:lang w:eastAsia="zh-CN"/>
        </w:rPr>
        <w:t>土壤</w:t>
      </w:r>
      <w:r>
        <w:rPr>
          <w:rFonts w:hint="default" w:ascii="Times New Roman" w:hAnsi="Times New Roman" w:cs="Times New Roman"/>
          <w:color w:val="auto"/>
        </w:rPr>
        <w:t>：</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项目区域及周边土壤执行</w:t>
      </w:r>
      <w:r>
        <w:rPr>
          <w:rFonts w:hint="default" w:ascii="Times New Roman" w:hAnsi="Times New Roman" w:cs="Times New Roman"/>
          <w:color w:val="auto"/>
          <w:sz w:val="24"/>
          <w:lang w:val="zh-CN" w:eastAsia="zh-CN"/>
        </w:rPr>
        <w:t>《土壤环境质量 建设用地土壤污染风险管控标准（试行）》（GB36600-2018）第二类工业用地筛选值和管制值。</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5</w:t>
      </w:r>
      <w:r>
        <w:rPr>
          <w:rFonts w:hint="default" w:ascii="Times New Roman" w:hAnsi="Times New Roman" w:cs="Times New Roman"/>
          <w:color w:val="auto"/>
        </w:rPr>
        <w:t>）声环境：项目所在地声环境质量执行《声环境质量标准》（GB3096-2008）中的3类标准，具体标准值见表</w:t>
      </w:r>
      <w:r>
        <w:rPr>
          <w:rFonts w:hint="default" w:ascii="Times New Roman" w:hAnsi="Times New Roman" w:cs="Times New Roman"/>
          <w:color w:val="auto"/>
          <w:lang w:val="en-US" w:eastAsia="zh-CN"/>
        </w:rPr>
        <w:t>2-7</w:t>
      </w:r>
      <w:r>
        <w:rPr>
          <w:rFonts w:hint="default" w:ascii="Times New Roman" w:hAnsi="Times New Roman" w:cs="Times New Roman"/>
          <w:color w:val="auto"/>
        </w:rPr>
        <w:t>。</w:t>
      </w:r>
    </w:p>
    <w:p>
      <w:pPr>
        <w:pStyle w:val="14"/>
        <w:bidi w:val="0"/>
        <w:rPr>
          <w:rFonts w:hint="default" w:ascii="Times New Roman" w:hAnsi="Times New Roman" w:cs="Times New Roman"/>
          <w:color w:val="auto"/>
        </w:rPr>
      </w:pPr>
    </w:p>
    <w:p>
      <w:pPr>
        <w:pStyle w:val="14"/>
        <w:bidi w:val="0"/>
        <w:rPr>
          <w:rFonts w:hint="default" w:ascii="Times New Roman" w:hAnsi="Times New Roman" w:cs="Times New Roman"/>
          <w:color w:val="auto"/>
        </w:rPr>
      </w:pPr>
    </w:p>
    <w:p>
      <w:pPr>
        <w:pStyle w:val="14"/>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-7</w:t>
      </w:r>
      <w:r>
        <w:rPr>
          <w:rFonts w:hint="default" w:ascii="Times New Roman" w:hAnsi="Times New Roman" w:cs="Times New Roman"/>
          <w:color w:val="auto"/>
        </w:rPr>
        <w:t xml:space="preserve"> 声环境质量标准  等效声级Leq：dB(A)</w:t>
      </w:r>
    </w:p>
    <w:p>
      <w:pPr>
        <w:rPr>
          <w:rFonts w:hint="default"/>
          <w:color w:val="auto"/>
        </w:rPr>
      </w:pPr>
    </w:p>
    <w:tbl>
      <w:tblPr>
        <w:tblStyle w:val="24"/>
        <w:tblW w:w="9003"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3001"/>
        <w:gridCol w:w="3002"/>
        <w:gridCol w:w="300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19" w:hRule="atLeast"/>
          <w:jc w:val="center"/>
        </w:trPr>
        <w:tc>
          <w:tcPr>
            <w:tcW w:w="300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类别</w:t>
            </w:r>
          </w:p>
        </w:tc>
        <w:tc>
          <w:tcPr>
            <w:tcW w:w="300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昼间</w:t>
            </w:r>
          </w:p>
        </w:tc>
        <w:tc>
          <w:tcPr>
            <w:tcW w:w="300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夜间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49" w:hRule="atLeast"/>
          <w:jc w:val="center"/>
        </w:trPr>
        <w:tc>
          <w:tcPr>
            <w:tcW w:w="300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300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65</w:t>
            </w:r>
          </w:p>
        </w:tc>
        <w:tc>
          <w:tcPr>
            <w:tcW w:w="300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55</w:t>
            </w:r>
          </w:p>
        </w:tc>
      </w:tr>
    </w:tbl>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145" w:name="_Toc26840"/>
      <w:r>
        <w:rPr>
          <w:rFonts w:hint="default" w:ascii="Times New Roman" w:hAnsi="Times New Roman" w:cs="Times New Roman"/>
          <w:color w:val="auto"/>
        </w:rPr>
        <w:t>污染物排放标准</w:t>
      </w:r>
      <w:bookmarkEnd w:id="145"/>
    </w:p>
    <w:p>
      <w:pPr>
        <w:pStyle w:val="7"/>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r>
        <w:rPr>
          <w:rFonts w:hint="default" w:ascii="Times New Roman" w:hAnsi="Times New Roman" w:cs="Times New Roman"/>
          <w:color w:val="auto"/>
        </w:rPr>
        <w:t>废水排放标准</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废水排放标准</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u w:val="none"/>
          <w:lang w:eastAsia="zh-CN"/>
        </w:rPr>
      </w:pPr>
      <w:r>
        <w:rPr>
          <w:rFonts w:hint="default" w:ascii="Times New Roman" w:hAnsi="Times New Roman" w:cs="Times New Roman"/>
          <w:color w:val="auto"/>
          <w:u w:val="none"/>
          <w:lang w:eastAsia="zh-CN"/>
        </w:rPr>
        <w:t>本项目含镍工艺废水和清洗废水（包括设备清洗废水和地面清洗废水）经过单独处理达到</w:t>
      </w:r>
      <w:r>
        <w:rPr>
          <w:rFonts w:hint="default" w:ascii="Times New Roman" w:hAnsi="Times New Roman" w:cs="Times New Roman"/>
          <w:color w:val="auto"/>
          <w:u w:val="single"/>
          <w:lang w:eastAsia="zh-CN"/>
        </w:rPr>
        <w:t>《石油化学工业污染物排放标准》（GB31571-2015）表 2 规定的水污染物特别排放限值的间接排放标准和巴陵石化污水处理厂的进水水质要求，</w:t>
      </w:r>
      <w:r>
        <w:rPr>
          <w:rFonts w:hint="default" w:ascii="Times New Roman" w:hAnsi="Times New Roman" w:cs="Times New Roman"/>
          <w:color w:val="auto"/>
          <w:u w:val="none"/>
          <w:lang w:eastAsia="zh-CN"/>
        </w:rPr>
        <w:t>生活污水经化粪池处理达到</w:t>
      </w:r>
      <w:r>
        <w:rPr>
          <w:rFonts w:hint="default" w:ascii="Times New Roman" w:hAnsi="Times New Roman" w:cs="Times New Roman"/>
          <w:color w:val="auto"/>
          <w:u w:val="single"/>
          <w:lang w:eastAsia="zh-CN"/>
        </w:rPr>
        <w:t>巴陵石化污水处理厂进水水质标准</w:t>
      </w:r>
      <w:r>
        <w:rPr>
          <w:rFonts w:hint="default" w:ascii="Times New Roman" w:hAnsi="Times New Roman" w:cs="Times New Roman"/>
          <w:color w:val="auto"/>
          <w:u w:val="none"/>
          <w:lang w:eastAsia="zh-CN"/>
        </w:rPr>
        <w:t>后，与生产废水一同排入厂区场地内的废水收集池，</w:t>
      </w:r>
      <w:r>
        <w:rPr>
          <w:rFonts w:hint="default" w:ascii="Times New Roman" w:hAnsi="Times New Roman" w:cs="Times New Roman"/>
          <w:color w:val="auto"/>
          <w:highlight w:val="none"/>
          <w:u w:val="none"/>
          <w:lang w:eastAsia="zh-CN"/>
        </w:rPr>
        <w:t>通过工</w:t>
      </w:r>
      <w:r>
        <w:rPr>
          <w:rFonts w:hint="default" w:ascii="Times New Roman" w:hAnsi="Times New Roman" w:cs="Times New Roman"/>
          <w:color w:val="auto"/>
          <w:u w:val="none"/>
          <w:lang w:eastAsia="zh-CN"/>
        </w:rPr>
        <w:t>业园污水管网排入巴陵石化污水处理厂集中处理，</w:t>
      </w:r>
      <w:r>
        <w:rPr>
          <w:rFonts w:hint="default" w:ascii="Times New Roman" w:hAnsi="Times New Roman" w:cs="Times New Roman"/>
          <w:color w:val="auto"/>
          <w:u w:val="single"/>
          <w:lang w:eastAsia="zh-CN"/>
        </w:rPr>
        <w:t>巴陵石化污水处理厂</w:t>
      </w:r>
      <w:r>
        <w:rPr>
          <w:rFonts w:hint="default" w:ascii="Times New Roman" w:hAnsi="Times New Roman" w:cs="Times New Roman"/>
          <w:color w:val="auto"/>
          <w:u w:val="none"/>
          <w:lang w:eastAsia="zh-CN"/>
        </w:rPr>
        <w:t>达到《石油化学工业污染物排放标准》（GB31571-2015）中的直接排放标准后，再排入长江。</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u w:val="none"/>
          <w:lang w:eastAsia="zh-CN"/>
        </w:rPr>
      </w:pPr>
      <w:r>
        <w:rPr>
          <w:rFonts w:hint="default" w:ascii="Times New Roman" w:hAnsi="Times New Roman" w:cs="Times New Roman"/>
          <w:color w:val="auto"/>
          <w:u w:val="single"/>
          <w:lang w:eastAsia="zh-CN"/>
        </w:rPr>
        <w:t>项目废水执行《石油化学工业污染物排放标准》（GB31571-2015）表 2 规定的水污染物特别排放限值的间接排放标准和巴陵石化污水处理厂进水水质标准</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u w:val="none"/>
          <w:lang w:eastAsia="zh-CN"/>
        </w:rPr>
        <w:t>。</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u w:val="single"/>
          <w:lang w:eastAsia="zh-CN"/>
        </w:rPr>
      </w:pPr>
      <w:r>
        <w:rPr>
          <w:rFonts w:hint="default" w:ascii="Times New Roman" w:hAnsi="Times New Roman" w:cs="Times New Roman"/>
          <w:color w:val="auto"/>
          <w:u w:val="none"/>
          <w:lang w:eastAsia="zh-CN"/>
        </w:rPr>
        <w:t>本项目废水排放标准限值见表</w:t>
      </w:r>
      <w:r>
        <w:rPr>
          <w:rFonts w:hint="default" w:ascii="Times New Roman" w:hAnsi="Times New Roman" w:cs="Times New Roman"/>
          <w:color w:val="auto"/>
          <w:u w:val="none"/>
          <w:lang w:val="en-US" w:eastAsia="zh-CN"/>
        </w:rPr>
        <w:t>2-8</w:t>
      </w:r>
      <w:r>
        <w:rPr>
          <w:rFonts w:hint="default" w:ascii="Times New Roman" w:hAnsi="Times New Roman" w:cs="Times New Roman"/>
          <w:color w:val="auto"/>
          <w:u w:val="none"/>
          <w:lang w:eastAsia="zh-CN"/>
        </w:rPr>
        <w:t>。</w:t>
      </w:r>
    </w:p>
    <w:p>
      <w:pPr>
        <w:pStyle w:val="3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
          <w:bCs/>
          <w:color w:val="auto"/>
          <w:u w:val="single"/>
          <w:lang w:val="zh-CN" w:eastAsia="zh-CN"/>
        </w:rPr>
      </w:pPr>
      <w:r>
        <w:rPr>
          <w:rFonts w:hint="default" w:ascii="Times New Roman" w:hAnsi="Times New Roman" w:cs="Times New Roman"/>
          <w:b/>
          <w:bCs/>
          <w:color w:val="auto"/>
          <w:u w:val="single"/>
          <w:lang w:val="zh-CN" w:eastAsia="zh-CN"/>
        </w:rPr>
        <w:t>表</w:t>
      </w:r>
      <w:r>
        <w:rPr>
          <w:rFonts w:hint="default" w:ascii="Times New Roman" w:hAnsi="Times New Roman" w:cs="Times New Roman"/>
          <w:b/>
          <w:bCs/>
          <w:color w:val="auto"/>
          <w:u w:val="single"/>
          <w:lang w:val="en-US" w:eastAsia="zh-CN"/>
        </w:rPr>
        <w:t>2-8</w:t>
      </w:r>
      <w:r>
        <w:rPr>
          <w:rFonts w:hint="default" w:ascii="Times New Roman" w:hAnsi="Times New Roman" w:cs="Times New Roman"/>
          <w:b/>
          <w:bCs/>
          <w:color w:val="auto"/>
          <w:u w:val="single"/>
          <w:lang w:eastAsia="zh-CN"/>
        </w:rPr>
        <w:t xml:space="preserve">   </w:t>
      </w:r>
      <w:r>
        <w:rPr>
          <w:rFonts w:hint="default" w:ascii="Times New Roman" w:hAnsi="Times New Roman" w:cs="Times New Roman"/>
          <w:b/>
          <w:bCs/>
          <w:color w:val="auto"/>
          <w:u w:val="single"/>
          <w:lang w:val="zh-CN" w:eastAsia="zh-CN"/>
        </w:rPr>
        <w:t>本项目废水排放标准   单位：mg/L，pH无量纲</w:t>
      </w:r>
    </w:p>
    <w:tbl>
      <w:tblPr>
        <w:tblStyle w:val="24"/>
        <w:tblpPr w:leftFromText="180" w:rightFromText="180" w:vertAnchor="text" w:horzAnchor="page" w:tblpX="1844" w:tblpY="55"/>
        <w:tblOverlap w:val="never"/>
        <w:tblW w:w="859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7" w:type="dxa"/>
          <w:bottom w:w="0" w:type="dxa"/>
          <w:right w:w="17" w:type="dxa"/>
        </w:tblCellMar>
      </w:tblPr>
      <w:tblGrid>
        <w:gridCol w:w="2550"/>
        <w:gridCol w:w="645"/>
        <w:gridCol w:w="675"/>
        <w:gridCol w:w="660"/>
        <w:gridCol w:w="675"/>
        <w:gridCol w:w="675"/>
        <w:gridCol w:w="660"/>
        <w:gridCol w:w="615"/>
        <w:gridCol w:w="735"/>
        <w:gridCol w:w="7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417" w:hRule="atLeast"/>
          <w:tblHeader/>
        </w:trPr>
        <w:tc>
          <w:tcPr>
            <w:tcW w:w="2550" w:type="dxa"/>
            <w:vAlign w:val="center"/>
          </w:tcPr>
          <w:p>
            <w:pPr>
              <w:pStyle w:val="39"/>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eastAsia="zh-CN"/>
              </w:rPr>
              <w:t>项    目</w:t>
            </w:r>
          </w:p>
        </w:tc>
        <w:tc>
          <w:tcPr>
            <w:tcW w:w="645" w:type="dxa"/>
            <w:vAlign w:val="center"/>
          </w:tcPr>
          <w:p>
            <w:pPr>
              <w:pStyle w:val="39"/>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eastAsia="zh-CN"/>
              </w:rPr>
              <w:t>pH</w:t>
            </w:r>
          </w:p>
        </w:tc>
        <w:tc>
          <w:tcPr>
            <w:tcW w:w="675" w:type="dxa"/>
            <w:vAlign w:val="center"/>
          </w:tcPr>
          <w:p>
            <w:pPr>
              <w:pStyle w:val="39"/>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eastAsia="zh-CN"/>
              </w:rPr>
              <w:t>COD</w:t>
            </w:r>
          </w:p>
        </w:tc>
        <w:tc>
          <w:tcPr>
            <w:tcW w:w="660" w:type="dxa"/>
            <w:vAlign w:val="center"/>
          </w:tcPr>
          <w:p>
            <w:pPr>
              <w:pStyle w:val="39"/>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BOD</w:t>
            </w:r>
            <w:r>
              <w:rPr>
                <w:rFonts w:hint="default" w:ascii="Times New Roman" w:hAnsi="Times New Roman" w:cs="Times New Roman"/>
                <w:color w:val="auto"/>
                <w:sz w:val="21"/>
                <w:szCs w:val="21"/>
                <w:u w:val="single"/>
                <w:vertAlign w:val="subscript"/>
                <w:lang w:val="en-US" w:eastAsia="zh-CN"/>
              </w:rPr>
              <w:t>5</w:t>
            </w:r>
          </w:p>
        </w:tc>
        <w:tc>
          <w:tcPr>
            <w:tcW w:w="675" w:type="dxa"/>
            <w:vAlign w:val="center"/>
          </w:tcPr>
          <w:p>
            <w:pPr>
              <w:pStyle w:val="39"/>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NH</w:t>
            </w:r>
            <w:r>
              <w:rPr>
                <w:rFonts w:hint="default" w:ascii="Times New Roman" w:hAnsi="Times New Roman" w:cs="Times New Roman"/>
                <w:color w:val="auto"/>
                <w:sz w:val="21"/>
                <w:szCs w:val="21"/>
                <w:u w:val="single"/>
                <w:vertAlign w:val="subscript"/>
                <w:lang w:val="en-US" w:eastAsia="zh-CN"/>
              </w:rPr>
              <w:t>3</w:t>
            </w:r>
            <w:r>
              <w:rPr>
                <w:rFonts w:hint="default" w:ascii="Times New Roman" w:hAnsi="Times New Roman" w:cs="Times New Roman"/>
                <w:color w:val="auto"/>
                <w:sz w:val="21"/>
                <w:szCs w:val="21"/>
                <w:u w:val="single"/>
                <w:lang w:val="en-US" w:eastAsia="zh-CN"/>
              </w:rPr>
              <w:t>-N</w:t>
            </w:r>
          </w:p>
        </w:tc>
        <w:tc>
          <w:tcPr>
            <w:tcW w:w="675" w:type="dxa"/>
            <w:vAlign w:val="center"/>
          </w:tcPr>
          <w:p>
            <w:pPr>
              <w:pStyle w:val="39"/>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SS</w:t>
            </w:r>
          </w:p>
        </w:tc>
        <w:tc>
          <w:tcPr>
            <w:tcW w:w="660" w:type="dxa"/>
            <w:vAlign w:val="center"/>
          </w:tcPr>
          <w:p>
            <w:pPr>
              <w:pStyle w:val="3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kern w:val="2"/>
                <w:sz w:val="21"/>
                <w:szCs w:val="21"/>
                <w:u w:val="single"/>
                <w:lang w:val="en-US" w:eastAsia="zh-CN" w:bidi="ar-SA"/>
              </w:rPr>
              <w:t>总磷</w:t>
            </w:r>
          </w:p>
        </w:tc>
        <w:tc>
          <w:tcPr>
            <w:tcW w:w="615" w:type="dxa"/>
            <w:vAlign w:val="center"/>
          </w:tcPr>
          <w:p>
            <w:pPr>
              <w:pStyle w:val="3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eastAsia="zh-CN"/>
              </w:rPr>
              <w:t>Ni</w:t>
            </w:r>
          </w:p>
        </w:tc>
        <w:tc>
          <w:tcPr>
            <w:tcW w:w="735" w:type="dxa"/>
            <w:vAlign w:val="center"/>
          </w:tcPr>
          <w:p>
            <w:pPr>
              <w:pStyle w:val="3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sz w:val="21"/>
                <w:szCs w:val="21"/>
                <w:u w:val="single"/>
                <w:lang w:eastAsia="zh-CN"/>
              </w:rPr>
              <w:t>石油类</w:t>
            </w:r>
          </w:p>
        </w:tc>
        <w:tc>
          <w:tcPr>
            <w:tcW w:w="706" w:type="dxa"/>
            <w:vAlign w:val="center"/>
          </w:tcPr>
          <w:p>
            <w:pPr>
              <w:pStyle w:val="39"/>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eastAsia="zh-CN"/>
              </w:rPr>
              <w:t>挥发酚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813" w:hRule="atLeast"/>
        </w:trPr>
        <w:tc>
          <w:tcPr>
            <w:tcW w:w="2550" w:type="dxa"/>
            <w:vAlign w:val="center"/>
          </w:tcPr>
          <w:p>
            <w:pPr>
              <w:pStyle w:val="39"/>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eastAsia="zh-CN"/>
              </w:rPr>
              <w:t>《石油化学工业污染物排放标准》（GB31570-2015），表2间接排放标准</w:t>
            </w:r>
          </w:p>
        </w:tc>
        <w:tc>
          <w:tcPr>
            <w:tcW w:w="645" w:type="dxa"/>
            <w:vAlign w:val="center"/>
          </w:tcPr>
          <w:p>
            <w:pPr>
              <w:pStyle w:val="39"/>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w:t>
            </w:r>
          </w:p>
        </w:tc>
        <w:tc>
          <w:tcPr>
            <w:tcW w:w="675" w:type="dxa"/>
            <w:vAlign w:val="center"/>
          </w:tcPr>
          <w:p>
            <w:pPr>
              <w:pStyle w:val="39"/>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w:t>
            </w:r>
          </w:p>
        </w:tc>
        <w:tc>
          <w:tcPr>
            <w:tcW w:w="660" w:type="dxa"/>
            <w:vAlign w:val="center"/>
          </w:tcPr>
          <w:p>
            <w:pPr>
              <w:pStyle w:val="3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w:t>
            </w:r>
          </w:p>
        </w:tc>
        <w:tc>
          <w:tcPr>
            <w:tcW w:w="675" w:type="dxa"/>
            <w:vAlign w:val="center"/>
          </w:tcPr>
          <w:p>
            <w:pPr>
              <w:pStyle w:val="3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w:t>
            </w:r>
          </w:p>
        </w:tc>
        <w:tc>
          <w:tcPr>
            <w:tcW w:w="675" w:type="dxa"/>
            <w:vAlign w:val="center"/>
          </w:tcPr>
          <w:p>
            <w:pPr>
              <w:pStyle w:val="39"/>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z w:val="21"/>
                <w:szCs w:val="21"/>
                <w:u w:val="none"/>
                <w:lang w:eastAsia="zh-CN"/>
              </w:rPr>
              <w:t>—</w:t>
            </w:r>
          </w:p>
        </w:tc>
        <w:tc>
          <w:tcPr>
            <w:tcW w:w="660" w:type="dxa"/>
            <w:vAlign w:val="center"/>
          </w:tcPr>
          <w:p>
            <w:pPr>
              <w:pStyle w:val="3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sz w:val="21"/>
                <w:szCs w:val="21"/>
                <w:u w:val="none"/>
                <w:lang w:eastAsia="zh-CN"/>
              </w:rPr>
              <w:t>—</w:t>
            </w:r>
          </w:p>
        </w:tc>
        <w:tc>
          <w:tcPr>
            <w:tcW w:w="615" w:type="dxa"/>
            <w:vAlign w:val="center"/>
          </w:tcPr>
          <w:p>
            <w:pPr>
              <w:pStyle w:val="3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eastAsia="zh-CN"/>
              </w:rPr>
              <w:t>≤1.0</w:t>
            </w:r>
          </w:p>
        </w:tc>
        <w:tc>
          <w:tcPr>
            <w:tcW w:w="735" w:type="dxa"/>
            <w:vAlign w:val="center"/>
          </w:tcPr>
          <w:p>
            <w:pPr>
              <w:pStyle w:val="3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sz w:val="21"/>
                <w:szCs w:val="21"/>
                <w:u w:val="single"/>
                <w:lang w:eastAsia="zh-CN"/>
              </w:rPr>
              <w:t>≤15</w:t>
            </w:r>
          </w:p>
        </w:tc>
        <w:tc>
          <w:tcPr>
            <w:tcW w:w="706" w:type="dxa"/>
            <w:vAlign w:val="center"/>
          </w:tcPr>
          <w:p>
            <w:pPr>
              <w:pStyle w:val="39"/>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eastAsia="zh-CN"/>
              </w:rPr>
              <w:t>≤</w:t>
            </w:r>
            <w:r>
              <w:rPr>
                <w:rFonts w:hint="default" w:ascii="Times New Roman" w:hAnsi="Times New Roman" w:cs="Times New Roman"/>
                <w:color w:val="auto"/>
                <w:sz w:val="21"/>
                <w:szCs w:val="21"/>
                <w:u w:val="singl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443" w:hRule="atLeast"/>
        </w:trPr>
        <w:tc>
          <w:tcPr>
            <w:tcW w:w="2550" w:type="dxa"/>
            <w:vAlign w:val="center"/>
          </w:tcPr>
          <w:p>
            <w:pPr>
              <w:pStyle w:val="39"/>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eastAsia="zh-CN"/>
              </w:rPr>
              <w:t>巴陵石化污水处理厂进水纳污浓度</w:t>
            </w:r>
          </w:p>
        </w:tc>
        <w:tc>
          <w:tcPr>
            <w:tcW w:w="645" w:type="dxa"/>
            <w:vAlign w:val="center"/>
          </w:tcPr>
          <w:p>
            <w:pPr>
              <w:pStyle w:val="39"/>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eastAsia="zh-CN"/>
              </w:rPr>
              <w:t>6.5~8.5</w:t>
            </w:r>
          </w:p>
        </w:tc>
        <w:tc>
          <w:tcPr>
            <w:tcW w:w="675" w:type="dxa"/>
            <w:vAlign w:val="center"/>
          </w:tcPr>
          <w:p>
            <w:pPr>
              <w:pStyle w:val="39"/>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eastAsia="zh-CN"/>
              </w:rPr>
              <w:t>≤</w:t>
            </w:r>
            <w:r>
              <w:rPr>
                <w:rFonts w:hint="default" w:ascii="Times New Roman" w:hAnsi="Times New Roman" w:cs="Times New Roman"/>
                <w:color w:val="auto"/>
                <w:sz w:val="21"/>
                <w:szCs w:val="21"/>
                <w:u w:val="single"/>
                <w:lang w:val="en-US" w:eastAsia="zh-CN"/>
              </w:rPr>
              <w:t>500*</w:t>
            </w:r>
          </w:p>
        </w:tc>
        <w:tc>
          <w:tcPr>
            <w:tcW w:w="660" w:type="dxa"/>
            <w:vAlign w:val="center"/>
          </w:tcPr>
          <w:p>
            <w:pPr>
              <w:pStyle w:val="39"/>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sz w:val="21"/>
                <w:szCs w:val="21"/>
                <w:u w:val="single"/>
                <w:lang w:eastAsia="zh-CN"/>
              </w:rPr>
            </w:pPr>
          </w:p>
        </w:tc>
        <w:tc>
          <w:tcPr>
            <w:tcW w:w="675" w:type="dxa"/>
            <w:vAlign w:val="center"/>
          </w:tcPr>
          <w:p>
            <w:pPr>
              <w:pStyle w:val="39"/>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sz w:val="21"/>
                <w:szCs w:val="21"/>
                <w:u w:val="single"/>
                <w:lang w:eastAsia="zh-CN"/>
              </w:rPr>
            </w:pPr>
          </w:p>
        </w:tc>
        <w:tc>
          <w:tcPr>
            <w:tcW w:w="675" w:type="dxa"/>
            <w:vAlign w:val="center"/>
          </w:tcPr>
          <w:p>
            <w:pPr>
              <w:pStyle w:val="39"/>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sz w:val="21"/>
                <w:szCs w:val="21"/>
                <w:u w:val="single"/>
                <w:lang w:eastAsia="zh-CN"/>
              </w:rPr>
            </w:pPr>
          </w:p>
        </w:tc>
        <w:tc>
          <w:tcPr>
            <w:tcW w:w="660" w:type="dxa"/>
            <w:vAlign w:val="center"/>
          </w:tcPr>
          <w:p>
            <w:pPr>
              <w:pStyle w:val="3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u w:val="single"/>
                <w:lang w:val="en-US" w:eastAsia="zh-CN" w:bidi="ar-SA"/>
              </w:rPr>
            </w:pPr>
          </w:p>
        </w:tc>
        <w:tc>
          <w:tcPr>
            <w:tcW w:w="615" w:type="dxa"/>
            <w:vAlign w:val="center"/>
          </w:tcPr>
          <w:p>
            <w:pPr>
              <w:pStyle w:val="3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eastAsia="zh-CN"/>
              </w:rPr>
              <w:t>/</w:t>
            </w:r>
          </w:p>
        </w:tc>
        <w:tc>
          <w:tcPr>
            <w:tcW w:w="735" w:type="dxa"/>
            <w:vAlign w:val="center"/>
          </w:tcPr>
          <w:p>
            <w:pPr>
              <w:pStyle w:val="3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sz w:val="21"/>
                <w:szCs w:val="21"/>
                <w:u w:val="single"/>
                <w:lang w:eastAsia="zh-CN"/>
              </w:rPr>
              <w:t>≤10</w:t>
            </w:r>
          </w:p>
        </w:tc>
        <w:tc>
          <w:tcPr>
            <w:tcW w:w="706" w:type="dxa"/>
            <w:vAlign w:val="center"/>
          </w:tcPr>
          <w:p>
            <w:pPr>
              <w:pStyle w:val="39"/>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sz w:val="21"/>
                <w:szCs w:val="21"/>
                <w:u w:val="singl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481" w:hRule="atLeast"/>
        </w:trPr>
        <w:tc>
          <w:tcPr>
            <w:tcW w:w="2550" w:type="dxa"/>
            <w:vAlign w:val="center"/>
          </w:tcPr>
          <w:p>
            <w:pPr>
              <w:pStyle w:val="39"/>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eastAsia="zh-CN"/>
              </w:rPr>
              <w:t>本项目废水排放标准</w:t>
            </w:r>
          </w:p>
        </w:tc>
        <w:tc>
          <w:tcPr>
            <w:tcW w:w="645" w:type="dxa"/>
            <w:vAlign w:val="center"/>
          </w:tcPr>
          <w:p>
            <w:pPr>
              <w:pStyle w:val="39"/>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eastAsia="zh-CN"/>
              </w:rPr>
              <w:t>6.5~8.5</w:t>
            </w:r>
          </w:p>
        </w:tc>
        <w:tc>
          <w:tcPr>
            <w:tcW w:w="675" w:type="dxa"/>
            <w:vAlign w:val="center"/>
          </w:tcPr>
          <w:p>
            <w:pPr>
              <w:pStyle w:val="39"/>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eastAsia="zh-CN"/>
              </w:rPr>
              <w:t>≤</w:t>
            </w:r>
            <w:r>
              <w:rPr>
                <w:rFonts w:hint="default" w:ascii="Times New Roman" w:hAnsi="Times New Roman" w:cs="Times New Roman"/>
                <w:color w:val="auto"/>
                <w:sz w:val="21"/>
                <w:szCs w:val="21"/>
                <w:u w:val="single"/>
                <w:lang w:val="en-US" w:eastAsia="zh-CN"/>
              </w:rPr>
              <w:t>500</w:t>
            </w:r>
          </w:p>
        </w:tc>
        <w:tc>
          <w:tcPr>
            <w:tcW w:w="660" w:type="dxa"/>
            <w:vAlign w:val="center"/>
          </w:tcPr>
          <w:p>
            <w:pPr>
              <w:pStyle w:val="39"/>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sz w:val="21"/>
                <w:szCs w:val="21"/>
                <w:u w:val="single"/>
                <w:lang w:eastAsia="zh-CN"/>
              </w:rPr>
            </w:pPr>
          </w:p>
        </w:tc>
        <w:tc>
          <w:tcPr>
            <w:tcW w:w="675" w:type="dxa"/>
            <w:vAlign w:val="center"/>
          </w:tcPr>
          <w:p>
            <w:pPr>
              <w:pStyle w:val="39"/>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sz w:val="21"/>
                <w:szCs w:val="21"/>
                <w:u w:val="single"/>
                <w:lang w:eastAsia="zh-CN"/>
              </w:rPr>
            </w:pPr>
          </w:p>
        </w:tc>
        <w:tc>
          <w:tcPr>
            <w:tcW w:w="675" w:type="dxa"/>
            <w:vAlign w:val="center"/>
          </w:tcPr>
          <w:p>
            <w:pPr>
              <w:pStyle w:val="39"/>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sz w:val="21"/>
                <w:szCs w:val="21"/>
                <w:u w:val="single"/>
                <w:lang w:eastAsia="zh-CN"/>
              </w:rPr>
            </w:pPr>
          </w:p>
        </w:tc>
        <w:tc>
          <w:tcPr>
            <w:tcW w:w="660" w:type="dxa"/>
            <w:vAlign w:val="center"/>
          </w:tcPr>
          <w:p>
            <w:pPr>
              <w:pStyle w:val="3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u w:val="single"/>
                <w:lang w:val="en-US" w:eastAsia="zh-CN" w:bidi="ar-SA"/>
              </w:rPr>
            </w:pPr>
          </w:p>
        </w:tc>
        <w:tc>
          <w:tcPr>
            <w:tcW w:w="615" w:type="dxa"/>
            <w:vAlign w:val="center"/>
          </w:tcPr>
          <w:p>
            <w:pPr>
              <w:pStyle w:val="3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sz w:val="21"/>
                <w:szCs w:val="21"/>
                <w:u w:val="single"/>
                <w:lang w:eastAsia="zh-CN"/>
              </w:rPr>
              <w:t>≤1.0</w:t>
            </w:r>
          </w:p>
        </w:tc>
        <w:tc>
          <w:tcPr>
            <w:tcW w:w="735" w:type="dxa"/>
            <w:vAlign w:val="center"/>
          </w:tcPr>
          <w:p>
            <w:pPr>
              <w:pStyle w:val="3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sz w:val="21"/>
                <w:szCs w:val="21"/>
                <w:u w:val="single"/>
                <w:lang w:eastAsia="zh-CN"/>
              </w:rPr>
              <w:t>≤10</w:t>
            </w:r>
          </w:p>
        </w:tc>
        <w:tc>
          <w:tcPr>
            <w:tcW w:w="706" w:type="dxa"/>
            <w:vAlign w:val="center"/>
          </w:tcPr>
          <w:p>
            <w:pPr>
              <w:pStyle w:val="39"/>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sz w:val="21"/>
                <w:szCs w:val="21"/>
                <w:u w:val="single"/>
                <w:lang w:eastAsia="zh-CN"/>
              </w:rPr>
            </w:pPr>
          </w:p>
        </w:tc>
      </w:tr>
    </w:tbl>
    <w:p>
      <w:pPr>
        <w:pStyle w:val="39"/>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default" w:ascii="Times New Roman" w:hAnsi="Times New Roman" w:cs="Times New Roman"/>
          <w:b/>
          <w:bCs/>
          <w:color w:val="auto"/>
          <w:u w:val="single"/>
          <w:lang w:val="en-US" w:eastAsia="zh-CN"/>
        </w:rPr>
      </w:pPr>
      <w:r>
        <w:rPr>
          <w:rFonts w:hint="default" w:ascii="Times New Roman" w:hAnsi="Times New Roman" w:cs="Times New Roman"/>
          <w:b/>
          <w:bCs/>
          <w:color w:val="auto"/>
          <w:u w:val="single"/>
          <w:lang w:val="en-US" w:eastAsia="zh-CN"/>
        </w:rPr>
        <w:t>注：*------</w:t>
      </w:r>
      <w:r>
        <w:rPr>
          <w:rFonts w:hint="default" w:ascii="Times New Roman" w:hAnsi="Times New Roman" w:cs="Times New Roman"/>
          <w:color w:val="auto"/>
          <w:u w:val="single"/>
          <w:lang w:eastAsia="zh-CN"/>
        </w:rPr>
        <w:t>巴陵石化污水处理厂的进水水质要求。</w:t>
      </w:r>
      <w:r>
        <w:rPr>
          <w:rFonts w:hint="default" w:ascii="Times New Roman" w:hAnsi="Times New Roman" w:cs="Times New Roman"/>
          <w:b/>
          <w:bCs/>
          <w:color w:val="auto"/>
          <w:u w:val="single"/>
          <w:lang w:val="en-US" w:eastAsia="zh-CN"/>
        </w:rPr>
        <w:t>-</w:t>
      </w:r>
    </w:p>
    <w:p>
      <w:pPr>
        <w:pStyle w:val="7"/>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outlineLvl w:val="3"/>
        <w:rPr>
          <w:rFonts w:hint="default" w:ascii="Times New Roman" w:hAnsi="Times New Roman" w:cs="Times New Roman"/>
          <w:color w:val="auto"/>
        </w:rPr>
      </w:pPr>
      <w:r>
        <w:rPr>
          <w:rFonts w:hint="default" w:ascii="Times New Roman" w:hAnsi="Times New Roman" w:cs="Times New Roman"/>
          <w:color w:val="auto"/>
        </w:rPr>
        <w:t>废气排放标准</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u w:val="single"/>
        </w:rPr>
      </w:pPr>
      <w:r>
        <w:rPr>
          <w:rFonts w:hint="default" w:ascii="Times New Roman" w:hAnsi="Times New Roman" w:cs="Times New Roman"/>
          <w:color w:val="auto"/>
          <w:u w:val="single"/>
        </w:rPr>
        <w:t>项目废气排放执行《石油化学工业污染物排放标准》（GB31571-2015）表4中新建企业大气污染物</w:t>
      </w:r>
      <w:r>
        <w:rPr>
          <w:rFonts w:hint="default" w:ascii="Times New Roman" w:hAnsi="Times New Roman" w:cs="Times New Roman"/>
          <w:color w:val="auto"/>
          <w:u w:val="single"/>
          <w:lang w:eastAsia="zh-CN"/>
        </w:rPr>
        <w:t>特别</w:t>
      </w:r>
      <w:r>
        <w:rPr>
          <w:rFonts w:hint="default" w:ascii="Times New Roman" w:hAnsi="Times New Roman" w:cs="Times New Roman"/>
          <w:color w:val="auto"/>
          <w:u w:val="single"/>
        </w:rPr>
        <w:t>排放限值</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表7</w:t>
      </w:r>
      <w:r>
        <w:rPr>
          <w:rFonts w:hint="default" w:ascii="Times New Roman" w:hAnsi="Times New Roman" w:cs="Times New Roman"/>
          <w:color w:val="auto"/>
          <w:u w:val="single"/>
          <w:lang w:eastAsia="zh-CN"/>
        </w:rPr>
        <w:t>企业边界大气污染物浓度</w:t>
      </w:r>
      <w:r>
        <w:rPr>
          <w:rFonts w:hint="default" w:ascii="Times New Roman" w:hAnsi="Times New Roman" w:cs="Times New Roman"/>
          <w:color w:val="auto"/>
          <w:u w:val="single"/>
        </w:rPr>
        <w:t>限值</w:t>
      </w:r>
      <w:r>
        <w:rPr>
          <w:rFonts w:hint="default" w:ascii="Times New Roman" w:hAnsi="Times New Roman" w:cs="Times New Roman"/>
          <w:color w:val="auto"/>
          <w:u w:val="single"/>
          <w:lang w:eastAsia="zh-CN"/>
        </w:rPr>
        <w:t>和挥发性有机物无组织排放控制标准（GB 37822—2019）</w:t>
      </w:r>
      <w:r>
        <w:rPr>
          <w:rFonts w:hint="default" w:ascii="Times New Roman" w:hAnsi="Times New Roman" w:cs="Times New Roman"/>
          <w:color w:val="auto"/>
          <w:u w:val="single"/>
        </w:rPr>
        <w:t>要求</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标准值见表</w:t>
      </w:r>
      <w:r>
        <w:rPr>
          <w:rFonts w:hint="default" w:ascii="Times New Roman" w:hAnsi="Times New Roman" w:cs="Times New Roman"/>
          <w:color w:val="auto"/>
          <w:u w:val="single"/>
          <w:lang w:val="en-US" w:eastAsia="zh-CN"/>
        </w:rPr>
        <w:t>2-9</w:t>
      </w:r>
      <w:r>
        <w:rPr>
          <w:rFonts w:hint="default" w:ascii="Times New Roman" w:hAnsi="Times New Roman" w:cs="Times New Roman"/>
          <w:color w:val="auto"/>
          <w:u w:val="single"/>
        </w:rPr>
        <w:t>。</w:t>
      </w:r>
    </w:p>
    <w:p>
      <w:pPr>
        <w:pStyle w:val="3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
          <w:bCs/>
          <w:color w:val="auto"/>
          <w:u w:val="single"/>
        </w:rPr>
      </w:pPr>
      <w:r>
        <w:rPr>
          <w:rFonts w:hint="default" w:ascii="Times New Roman" w:hAnsi="Times New Roman" w:cs="Times New Roman"/>
          <w:b/>
          <w:bCs/>
          <w:color w:val="auto"/>
          <w:u w:val="single"/>
        </w:rPr>
        <w:t>表</w:t>
      </w:r>
      <w:r>
        <w:rPr>
          <w:rFonts w:hint="default" w:ascii="Times New Roman" w:hAnsi="Times New Roman" w:cs="Times New Roman"/>
          <w:b/>
          <w:bCs/>
          <w:color w:val="auto"/>
          <w:u w:val="single"/>
          <w:lang w:val="en-US" w:eastAsia="zh-CN"/>
        </w:rPr>
        <w:t>2-9</w:t>
      </w:r>
      <w:r>
        <w:rPr>
          <w:rFonts w:hint="default" w:ascii="Times New Roman" w:hAnsi="Times New Roman" w:cs="Times New Roman"/>
          <w:b/>
          <w:bCs/>
          <w:color w:val="auto"/>
          <w:u w:val="single"/>
        </w:rPr>
        <w:t xml:space="preserve">    石油化学工业污染物排放标准（大气污染物限值）</w:t>
      </w:r>
    </w:p>
    <w:tbl>
      <w:tblPr>
        <w:tblStyle w:val="24"/>
        <w:tblpPr w:leftFromText="180" w:rightFromText="180" w:vertAnchor="text" w:horzAnchor="page" w:tblpX="1530" w:tblpY="267"/>
        <w:tblOverlap w:val="never"/>
        <w:tblW w:w="929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71"/>
        <w:gridCol w:w="1564"/>
        <w:gridCol w:w="1840"/>
        <w:gridCol w:w="1901"/>
        <w:gridCol w:w="17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trPr>
        <w:tc>
          <w:tcPr>
            <w:tcW w:w="2271" w:type="dxa"/>
            <w:vMerge w:val="restart"/>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lang w:eastAsia="zh-CN"/>
              </w:rPr>
              <w:t>标准名称</w:t>
            </w:r>
          </w:p>
        </w:tc>
        <w:tc>
          <w:tcPr>
            <w:tcW w:w="1564" w:type="dxa"/>
            <w:vMerge w:val="restart"/>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污染物</w:t>
            </w:r>
          </w:p>
        </w:tc>
        <w:tc>
          <w:tcPr>
            <w:tcW w:w="1840" w:type="dxa"/>
            <w:vMerge w:val="restart"/>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有机废气排放口</w:t>
            </w:r>
          </w:p>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排放浓度（mg/m</w:t>
            </w:r>
            <w:r>
              <w:rPr>
                <w:rFonts w:hint="default" w:ascii="Times New Roman" w:hAnsi="Times New Roman" w:cs="Times New Roman"/>
                <w:color w:val="auto"/>
                <w:sz w:val="21"/>
                <w:szCs w:val="21"/>
                <w:u w:val="single"/>
                <w:vertAlign w:val="superscript"/>
              </w:rPr>
              <w:t>3</w:t>
            </w:r>
            <w:r>
              <w:rPr>
                <w:rFonts w:hint="default" w:ascii="Times New Roman" w:hAnsi="Times New Roman" w:cs="Times New Roman"/>
                <w:color w:val="auto"/>
                <w:sz w:val="21"/>
                <w:szCs w:val="21"/>
                <w:u w:val="single"/>
              </w:rPr>
              <w:t>）</w:t>
            </w:r>
          </w:p>
        </w:tc>
        <w:tc>
          <w:tcPr>
            <w:tcW w:w="3623" w:type="dxa"/>
            <w:gridSpan w:val="2"/>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无组织排放监控浓度限值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2271" w:type="dxa"/>
            <w:vMerge w:val="continue"/>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u w:val="single"/>
              </w:rPr>
            </w:pPr>
          </w:p>
        </w:tc>
        <w:tc>
          <w:tcPr>
            <w:tcW w:w="1564" w:type="dxa"/>
            <w:vMerge w:val="continue"/>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u w:val="single"/>
              </w:rPr>
            </w:pPr>
          </w:p>
        </w:tc>
        <w:tc>
          <w:tcPr>
            <w:tcW w:w="1840" w:type="dxa"/>
            <w:vMerge w:val="continue"/>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cs="Times New Roman"/>
                <w:color w:val="auto"/>
                <w:sz w:val="21"/>
                <w:szCs w:val="21"/>
                <w:u w:val="single"/>
              </w:rPr>
            </w:pPr>
          </w:p>
        </w:tc>
        <w:tc>
          <w:tcPr>
            <w:tcW w:w="1901" w:type="dxa"/>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监控点</w:t>
            </w:r>
          </w:p>
        </w:tc>
        <w:tc>
          <w:tcPr>
            <w:tcW w:w="1722" w:type="dxa"/>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eastAsia="zh-CN"/>
              </w:rPr>
              <w:t>小时平均浓度</w:t>
            </w:r>
            <w:r>
              <w:rPr>
                <w:rFonts w:hint="default" w:ascii="Times New Roman" w:hAnsi="Times New Roman" w:cs="Times New Roman"/>
                <w:color w:val="auto"/>
                <w:sz w:val="21"/>
                <w:szCs w:val="21"/>
                <w:u w:val="single"/>
              </w:rPr>
              <w:t>浓度(mg/m</w:t>
            </w:r>
            <w:r>
              <w:rPr>
                <w:rFonts w:hint="default" w:ascii="Times New Roman" w:hAnsi="Times New Roman" w:cs="Times New Roman"/>
                <w:color w:val="auto"/>
                <w:sz w:val="21"/>
                <w:szCs w:val="21"/>
                <w:u w:val="single"/>
                <w:vertAlign w:val="superscript"/>
              </w:rPr>
              <w:t>3</w:t>
            </w:r>
            <w:r>
              <w:rPr>
                <w:rFonts w:hint="default" w:ascii="Times New Roman" w:hAnsi="Times New Roman" w:cs="Times New Roman"/>
                <w:color w:val="auto"/>
                <w:sz w:val="21"/>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2" w:hRule="atLeast"/>
        </w:trPr>
        <w:tc>
          <w:tcPr>
            <w:tcW w:w="2271" w:type="dxa"/>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rPr>
              <w:t>《石油化学工业污染物排放标准》（GB31571-2015）</w:t>
            </w:r>
            <w:r>
              <w:rPr>
                <w:rFonts w:hint="default" w:ascii="Times New Roman" w:hAnsi="Times New Roman" w:cs="Times New Roman"/>
                <w:color w:val="auto"/>
                <w:sz w:val="21"/>
                <w:szCs w:val="21"/>
                <w:u w:val="single"/>
                <w:lang w:eastAsia="zh-CN"/>
              </w:rPr>
              <w:t>特别限值</w:t>
            </w:r>
          </w:p>
        </w:tc>
        <w:tc>
          <w:tcPr>
            <w:tcW w:w="1564" w:type="dxa"/>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NMHC</w:t>
            </w:r>
          </w:p>
        </w:tc>
        <w:tc>
          <w:tcPr>
            <w:tcW w:w="1840" w:type="dxa"/>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120</w:t>
            </w:r>
            <w:r>
              <w:rPr>
                <w:rFonts w:hint="default" w:ascii="Times New Roman" w:hAnsi="Times New Roman" w:cs="Times New Roman"/>
                <w:color w:val="auto"/>
                <w:sz w:val="21"/>
                <w:szCs w:val="21"/>
                <w:u w:val="single"/>
                <w:lang w:val="en-US" w:eastAsia="zh-CN"/>
              </w:rPr>
              <w:t xml:space="preserve"> </w:t>
            </w:r>
            <w:r>
              <w:rPr>
                <w:rFonts w:hint="default" w:ascii="Times New Roman" w:hAnsi="Times New Roman" w:cs="Times New Roman"/>
                <w:color w:val="auto"/>
                <w:sz w:val="21"/>
                <w:szCs w:val="21"/>
                <w:u w:val="single"/>
              </w:rPr>
              <w:t>mg/m</w:t>
            </w:r>
            <w:r>
              <w:rPr>
                <w:rFonts w:hint="default" w:ascii="Times New Roman" w:hAnsi="Times New Roman" w:cs="Times New Roman"/>
                <w:color w:val="auto"/>
                <w:sz w:val="21"/>
                <w:szCs w:val="21"/>
                <w:u w:val="single"/>
                <w:vertAlign w:val="superscript"/>
              </w:rPr>
              <w:t>3</w:t>
            </w:r>
            <w:r>
              <w:rPr>
                <w:rFonts w:hint="default" w:ascii="Times New Roman" w:hAnsi="Times New Roman" w:cs="Times New Roman"/>
                <w:color w:val="auto"/>
                <w:sz w:val="21"/>
                <w:szCs w:val="21"/>
                <w:u w:val="single"/>
              </w:rPr>
              <w:t>，</w:t>
            </w:r>
          </w:p>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除去率≥9</w:t>
            </w:r>
            <w:r>
              <w:rPr>
                <w:rFonts w:hint="default" w:ascii="Times New Roman" w:hAnsi="Times New Roman" w:cs="Times New Roman"/>
                <w:color w:val="auto"/>
                <w:sz w:val="21"/>
                <w:szCs w:val="21"/>
                <w:u w:val="single"/>
                <w:lang w:val="en-US" w:eastAsia="zh-CN"/>
              </w:rPr>
              <w:t>7</w:t>
            </w:r>
            <w:r>
              <w:rPr>
                <w:rFonts w:hint="default" w:ascii="Times New Roman" w:hAnsi="Times New Roman" w:cs="Times New Roman"/>
                <w:color w:val="auto"/>
                <w:sz w:val="21"/>
                <w:szCs w:val="21"/>
                <w:u w:val="single"/>
              </w:rPr>
              <w:t>%</w:t>
            </w:r>
          </w:p>
        </w:tc>
        <w:tc>
          <w:tcPr>
            <w:tcW w:w="1901" w:type="dxa"/>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lang w:eastAsia="zh-CN"/>
              </w:rPr>
              <w:t>企业边界</w:t>
            </w:r>
          </w:p>
        </w:tc>
        <w:tc>
          <w:tcPr>
            <w:tcW w:w="1722" w:type="dxa"/>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4.0</w:t>
            </w:r>
            <w:r>
              <w:rPr>
                <w:rFonts w:hint="default" w:ascii="Times New Roman" w:hAnsi="Times New Roman" w:cs="Times New Roman"/>
                <w:color w:val="auto"/>
                <w:sz w:val="21"/>
                <w:szCs w:val="21"/>
                <w:u w:val="single"/>
                <w:lang w:val="en-US" w:eastAsia="zh-CN"/>
              </w:rPr>
              <w:t xml:space="preserve"> </w:t>
            </w:r>
            <w:r>
              <w:rPr>
                <w:rFonts w:hint="default" w:ascii="Times New Roman" w:hAnsi="Times New Roman" w:cs="Times New Roman"/>
                <w:color w:val="auto"/>
                <w:sz w:val="21"/>
                <w:szCs w:val="21"/>
                <w:u w:val="single"/>
              </w:rPr>
              <w:t>mg/m</w:t>
            </w:r>
            <w:r>
              <w:rPr>
                <w:rFonts w:hint="default" w:ascii="Times New Roman" w:hAnsi="Times New Roman" w:cs="Times New Roman"/>
                <w:color w:val="auto"/>
                <w:sz w:val="21"/>
                <w:szCs w:val="21"/>
                <w:u w:val="singl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227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u w:val="single"/>
                <w:lang w:eastAsia="zh-CN"/>
              </w:rPr>
              <w:t>挥发性有机物无组织排放控制标准（GB 37822—2019）</w:t>
            </w:r>
          </w:p>
        </w:tc>
        <w:tc>
          <w:tcPr>
            <w:tcW w:w="1564" w:type="dxa"/>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sz w:val="21"/>
                <w:szCs w:val="21"/>
                <w:u w:val="single"/>
              </w:rPr>
              <w:t>NMHC</w:t>
            </w:r>
          </w:p>
        </w:tc>
        <w:tc>
          <w:tcPr>
            <w:tcW w:w="1840" w:type="dxa"/>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u w:val="single"/>
                <w:lang w:val="en-US" w:eastAsia="zh-CN" w:bidi="ar-SA"/>
              </w:rPr>
            </w:pPr>
          </w:p>
        </w:tc>
        <w:tc>
          <w:tcPr>
            <w:tcW w:w="1901" w:type="dxa"/>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sz w:val="21"/>
                <w:szCs w:val="21"/>
                <w:u w:val="single"/>
                <w:lang w:eastAsia="zh-CN"/>
              </w:rPr>
              <w:t>在厂房外设置监控点</w:t>
            </w:r>
          </w:p>
        </w:tc>
        <w:tc>
          <w:tcPr>
            <w:tcW w:w="1722" w:type="dxa"/>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sz w:val="21"/>
                <w:szCs w:val="21"/>
                <w:u w:val="single"/>
                <w:lang w:val="en-US" w:eastAsia="zh-CN"/>
              </w:rPr>
              <w:t>6</w:t>
            </w:r>
            <w:r>
              <w:rPr>
                <w:rFonts w:hint="default" w:ascii="Times New Roman" w:hAnsi="Times New Roman" w:cs="Times New Roman"/>
                <w:color w:val="auto"/>
                <w:sz w:val="21"/>
                <w:szCs w:val="21"/>
                <w:u w:val="single"/>
              </w:rPr>
              <w:t>.0</w:t>
            </w:r>
            <w:r>
              <w:rPr>
                <w:rFonts w:hint="default" w:ascii="Times New Roman" w:hAnsi="Times New Roman" w:cs="Times New Roman"/>
                <w:color w:val="auto"/>
                <w:sz w:val="21"/>
                <w:szCs w:val="21"/>
                <w:u w:val="single"/>
                <w:lang w:val="en-US" w:eastAsia="zh-CN"/>
              </w:rPr>
              <w:t xml:space="preserve"> </w:t>
            </w:r>
            <w:r>
              <w:rPr>
                <w:rFonts w:hint="default" w:ascii="Times New Roman" w:hAnsi="Times New Roman" w:cs="Times New Roman"/>
                <w:color w:val="auto"/>
                <w:sz w:val="21"/>
                <w:szCs w:val="21"/>
                <w:u w:val="single"/>
              </w:rPr>
              <w:t>mg/m</w:t>
            </w:r>
            <w:r>
              <w:rPr>
                <w:rFonts w:hint="default" w:ascii="Times New Roman" w:hAnsi="Times New Roman" w:cs="Times New Roman"/>
                <w:color w:val="auto"/>
                <w:sz w:val="21"/>
                <w:szCs w:val="21"/>
                <w:u w:val="single"/>
                <w:vertAlign w:val="superscript"/>
              </w:rPr>
              <w:t>3</w:t>
            </w:r>
          </w:p>
        </w:tc>
      </w:tr>
    </w:tbl>
    <w:p>
      <w:pPr>
        <w:pStyle w:val="7"/>
        <w:keepNext w:val="0"/>
        <w:keepLines w:val="0"/>
        <w:pageBreakBefore w:val="0"/>
        <w:widowControl w:val="0"/>
        <w:numPr>
          <w:ilvl w:val="3"/>
          <w:numId w:val="0"/>
        </w:numPr>
        <w:kinsoku/>
        <w:wordWrap/>
        <w:overflowPunct/>
        <w:topLinePunct w:val="0"/>
        <w:autoSpaceDE/>
        <w:autoSpaceDN/>
        <w:bidi w:val="0"/>
        <w:adjustRightInd w:val="0"/>
        <w:snapToGrid w:val="0"/>
        <w:spacing w:beforeLines="0" w:afterLines="0" w:line="360" w:lineRule="auto"/>
        <w:ind w:leftChars="0"/>
        <w:textAlignment w:val="auto"/>
        <w:outlineLvl w:val="3"/>
        <w:rPr>
          <w:rFonts w:hint="default" w:ascii="Times New Roman" w:hAnsi="Times New Roman" w:cs="Times New Roman"/>
          <w:color w:val="auto"/>
        </w:rPr>
      </w:pPr>
    </w:p>
    <w:p>
      <w:pPr>
        <w:pStyle w:val="7"/>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outlineLvl w:val="3"/>
        <w:rPr>
          <w:rFonts w:hint="default" w:ascii="Times New Roman" w:hAnsi="Times New Roman" w:cs="Times New Roman"/>
          <w:color w:val="auto"/>
        </w:rPr>
      </w:pPr>
      <w:r>
        <w:rPr>
          <w:rFonts w:hint="default" w:ascii="Times New Roman" w:hAnsi="Times New Roman" w:cs="Times New Roman"/>
          <w:color w:val="auto"/>
        </w:rPr>
        <w:t>固体废物控制标准</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一般工业固体废物执行</w:t>
      </w:r>
      <w:r>
        <w:rPr>
          <w:rFonts w:hint="default" w:ascii="Times New Roman" w:hAnsi="Times New Roman" w:cs="Times New Roman"/>
          <w:color w:val="auto"/>
          <w:lang w:eastAsia="zh-CN"/>
        </w:rPr>
        <w:t>《</w:t>
      </w:r>
      <w:r>
        <w:rPr>
          <w:rFonts w:hint="default" w:ascii="Times New Roman" w:hAnsi="Times New Roman" w:cs="Times New Roman"/>
          <w:color w:val="auto"/>
        </w:rPr>
        <w:t>一般工业固体废物贮存和填埋污染控制标准</w:t>
      </w:r>
      <w:r>
        <w:rPr>
          <w:rFonts w:hint="default" w:ascii="Times New Roman" w:hAnsi="Times New Roman" w:cs="Times New Roman"/>
          <w:color w:val="auto"/>
          <w:lang w:eastAsia="zh-CN"/>
        </w:rPr>
        <w:t>》（</w:t>
      </w:r>
      <w:r>
        <w:rPr>
          <w:rFonts w:hint="default" w:ascii="Times New Roman" w:hAnsi="Times New Roman" w:cs="Times New Roman"/>
          <w:color w:val="auto"/>
        </w:rPr>
        <w:t>GB18599-2020</w:t>
      </w:r>
      <w:r>
        <w:rPr>
          <w:rFonts w:hint="default" w:ascii="Times New Roman" w:hAnsi="Times New Roman" w:cs="Times New Roman"/>
          <w:color w:val="auto"/>
          <w:lang w:eastAsia="zh-CN"/>
        </w:rPr>
        <w:t>）</w:t>
      </w:r>
      <w:r>
        <w:rPr>
          <w:rFonts w:hint="default" w:ascii="Times New Roman" w:hAnsi="Times New Roman" w:cs="Times New Roman"/>
          <w:color w:val="auto"/>
        </w:rPr>
        <w:t>；危险废物贮存执行《危险废物贮存污染控制标准》（GB18597-2001）及2013年修改单要求和《危险废物收集贮存运输技术规范》（HJ2025-2012）相关标准；生活垃圾执行《生活垃圾填埋场污染控制标准》（GB16889-2008）。</w:t>
      </w:r>
    </w:p>
    <w:p>
      <w:pPr>
        <w:pStyle w:val="7"/>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outlineLvl w:val="3"/>
        <w:rPr>
          <w:rFonts w:hint="default" w:ascii="Times New Roman" w:hAnsi="Times New Roman" w:cs="Times New Roman"/>
          <w:color w:val="auto"/>
        </w:rPr>
      </w:pPr>
      <w:r>
        <w:rPr>
          <w:rFonts w:hint="default" w:ascii="Times New Roman" w:hAnsi="Times New Roman" w:cs="Times New Roman"/>
          <w:color w:val="auto"/>
        </w:rPr>
        <w:t>噪声排放标准</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施工期噪声执行《建筑施工场界环境噪声排放标准》（GB12523-2011）；运营期噪声执行《工业企业厂界环境噪声排放标准》（GB12348-2008）中的3类标准。标准限值</w:t>
      </w:r>
      <w:r>
        <w:rPr>
          <w:rFonts w:hint="default" w:ascii="Times New Roman" w:hAnsi="Times New Roman" w:cs="Times New Roman"/>
          <w:color w:val="auto"/>
          <w:lang w:eastAsia="zh-CN"/>
        </w:rPr>
        <w:t>分别</w:t>
      </w:r>
      <w:r>
        <w:rPr>
          <w:rFonts w:hint="default" w:ascii="Times New Roman" w:hAnsi="Times New Roman" w:cs="Times New Roman"/>
          <w:color w:val="auto"/>
        </w:rPr>
        <w:t>见表</w:t>
      </w:r>
      <w:r>
        <w:rPr>
          <w:rFonts w:hint="default" w:ascii="Times New Roman" w:hAnsi="Times New Roman" w:cs="Times New Roman"/>
          <w:color w:val="auto"/>
          <w:lang w:val="en-US" w:eastAsia="zh-CN"/>
        </w:rPr>
        <w:t>2-10和表2-11</w:t>
      </w:r>
      <w:r>
        <w:rPr>
          <w:rFonts w:hint="default" w:ascii="Times New Roman" w:hAnsi="Times New Roman" w:cs="Times New Roman"/>
          <w:color w:val="auto"/>
        </w:rPr>
        <w:t>。</w:t>
      </w: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lang w:val="zh-CN" w:eastAsia="zh-CN"/>
        </w:rPr>
      </w:pPr>
      <w:r>
        <w:rPr>
          <w:rFonts w:hint="default" w:ascii="Times New Roman" w:hAnsi="Times New Roman" w:cs="Times New Roman"/>
          <w:color w:val="auto"/>
          <w:lang w:val="zh-CN"/>
        </w:rPr>
        <w:t>表</w:t>
      </w:r>
      <w:r>
        <w:rPr>
          <w:rFonts w:hint="default" w:ascii="Times New Roman" w:hAnsi="Times New Roman" w:cs="Times New Roman"/>
          <w:color w:val="auto"/>
          <w:lang w:val="zh-CN"/>
        </w:rPr>
        <w:fldChar w:fldCharType="begin"/>
      </w:r>
      <w:r>
        <w:rPr>
          <w:rFonts w:hint="default" w:ascii="Times New Roman" w:hAnsi="Times New Roman" w:cs="Times New Roman"/>
          <w:color w:val="auto"/>
          <w:lang w:val="zh-CN"/>
        </w:rPr>
        <w:instrText xml:space="preserve"> STYLEREF 1 \s </w:instrText>
      </w:r>
      <w:r>
        <w:rPr>
          <w:rFonts w:hint="default" w:ascii="Times New Roman" w:hAnsi="Times New Roman" w:cs="Times New Roman"/>
          <w:color w:val="auto"/>
          <w:lang w:val="zh-CN"/>
        </w:rPr>
        <w:fldChar w:fldCharType="separate"/>
      </w:r>
      <w:r>
        <w:rPr>
          <w:rFonts w:hint="default" w:ascii="Times New Roman" w:hAnsi="Times New Roman" w:cs="Times New Roman"/>
          <w:color w:val="auto"/>
          <w:lang w:val="zh-CN"/>
        </w:rPr>
        <w:t>2</w:t>
      </w:r>
      <w:r>
        <w:rPr>
          <w:rFonts w:hint="default" w:ascii="Times New Roman" w:hAnsi="Times New Roman" w:cs="Times New Roman"/>
          <w:color w:val="auto"/>
          <w:lang w:val="zh-CN"/>
        </w:rPr>
        <w:fldChar w:fldCharType="end"/>
      </w:r>
      <w:r>
        <w:rPr>
          <w:rFonts w:hint="default" w:ascii="Times New Roman" w:hAnsi="Times New Roman" w:cs="Times New Roman"/>
          <w:color w:val="auto"/>
          <w:lang w:val="en-US" w:eastAsia="zh-CN"/>
        </w:rPr>
        <w:t xml:space="preserve">-10  </w:t>
      </w:r>
      <w:r>
        <w:rPr>
          <w:rFonts w:hint="default" w:ascii="Times New Roman" w:hAnsi="Times New Roman" w:cs="Times New Roman"/>
          <w:color w:val="auto"/>
          <w:lang w:val="zh-CN" w:eastAsia="zh-CN"/>
        </w:rPr>
        <w:t>建筑施工场界环境噪声排放标准，      单位：dB（A）</w:t>
      </w:r>
    </w:p>
    <w:tbl>
      <w:tblPr>
        <w:tblStyle w:val="24"/>
        <w:tblW w:w="92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503"/>
        <w:gridCol w:w="47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50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昼间</w:t>
            </w:r>
          </w:p>
        </w:tc>
        <w:tc>
          <w:tcPr>
            <w:tcW w:w="478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50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70</w:t>
            </w:r>
          </w:p>
        </w:tc>
        <w:tc>
          <w:tcPr>
            <w:tcW w:w="478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55</w:t>
            </w:r>
          </w:p>
        </w:tc>
      </w:tr>
    </w:tbl>
    <w:p>
      <w:pPr>
        <w:pStyle w:val="14"/>
        <w:bidi w:val="0"/>
        <w:rPr>
          <w:rFonts w:hint="default" w:ascii="Times New Roman" w:hAnsi="Times New Roman" w:cs="Times New Roman"/>
          <w:color w:val="auto"/>
          <w:lang w:val="zh-CN" w:eastAsia="zh-CN"/>
        </w:rPr>
      </w:pPr>
    </w:p>
    <w:p>
      <w:pPr>
        <w:pStyle w:val="14"/>
        <w:bidi w:val="0"/>
        <w:rPr>
          <w:rFonts w:hint="default" w:ascii="Times New Roman" w:hAnsi="Times New Roman" w:cs="Times New Roman"/>
          <w:color w:val="auto"/>
          <w:lang w:val="zh-CN" w:eastAsia="zh-CN"/>
        </w:rPr>
      </w:pPr>
      <w:r>
        <w:rPr>
          <w:rFonts w:hint="default" w:ascii="Times New Roman" w:hAnsi="Times New Roman" w:cs="Times New Roman"/>
          <w:color w:val="auto"/>
          <w:lang w:val="zh-CN" w:eastAsia="zh-CN"/>
        </w:rPr>
        <w:t>表</w:t>
      </w:r>
      <w:r>
        <w:rPr>
          <w:rFonts w:hint="default" w:ascii="Times New Roman" w:hAnsi="Times New Roman" w:cs="Times New Roman"/>
          <w:color w:val="auto"/>
          <w:lang w:val="zh-CN" w:eastAsia="zh-CN"/>
        </w:rPr>
        <w:fldChar w:fldCharType="begin"/>
      </w:r>
      <w:r>
        <w:rPr>
          <w:rFonts w:hint="default" w:ascii="Times New Roman" w:hAnsi="Times New Roman" w:cs="Times New Roman"/>
          <w:color w:val="auto"/>
          <w:lang w:val="zh-CN" w:eastAsia="zh-CN"/>
        </w:rPr>
        <w:instrText xml:space="preserve"> STYLEREF 1 \s </w:instrText>
      </w:r>
      <w:r>
        <w:rPr>
          <w:rFonts w:hint="default" w:ascii="Times New Roman" w:hAnsi="Times New Roman" w:cs="Times New Roman"/>
          <w:color w:val="auto"/>
          <w:lang w:val="zh-CN" w:eastAsia="zh-CN"/>
        </w:rPr>
        <w:fldChar w:fldCharType="separate"/>
      </w:r>
      <w:r>
        <w:rPr>
          <w:rFonts w:hint="default" w:ascii="Times New Roman" w:hAnsi="Times New Roman" w:cs="Times New Roman"/>
          <w:color w:val="auto"/>
          <w:lang w:val="zh-CN" w:eastAsia="zh-CN"/>
        </w:rPr>
        <w:t>2</w:t>
      </w:r>
      <w:r>
        <w:rPr>
          <w:rFonts w:hint="default" w:ascii="Times New Roman" w:hAnsi="Times New Roman" w:cs="Times New Roman"/>
          <w:color w:val="auto"/>
          <w:lang w:val="zh-CN" w:eastAsia="zh-CN"/>
        </w:rPr>
        <w:fldChar w:fldCharType="end"/>
      </w:r>
      <w:r>
        <w:rPr>
          <w:rFonts w:hint="default" w:ascii="Times New Roman" w:hAnsi="Times New Roman" w:cs="Times New Roman"/>
          <w:color w:val="auto"/>
          <w:lang w:val="en-US" w:eastAsia="zh-CN"/>
        </w:rPr>
        <w:t>-11</w:t>
      </w:r>
      <w:r>
        <w:rPr>
          <w:rFonts w:hint="default" w:ascii="Times New Roman" w:hAnsi="Times New Roman" w:cs="Times New Roman"/>
          <w:color w:val="auto"/>
          <w:lang w:val="zh-CN" w:eastAsia="zh-CN"/>
        </w:rPr>
        <w:t xml:space="preserve"> 工业企业噪声排放边界噪声排放限值    单位：dB（A）</w:t>
      </w:r>
    </w:p>
    <w:tbl>
      <w:tblPr>
        <w:tblStyle w:val="24"/>
        <w:tblW w:w="92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116"/>
        <w:gridCol w:w="3163"/>
        <w:gridCol w:w="30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1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类别</w:t>
            </w:r>
          </w:p>
        </w:tc>
        <w:tc>
          <w:tcPr>
            <w:tcW w:w="316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昼间</w:t>
            </w:r>
          </w:p>
        </w:tc>
        <w:tc>
          <w:tcPr>
            <w:tcW w:w="300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1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3类</w:t>
            </w:r>
          </w:p>
        </w:tc>
        <w:tc>
          <w:tcPr>
            <w:tcW w:w="316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65</w:t>
            </w:r>
          </w:p>
        </w:tc>
        <w:tc>
          <w:tcPr>
            <w:tcW w:w="300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55</w:t>
            </w:r>
          </w:p>
        </w:tc>
      </w:tr>
    </w:tbl>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146" w:name="_Toc1914"/>
      <w:bookmarkStart w:id="147" w:name="_Toc29020"/>
      <w:bookmarkStart w:id="148" w:name="_Toc19872"/>
      <w:r>
        <w:rPr>
          <w:rFonts w:hint="default" w:ascii="Times New Roman" w:hAnsi="Times New Roman" w:cs="Times New Roman"/>
          <w:color w:val="auto"/>
        </w:rPr>
        <w:t>评价工作等级及评价范围</w:t>
      </w:r>
      <w:bookmarkEnd w:id="146"/>
      <w:bookmarkEnd w:id="147"/>
      <w:bookmarkEnd w:id="148"/>
    </w:p>
    <w:p>
      <w:pPr>
        <w:pStyle w:val="7"/>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bookmarkStart w:id="149" w:name="_Toc328401228"/>
      <w:bookmarkStart w:id="150" w:name="_Toc328547966"/>
      <w:bookmarkStart w:id="151" w:name="_Toc328401043"/>
      <w:bookmarkStart w:id="152" w:name="_Toc207600090"/>
      <w:bookmarkStart w:id="153" w:name="_Toc306024697"/>
      <w:bookmarkStart w:id="154" w:name="_Toc302766702"/>
      <w:bookmarkStart w:id="155" w:name="_Toc306096895"/>
      <w:bookmarkStart w:id="156" w:name="_Toc328548562"/>
      <w:bookmarkStart w:id="157" w:name="_Toc197181325"/>
      <w:bookmarkStart w:id="158" w:name="_Toc162454426"/>
      <w:bookmarkStart w:id="159" w:name="_Toc5458"/>
      <w:bookmarkStart w:id="160" w:name="_Toc221507093"/>
      <w:bookmarkStart w:id="161" w:name="_Toc11656"/>
      <w:bookmarkStart w:id="162" w:name="_Toc153093135"/>
      <w:bookmarkStart w:id="163" w:name="_Toc184474603"/>
      <w:bookmarkStart w:id="164" w:name="_Toc230948758"/>
      <w:bookmarkStart w:id="165" w:name="_Toc211677965"/>
      <w:bookmarkStart w:id="166" w:name="_Toc192252180"/>
      <w:bookmarkStart w:id="167" w:name="_Toc184481821"/>
      <w:bookmarkStart w:id="168" w:name="_Toc268574492"/>
      <w:bookmarkStart w:id="169" w:name="_Toc236848692"/>
      <w:bookmarkStart w:id="170" w:name="_Toc184481264"/>
      <w:bookmarkStart w:id="171" w:name="_Toc205780547"/>
      <w:bookmarkStart w:id="172" w:name="_Toc184400223"/>
      <w:bookmarkStart w:id="173" w:name="_Toc176518439"/>
      <w:bookmarkStart w:id="174" w:name="_Toc219145566"/>
      <w:bookmarkStart w:id="175" w:name="_Toc304578437"/>
      <w:bookmarkStart w:id="176" w:name="_Toc174898453"/>
      <w:bookmarkStart w:id="177" w:name="_Toc203273804"/>
      <w:bookmarkStart w:id="178" w:name="_Toc205780760"/>
      <w:bookmarkStart w:id="179" w:name="_Toc287294867"/>
      <w:bookmarkStart w:id="180" w:name="_Toc211618243"/>
      <w:bookmarkStart w:id="181" w:name="_Toc205130701"/>
      <w:bookmarkStart w:id="182" w:name="_Toc205087838"/>
      <w:bookmarkStart w:id="183" w:name="_Toc203272569"/>
      <w:bookmarkStart w:id="184" w:name="_Toc228020738"/>
      <w:r>
        <w:rPr>
          <w:rFonts w:hint="default" w:ascii="Times New Roman" w:hAnsi="Times New Roman" w:cs="Times New Roman"/>
          <w:color w:val="auto"/>
        </w:rPr>
        <w:t>大气环境评价工作等级和评价范围</w:t>
      </w:r>
      <w:bookmarkEnd w:id="149"/>
      <w:bookmarkEnd w:id="150"/>
      <w:bookmarkEnd w:id="151"/>
      <w:bookmarkEnd w:id="152"/>
      <w:bookmarkEnd w:id="153"/>
      <w:bookmarkEnd w:id="154"/>
      <w:bookmarkEnd w:id="155"/>
      <w:bookmarkEnd w:id="156"/>
      <w:bookmarkEnd w:id="157"/>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lang w:eastAsia="zh-CN"/>
        </w:rPr>
      </w:pPr>
      <w:bookmarkStart w:id="185" w:name="_Toc306096896"/>
      <w:bookmarkStart w:id="186" w:name="_Toc306024698"/>
      <w:r>
        <w:rPr>
          <w:rFonts w:hint="default" w:ascii="Times New Roman" w:hAnsi="Times New Roman" w:cs="Times New Roman"/>
          <w:color w:val="auto"/>
        </w:rPr>
        <w:t>本项目运营期</w:t>
      </w:r>
      <w:r>
        <w:rPr>
          <w:rFonts w:hint="default" w:ascii="Times New Roman" w:hAnsi="Times New Roman" w:cs="Times New Roman"/>
          <w:color w:val="auto"/>
          <w:lang w:eastAsia="zh-CN"/>
        </w:rPr>
        <w:t>排放的废气分为三类：</w:t>
      </w:r>
    </w:p>
    <w:p>
      <w:pPr>
        <w:pStyle w:val="39"/>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u w:val="single"/>
          <w:lang w:eastAsia="zh-CN"/>
        </w:rPr>
      </w:pPr>
      <w:r>
        <w:rPr>
          <w:rFonts w:hint="default" w:ascii="Times New Roman" w:hAnsi="Times New Roman" w:cs="Times New Roman"/>
          <w:color w:val="auto"/>
          <w:u w:val="single"/>
          <w:lang w:eastAsia="zh-CN"/>
        </w:rPr>
        <w:t>环己烷回收系统由蒸馏釜、蒸馏塔、冷凝器和环己烷回收罐组成。环己烷在回收冷凝过程中有少量冷凝废气产生。废气主要成分为水分及少量环己烷；</w:t>
      </w:r>
    </w:p>
    <w:p>
      <w:pPr>
        <w:pStyle w:val="39"/>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lang w:eastAsia="zh-CN"/>
        </w:rPr>
        <w:t>生产过程中，每个批次生产完结后有保护反应及物料用的氮气放空，属于间歇产生。放空氮气绝大部分为纯氮气，夹带微量环己烷；</w:t>
      </w:r>
    </w:p>
    <w:p>
      <w:pPr>
        <w:pStyle w:val="39"/>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lang w:eastAsia="zh-CN"/>
        </w:rPr>
        <w:t>原料在灌装过程和给料接口逸散出无组织</w:t>
      </w:r>
      <w:r>
        <w:rPr>
          <w:rFonts w:hint="default" w:ascii="Times New Roman" w:hAnsi="Times New Roman" w:cs="Times New Roman"/>
          <w:color w:val="auto"/>
        </w:rPr>
        <w:t>废气</w:t>
      </w:r>
      <w:r>
        <w:rPr>
          <w:rFonts w:hint="default" w:ascii="Times New Roman" w:hAnsi="Times New Roman" w:cs="Times New Roman"/>
          <w:color w:val="auto"/>
          <w:lang w:eastAsia="zh-CN"/>
        </w:rPr>
        <w:t>，逸散的废气含有微量环己烷；</w:t>
      </w:r>
    </w:p>
    <w:p>
      <w:pPr>
        <w:pStyle w:val="39"/>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lang w:eastAsia="zh-CN"/>
        </w:rPr>
        <w:t>废气</w:t>
      </w:r>
      <w:r>
        <w:rPr>
          <w:rFonts w:hint="default" w:ascii="Times New Roman" w:hAnsi="Times New Roman" w:cs="Times New Roman"/>
          <w:color w:val="auto"/>
        </w:rPr>
        <w:t>排放的大气污染物是</w:t>
      </w:r>
      <w:r>
        <w:rPr>
          <w:rFonts w:hint="default" w:ascii="Times New Roman" w:hAnsi="Times New Roman" w:cs="Times New Roman"/>
          <w:color w:val="auto"/>
          <w:lang w:val="en-US" w:eastAsia="zh-CN"/>
        </w:rPr>
        <w:t>VOCs</w:t>
      </w:r>
      <w:r>
        <w:rPr>
          <w:rFonts w:hint="default" w:ascii="Times New Roman" w:hAnsi="Times New Roman" w:cs="Times New Roman"/>
          <w:color w:val="auto"/>
        </w:rPr>
        <w:t>。</w:t>
      </w:r>
    </w:p>
    <w:p>
      <w:pPr>
        <w:pStyle w:val="3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u w:val="none"/>
          <w:lang w:val="en-US" w:eastAsia="zh-CN"/>
        </w:rPr>
      </w:pPr>
      <w:r>
        <w:rPr>
          <w:rFonts w:hint="default" w:ascii="Times New Roman" w:hAnsi="Times New Roman" w:cs="Times New Roman"/>
          <w:color w:val="auto"/>
        </w:rPr>
        <w:t>本项目运营期</w:t>
      </w:r>
      <w:r>
        <w:rPr>
          <w:rFonts w:hint="default" w:ascii="Times New Roman" w:hAnsi="Times New Roman" w:cs="Times New Roman"/>
          <w:color w:val="auto"/>
          <w:lang w:eastAsia="zh-CN"/>
        </w:rPr>
        <w:t>排放的三种废气</w:t>
      </w:r>
      <w:r>
        <w:rPr>
          <w:rFonts w:hint="default" w:ascii="Times New Roman" w:hAnsi="Times New Roman" w:cs="Times New Roman"/>
          <w:color w:val="auto"/>
        </w:rPr>
        <w:t>配套</w:t>
      </w:r>
      <w:r>
        <w:rPr>
          <w:rFonts w:hint="default" w:ascii="Times New Roman" w:hAnsi="Times New Roman" w:cs="Times New Roman"/>
          <w:color w:val="auto"/>
          <w:lang w:eastAsia="zh-CN"/>
        </w:rPr>
        <w:t>各自的</w:t>
      </w:r>
      <w:r>
        <w:rPr>
          <w:rFonts w:hint="default" w:ascii="Times New Roman" w:hAnsi="Times New Roman" w:cs="Times New Roman"/>
          <w:color w:val="auto"/>
        </w:rPr>
        <w:t>气体收集系统</w:t>
      </w:r>
      <w:r>
        <w:rPr>
          <w:rFonts w:hint="default" w:ascii="Times New Roman" w:hAnsi="Times New Roman" w:cs="Times New Roman"/>
          <w:color w:val="auto"/>
          <w:lang w:eastAsia="zh-CN"/>
        </w:rPr>
        <w:t>后</w:t>
      </w:r>
      <w:r>
        <w:rPr>
          <w:rFonts w:hint="default" w:ascii="Times New Roman" w:hAnsi="Times New Roman" w:cs="Times New Roman"/>
          <w:color w:val="auto"/>
        </w:rPr>
        <w:t>，</w:t>
      </w:r>
      <w:r>
        <w:rPr>
          <w:rFonts w:hint="default" w:ascii="Times New Roman" w:hAnsi="Times New Roman" w:cs="Times New Roman"/>
          <w:color w:val="auto"/>
          <w:lang w:eastAsia="zh-CN"/>
        </w:rPr>
        <w:t>通过</w:t>
      </w:r>
      <w:r>
        <w:rPr>
          <w:rFonts w:hint="default" w:ascii="Times New Roman" w:hAnsi="Times New Roman" w:cs="Times New Roman"/>
          <w:color w:val="auto"/>
          <w:lang w:val="en-US" w:eastAsia="zh-CN"/>
        </w:rPr>
        <w:t>3000m3/h</w:t>
      </w:r>
      <w:r>
        <w:rPr>
          <w:rFonts w:hint="default" w:ascii="Times New Roman" w:hAnsi="Times New Roman" w:cs="Times New Roman"/>
          <w:color w:val="auto"/>
          <w:lang w:eastAsia="zh-CN"/>
        </w:rPr>
        <w:t>风机和管网接入</w:t>
      </w:r>
      <w:r>
        <w:rPr>
          <w:rFonts w:hint="default" w:ascii="Times New Roman" w:hAnsi="Times New Roman" w:cs="Times New Roman"/>
          <w:color w:val="auto"/>
        </w:rPr>
        <w:t>巴陵石化放空总管，排至</w:t>
      </w:r>
      <w:r>
        <w:rPr>
          <w:rFonts w:hint="default" w:ascii="Times New Roman" w:hAnsi="Times New Roman" w:cs="Times New Roman"/>
          <w:color w:val="auto"/>
          <w:lang w:eastAsia="zh-CN"/>
        </w:rPr>
        <w:t>巴陵石化公司</w:t>
      </w:r>
      <w:r>
        <w:rPr>
          <w:rFonts w:hint="default" w:ascii="Times New Roman" w:hAnsi="Times New Roman" w:cs="Times New Roman"/>
          <w:color w:val="auto"/>
        </w:rPr>
        <w:t>火炬台进行燃烧处理</w:t>
      </w:r>
      <w:r>
        <w:rPr>
          <w:rFonts w:hint="default" w:ascii="Times New Roman" w:hAnsi="Times New Roman" w:cs="Times New Roman"/>
          <w:color w:val="auto"/>
          <w:lang w:eastAsia="zh-CN"/>
        </w:rPr>
        <w:t>。巴陵石化公司</w:t>
      </w:r>
      <w:r>
        <w:rPr>
          <w:rFonts w:hint="default" w:ascii="Times New Roman" w:hAnsi="Times New Roman" w:cs="Times New Roman"/>
          <w:color w:val="auto"/>
        </w:rPr>
        <w:t>火炬台进行燃烧</w:t>
      </w:r>
      <w:r>
        <w:rPr>
          <w:rFonts w:hint="default" w:ascii="Times New Roman" w:hAnsi="Times New Roman" w:cs="Times New Roman"/>
          <w:color w:val="auto"/>
          <w:lang w:eastAsia="zh-CN"/>
        </w:rPr>
        <w:t>效率为</w:t>
      </w:r>
      <w:r>
        <w:rPr>
          <w:rFonts w:hint="default" w:ascii="Times New Roman" w:hAnsi="Times New Roman" w:cs="Times New Roman"/>
          <w:color w:val="auto"/>
          <w:lang w:val="en-US" w:eastAsia="zh-CN"/>
        </w:rPr>
        <w:t>95%，剩余5%排入大气</w:t>
      </w:r>
      <w:r>
        <w:rPr>
          <w:rFonts w:hint="default" w:ascii="Times New Roman" w:hAnsi="Times New Roman" w:cs="Times New Roman"/>
          <w:color w:val="auto"/>
          <w:u w:val="none"/>
          <w:lang w:val="en-US" w:eastAsia="zh-CN"/>
        </w:rPr>
        <w:t>。</w:t>
      </w:r>
      <w:r>
        <w:rPr>
          <w:rFonts w:hint="default" w:ascii="Times New Roman" w:hAnsi="Times New Roman" w:cs="Times New Roman"/>
          <w:color w:val="auto"/>
          <w:u w:val="none"/>
        </w:rPr>
        <w:t>厂内无排气筒</w:t>
      </w:r>
      <w:r>
        <w:rPr>
          <w:rFonts w:hint="default" w:ascii="Times New Roman" w:hAnsi="Times New Roman" w:cs="Times New Roman"/>
          <w:color w:val="auto"/>
          <w:u w:val="none"/>
          <w:lang w:val="en-US" w:eastAsia="zh-CN"/>
        </w:rPr>
        <w:t>。</w:t>
      </w:r>
    </w:p>
    <w:p>
      <w:pPr>
        <w:pStyle w:val="3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按照《环境影响评价技术导则-大气环境》（HJ2.2-2018）的要求，本次评价工作选择推荐模式中的AERSCREEN估算模式对项目的大气环境影响评价工作进行分级。</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计算每一种污染物的最大地面浓度占标率Pi及第i个污染物的地面浓度达标准限值10%时所对应的最远距离D10%。</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其中Pi定义为：</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Pi=(Ci/C0i)×100%</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式中：Pi－第i个污染物的最大地面浓度占标率，%；</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Ci－采用估算模式计算出的第i个污染物的最大地面浓度，mg/m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C0i－第i个污染物的环境空气质量标准，mg/m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default" w:ascii="Times New Roman" w:hAnsi="Times New Roman" w:cs="Times New Roman"/>
          <w:color w:val="auto"/>
          <w:lang w:val="en-US" w:eastAsia="zh-CN"/>
        </w:rPr>
        <w:t>VOCs空气质量浓度限值8小时平均为600</w:t>
      </w:r>
      <w:r>
        <w:rPr>
          <w:rFonts w:hint="default" w:ascii="Times New Roman" w:hAnsi="Times New Roman" w:cs="Times New Roman"/>
          <w:color w:val="auto"/>
        </w:rPr>
        <w:t>µ</w:t>
      </w:r>
      <w:r>
        <w:rPr>
          <w:rFonts w:hint="default" w:ascii="Times New Roman" w:hAnsi="Times New Roman" w:cs="Times New Roman"/>
          <w:color w:val="auto"/>
          <w:lang w:val="en-US" w:eastAsia="zh-CN"/>
        </w:rPr>
        <w:t>g</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default" w:ascii="Times New Roman" w:hAnsi="Times New Roman" w:cs="Times New Roman"/>
          <w:color w:val="auto"/>
          <w:lang w:eastAsia="zh-CN"/>
        </w:rPr>
        <w:t>按导则要求，折算为</w:t>
      </w:r>
      <w:r>
        <w:rPr>
          <w:rFonts w:hint="default" w:ascii="Times New Roman" w:hAnsi="Times New Roman" w:cs="Times New Roman"/>
          <w:color w:val="auto"/>
          <w:lang w:val="en-US" w:eastAsia="zh-CN"/>
        </w:rPr>
        <w:t>1200</w:t>
      </w:r>
      <w:r>
        <w:rPr>
          <w:rFonts w:hint="default" w:ascii="Times New Roman" w:hAnsi="Times New Roman" w:cs="Times New Roman"/>
          <w:color w:val="auto"/>
        </w:rPr>
        <w:t>µ</w:t>
      </w:r>
      <w:r>
        <w:rPr>
          <w:rFonts w:hint="default" w:ascii="Times New Roman" w:hAnsi="Times New Roman" w:cs="Times New Roman"/>
          <w:color w:val="auto"/>
          <w:lang w:val="en-US" w:eastAsia="zh-CN"/>
        </w:rPr>
        <w:t>g</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大气评价工作等级判定表如表</w:t>
      </w:r>
      <w:r>
        <w:rPr>
          <w:rFonts w:hint="default" w:ascii="Times New Roman" w:hAnsi="Times New Roman" w:cs="Times New Roman"/>
          <w:color w:val="auto"/>
          <w:lang w:val="en-US" w:eastAsia="zh-CN"/>
        </w:rPr>
        <w:t>2-12</w:t>
      </w:r>
      <w:r>
        <w:rPr>
          <w:rFonts w:hint="default" w:ascii="Times New Roman" w:hAnsi="Times New Roman" w:cs="Times New Roman"/>
          <w:color w:val="auto"/>
        </w:rPr>
        <w:t>所示。</w:t>
      </w:r>
    </w:p>
    <w:p>
      <w:pPr>
        <w:pStyle w:val="14"/>
        <w:keepNext w:val="0"/>
        <w:keepLines w:val="0"/>
        <w:pageBreakBefore w:val="0"/>
        <w:widowControl w:val="0"/>
        <w:kinsoku/>
        <w:wordWrap/>
        <w:overflowPunct/>
        <w:topLinePunct w:val="0"/>
        <w:autoSpaceDE/>
        <w:autoSpaceDN/>
        <w:bidi w:val="0"/>
        <w:adjustRightInd w:val="0"/>
        <w:snapToGrid w:val="0"/>
        <w:spacing w:line="240" w:lineRule="auto"/>
        <w:ind w:firstLine="2530" w:firstLineChars="1200"/>
        <w:jc w:val="both"/>
        <w:textAlignment w:val="auto"/>
        <w:rPr>
          <w:rFonts w:hint="default" w:ascii="Times New Roman" w:hAnsi="Times New Roman" w:cs="Times New Roman"/>
          <w:color w:val="auto"/>
          <w:lang w:val="zh-CN" w:eastAsia="zh-CN"/>
        </w:rPr>
      </w:pPr>
      <w:r>
        <w:rPr>
          <w:rFonts w:hint="default" w:ascii="Times New Roman" w:hAnsi="Times New Roman" w:cs="Times New Roman"/>
          <w:color w:val="auto"/>
          <w:lang w:val="zh-CN" w:eastAsia="zh-CN"/>
        </w:rPr>
        <w:t>表</w:t>
      </w:r>
      <w:r>
        <w:rPr>
          <w:rFonts w:hint="default" w:ascii="Times New Roman" w:hAnsi="Times New Roman" w:cs="Times New Roman"/>
          <w:color w:val="auto"/>
          <w:lang w:val="en-US" w:eastAsia="zh-CN"/>
        </w:rPr>
        <w:t>2-12</w:t>
      </w:r>
      <w:r>
        <w:rPr>
          <w:rFonts w:hint="default" w:ascii="Times New Roman" w:hAnsi="Times New Roman" w:cs="Times New Roman"/>
          <w:color w:val="auto"/>
          <w:lang w:val="zh-CN" w:eastAsia="zh-CN"/>
        </w:rPr>
        <w:t xml:space="preserve"> 大气环境影响评价工作等级判据</w:t>
      </w:r>
    </w:p>
    <w:tbl>
      <w:tblPr>
        <w:tblStyle w:val="24"/>
        <w:tblW w:w="9287" w:type="dxa"/>
        <w:jc w:val="center"/>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
      <w:tblGrid>
        <w:gridCol w:w="3011"/>
        <w:gridCol w:w="6276"/>
      </w:tblGrid>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59" w:hRule="atLeast"/>
          <w:jc w:val="center"/>
        </w:trPr>
        <w:tc>
          <w:tcPr>
            <w:tcW w:w="301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bookmarkStart w:id="187" w:name="_Hlt122580848"/>
            <w:r>
              <w:rPr>
                <w:rFonts w:hint="default" w:ascii="Times New Roman" w:hAnsi="Times New Roman" w:cs="Times New Roman"/>
                <w:color w:val="auto"/>
                <w:sz w:val="21"/>
                <w:szCs w:val="21"/>
              </w:rPr>
              <w:t>评价工作等级</w:t>
            </w:r>
            <w:bookmarkEnd w:id="187"/>
          </w:p>
        </w:tc>
        <w:tc>
          <w:tcPr>
            <w:tcW w:w="627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评价工作分级判据</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01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一级评价</w:t>
            </w:r>
          </w:p>
        </w:tc>
        <w:tc>
          <w:tcPr>
            <w:tcW w:w="627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Pmax</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10%</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01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二级评价</w:t>
            </w:r>
          </w:p>
        </w:tc>
        <w:tc>
          <w:tcPr>
            <w:tcW w:w="627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Pmax＜10%</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01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三级评价</w:t>
            </w:r>
          </w:p>
        </w:tc>
        <w:tc>
          <w:tcPr>
            <w:tcW w:w="627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Pmax＜1%</w:t>
            </w:r>
          </w:p>
        </w:tc>
      </w:tr>
    </w:tbl>
    <w:p>
      <w:pPr>
        <w:pStyle w:val="39"/>
        <w:keepNext w:val="0"/>
        <w:keepLines w:val="0"/>
        <w:pageBreakBefore w:val="0"/>
        <w:widowControl w:val="0"/>
        <w:kinsoku/>
        <w:wordWrap/>
        <w:overflowPunct/>
        <w:topLinePunct w:val="0"/>
        <w:autoSpaceDE/>
        <w:autoSpaceDN/>
        <w:bidi w:val="0"/>
        <w:adjustRightInd/>
        <w:snapToGrid/>
        <w:spacing w:before="157" w:beforeLines="50"/>
        <w:textAlignment w:val="auto"/>
        <w:outlineLvl w:val="9"/>
        <w:rPr>
          <w:rFonts w:hint="default" w:ascii="Times New Roman" w:hAnsi="Times New Roman" w:cs="Times New Roman"/>
          <w:color w:val="auto"/>
        </w:rPr>
      </w:pPr>
      <w:r>
        <w:rPr>
          <w:rFonts w:hint="default" w:ascii="Times New Roman" w:hAnsi="Times New Roman" w:cs="Times New Roman"/>
          <w:color w:val="auto"/>
        </w:rPr>
        <w:t>本项目估算模型参数见表</w:t>
      </w:r>
      <w:r>
        <w:rPr>
          <w:rFonts w:hint="default" w:ascii="Times New Roman" w:hAnsi="Times New Roman" w:cs="Times New Roman"/>
          <w:color w:val="auto"/>
          <w:lang w:val="en-US" w:eastAsia="zh-CN"/>
        </w:rPr>
        <w:t>2-13</w:t>
      </w:r>
      <w:r>
        <w:rPr>
          <w:rFonts w:hint="default" w:ascii="Times New Roman" w:hAnsi="Times New Roman" w:cs="Times New Roman"/>
          <w:color w:val="auto"/>
        </w:rPr>
        <w:t>。</w:t>
      </w:r>
    </w:p>
    <w:p>
      <w:pPr>
        <w:pStyle w:val="14"/>
        <w:bidi w:val="0"/>
        <w:rPr>
          <w:rFonts w:hint="default" w:ascii="Times New Roman" w:hAnsi="Times New Roman" w:cs="Times New Roman"/>
          <w:color w:val="auto"/>
          <w:lang w:val="zh-CN" w:eastAsia="zh-CN"/>
        </w:rPr>
      </w:pPr>
      <w:r>
        <w:rPr>
          <w:rFonts w:hint="default" w:ascii="Times New Roman" w:hAnsi="Times New Roman" w:cs="Times New Roman"/>
          <w:color w:val="auto"/>
          <w:lang w:val="zh-CN" w:eastAsia="zh-CN"/>
        </w:rPr>
        <w:t>表</w:t>
      </w:r>
      <w:r>
        <w:rPr>
          <w:rFonts w:hint="default" w:ascii="Times New Roman" w:hAnsi="Times New Roman" w:cs="Times New Roman"/>
          <w:color w:val="auto"/>
          <w:lang w:val="en-US" w:eastAsia="zh-CN"/>
        </w:rPr>
        <w:t>2-13</w:t>
      </w:r>
      <w:r>
        <w:rPr>
          <w:rFonts w:hint="default" w:ascii="Times New Roman" w:hAnsi="Times New Roman" w:cs="Times New Roman"/>
          <w:color w:val="auto"/>
          <w:lang w:val="zh-CN" w:eastAsia="zh-CN"/>
        </w:rPr>
        <w:t>项目估算模型参数表</w:t>
      </w:r>
    </w:p>
    <w:tbl>
      <w:tblPr>
        <w:tblStyle w:val="24"/>
        <w:tblW w:w="9101" w:type="dxa"/>
        <w:jc w:val="center"/>
        <w:tblLayout w:type="fixed"/>
        <w:tblCellMar>
          <w:top w:w="0" w:type="dxa"/>
          <w:left w:w="0" w:type="dxa"/>
          <w:bottom w:w="0" w:type="dxa"/>
          <w:right w:w="0" w:type="dxa"/>
        </w:tblCellMar>
      </w:tblPr>
      <w:tblGrid>
        <w:gridCol w:w="3094"/>
        <w:gridCol w:w="3317"/>
        <w:gridCol w:w="2690"/>
      </w:tblGrid>
      <w:tr>
        <w:tblPrEx>
          <w:tblCellMar>
            <w:top w:w="0" w:type="dxa"/>
            <w:left w:w="0" w:type="dxa"/>
            <w:bottom w:w="0" w:type="dxa"/>
            <w:right w:w="0" w:type="dxa"/>
          </w:tblCellMar>
        </w:tblPrEx>
        <w:trPr>
          <w:trHeight w:val="557" w:hRule="atLeast"/>
          <w:jc w:val="center"/>
        </w:trPr>
        <w:tc>
          <w:tcPr>
            <w:tcW w:w="6411" w:type="dxa"/>
            <w:gridSpan w:val="2"/>
            <w:tcBorders>
              <w:top w:val="single" w:color="000000" w:sz="12" w:space="0"/>
              <w:left w:val="single" w:color="000000" w:sz="12" w:space="0"/>
              <w:bottom w:val="single" w:color="000000" w:sz="6" w:space="0"/>
              <w:right w:val="single" w:color="000000" w:sz="6"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参数</w:t>
            </w:r>
          </w:p>
        </w:tc>
        <w:tc>
          <w:tcPr>
            <w:tcW w:w="2690" w:type="dxa"/>
            <w:tcBorders>
              <w:top w:val="single" w:color="000000" w:sz="12" w:space="0"/>
              <w:left w:val="single" w:color="000000" w:sz="6" w:space="0"/>
              <w:bottom w:val="single" w:color="000000" w:sz="6" w:space="0"/>
              <w:right w:val="single" w:color="000000" w:sz="12"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取值</w:t>
            </w:r>
          </w:p>
        </w:tc>
      </w:tr>
      <w:tr>
        <w:tblPrEx>
          <w:tblCellMar>
            <w:top w:w="0" w:type="dxa"/>
            <w:left w:w="0" w:type="dxa"/>
            <w:bottom w:w="0" w:type="dxa"/>
            <w:right w:w="0" w:type="dxa"/>
          </w:tblCellMar>
        </w:tblPrEx>
        <w:trPr>
          <w:trHeight w:val="454" w:hRule="atLeast"/>
          <w:jc w:val="center"/>
        </w:trPr>
        <w:tc>
          <w:tcPr>
            <w:tcW w:w="3094" w:type="dxa"/>
            <w:vMerge w:val="restart"/>
            <w:tcBorders>
              <w:top w:val="single" w:color="000000" w:sz="6" w:space="0"/>
              <w:left w:val="single" w:color="000000" w:sz="12" w:space="0"/>
              <w:right w:val="single" w:color="000000" w:sz="6"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城市/农村选项</w:t>
            </w:r>
          </w:p>
        </w:tc>
        <w:tc>
          <w:tcPr>
            <w:tcW w:w="3317" w:type="dxa"/>
            <w:tcBorders>
              <w:top w:val="single" w:color="000000" w:sz="6" w:space="0"/>
              <w:left w:val="single" w:color="000000" w:sz="6" w:space="0"/>
              <w:bottom w:val="single" w:color="000000" w:sz="6" w:space="0"/>
              <w:right w:val="single" w:color="000000" w:sz="6"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城市/农村</w:t>
            </w:r>
          </w:p>
        </w:tc>
        <w:tc>
          <w:tcPr>
            <w:tcW w:w="2690" w:type="dxa"/>
            <w:tcBorders>
              <w:top w:val="single" w:color="000000" w:sz="6" w:space="0"/>
              <w:left w:val="single" w:color="000000" w:sz="6" w:space="0"/>
              <w:bottom w:val="single" w:color="000000" w:sz="6" w:space="0"/>
              <w:right w:val="single" w:color="000000" w:sz="12"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城市</w:t>
            </w:r>
          </w:p>
        </w:tc>
      </w:tr>
      <w:tr>
        <w:tblPrEx>
          <w:tblCellMar>
            <w:top w:w="0" w:type="dxa"/>
            <w:left w:w="0" w:type="dxa"/>
            <w:bottom w:w="0" w:type="dxa"/>
            <w:right w:w="0" w:type="dxa"/>
          </w:tblCellMar>
        </w:tblPrEx>
        <w:trPr>
          <w:trHeight w:val="454" w:hRule="atLeast"/>
          <w:jc w:val="center"/>
        </w:trPr>
        <w:tc>
          <w:tcPr>
            <w:tcW w:w="3094" w:type="dxa"/>
            <w:vMerge w:val="continue"/>
            <w:tcBorders>
              <w:left w:val="single" w:color="000000" w:sz="12" w:space="0"/>
              <w:bottom w:val="single" w:color="000000" w:sz="6" w:space="0"/>
              <w:right w:val="single" w:color="000000" w:sz="6"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3317" w:type="dxa"/>
            <w:tcBorders>
              <w:top w:val="single" w:color="000000" w:sz="6" w:space="0"/>
              <w:left w:val="single" w:color="000000" w:sz="6" w:space="0"/>
              <w:bottom w:val="single" w:color="000000" w:sz="6" w:space="0"/>
              <w:right w:val="single" w:color="000000" w:sz="6"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人口数（城市选项时）</w:t>
            </w:r>
          </w:p>
        </w:tc>
        <w:tc>
          <w:tcPr>
            <w:tcW w:w="2690" w:type="dxa"/>
            <w:tcBorders>
              <w:top w:val="single" w:color="000000" w:sz="6" w:space="0"/>
              <w:left w:val="single" w:color="000000" w:sz="6" w:space="0"/>
              <w:bottom w:val="single" w:color="000000" w:sz="6" w:space="0"/>
              <w:right w:val="single" w:color="000000" w:sz="12"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17.7 万</w:t>
            </w:r>
          </w:p>
        </w:tc>
      </w:tr>
      <w:tr>
        <w:tblPrEx>
          <w:tblCellMar>
            <w:top w:w="0" w:type="dxa"/>
            <w:left w:w="0" w:type="dxa"/>
            <w:bottom w:w="0" w:type="dxa"/>
            <w:right w:w="0" w:type="dxa"/>
          </w:tblCellMar>
        </w:tblPrEx>
        <w:trPr>
          <w:trHeight w:val="454" w:hRule="atLeast"/>
          <w:jc w:val="center"/>
        </w:trPr>
        <w:tc>
          <w:tcPr>
            <w:tcW w:w="6411" w:type="dxa"/>
            <w:gridSpan w:val="2"/>
            <w:tcBorders>
              <w:top w:val="single" w:color="000000" w:sz="6" w:space="0"/>
              <w:left w:val="single" w:color="000000" w:sz="12" w:space="0"/>
              <w:bottom w:val="single" w:color="000000" w:sz="6" w:space="0"/>
              <w:right w:val="single" w:color="000000" w:sz="6"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最高环境温度/℃</w:t>
            </w:r>
          </w:p>
        </w:tc>
        <w:tc>
          <w:tcPr>
            <w:tcW w:w="2690" w:type="dxa"/>
            <w:tcBorders>
              <w:top w:val="single" w:color="000000" w:sz="6" w:space="0"/>
              <w:left w:val="single" w:color="000000" w:sz="6" w:space="0"/>
              <w:bottom w:val="single" w:color="000000" w:sz="6" w:space="0"/>
              <w:right w:val="single" w:color="000000" w:sz="12"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39.2</w:t>
            </w:r>
          </w:p>
        </w:tc>
      </w:tr>
      <w:tr>
        <w:tblPrEx>
          <w:tblCellMar>
            <w:top w:w="0" w:type="dxa"/>
            <w:left w:w="0" w:type="dxa"/>
            <w:bottom w:w="0" w:type="dxa"/>
            <w:right w:w="0" w:type="dxa"/>
          </w:tblCellMar>
        </w:tblPrEx>
        <w:trPr>
          <w:trHeight w:val="454" w:hRule="atLeast"/>
          <w:jc w:val="center"/>
        </w:trPr>
        <w:tc>
          <w:tcPr>
            <w:tcW w:w="6411" w:type="dxa"/>
            <w:gridSpan w:val="2"/>
            <w:tcBorders>
              <w:top w:val="single" w:color="000000" w:sz="6" w:space="0"/>
              <w:left w:val="single" w:color="000000" w:sz="12" w:space="0"/>
              <w:bottom w:val="single" w:color="000000" w:sz="6" w:space="0"/>
              <w:right w:val="single" w:color="000000" w:sz="6"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最低环境温度/℃</w:t>
            </w:r>
          </w:p>
        </w:tc>
        <w:tc>
          <w:tcPr>
            <w:tcW w:w="2690" w:type="dxa"/>
            <w:tcBorders>
              <w:top w:val="single" w:color="000000" w:sz="6" w:space="0"/>
              <w:left w:val="single" w:color="000000" w:sz="6" w:space="0"/>
              <w:bottom w:val="single" w:color="000000" w:sz="6" w:space="0"/>
              <w:right w:val="single" w:color="000000" w:sz="12"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-4.2</w:t>
            </w:r>
          </w:p>
        </w:tc>
      </w:tr>
      <w:tr>
        <w:tblPrEx>
          <w:tblCellMar>
            <w:top w:w="0" w:type="dxa"/>
            <w:left w:w="0" w:type="dxa"/>
            <w:bottom w:w="0" w:type="dxa"/>
            <w:right w:w="0" w:type="dxa"/>
          </w:tblCellMar>
        </w:tblPrEx>
        <w:trPr>
          <w:trHeight w:val="454" w:hRule="atLeast"/>
          <w:jc w:val="center"/>
        </w:trPr>
        <w:tc>
          <w:tcPr>
            <w:tcW w:w="6411" w:type="dxa"/>
            <w:gridSpan w:val="2"/>
            <w:tcBorders>
              <w:top w:val="single" w:color="000000" w:sz="6" w:space="0"/>
              <w:left w:val="single" w:color="000000" w:sz="12" w:space="0"/>
              <w:bottom w:val="single" w:color="000000" w:sz="6" w:space="0"/>
              <w:right w:val="single" w:color="000000" w:sz="6"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地表类型</w:t>
            </w:r>
          </w:p>
        </w:tc>
        <w:tc>
          <w:tcPr>
            <w:tcW w:w="2690" w:type="dxa"/>
            <w:tcBorders>
              <w:top w:val="single" w:color="000000" w:sz="6" w:space="0"/>
              <w:left w:val="single" w:color="000000" w:sz="6" w:space="0"/>
              <w:bottom w:val="single" w:color="000000" w:sz="6" w:space="0"/>
              <w:right w:val="single" w:color="000000" w:sz="12"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城市</w:t>
            </w:r>
          </w:p>
        </w:tc>
      </w:tr>
      <w:tr>
        <w:tblPrEx>
          <w:tblCellMar>
            <w:top w:w="0" w:type="dxa"/>
            <w:left w:w="0" w:type="dxa"/>
            <w:bottom w:w="0" w:type="dxa"/>
            <w:right w:w="0" w:type="dxa"/>
          </w:tblCellMar>
        </w:tblPrEx>
        <w:trPr>
          <w:trHeight w:val="454" w:hRule="atLeast"/>
          <w:jc w:val="center"/>
        </w:trPr>
        <w:tc>
          <w:tcPr>
            <w:tcW w:w="6411" w:type="dxa"/>
            <w:gridSpan w:val="2"/>
            <w:tcBorders>
              <w:top w:val="single" w:color="000000" w:sz="6" w:space="0"/>
              <w:left w:val="single" w:color="000000" w:sz="12" w:space="0"/>
              <w:bottom w:val="single" w:color="000000" w:sz="6" w:space="0"/>
              <w:right w:val="single" w:color="000000" w:sz="6"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区域湿度条件</w:t>
            </w:r>
          </w:p>
        </w:tc>
        <w:tc>
          <w:tcPr>
            <w:tcW w:w="2690" w:type="dxa"/>
            <w:tcBorders>
              <w:top w:val="single" w:color="000000" w:sz="6" w:space="0"/>
              <w:left w:val="single" w:color="000000" w:sz="6" w:space="0"/>
              <w:bottom w:val="single" w:color="000000" w:sz="6" w:space="0"/>
              <w:right w:val="single" w:color="000000" w:sz="12"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潮湿气候</w:t>
            </w:r>
          </w:p>
        </w:tc>
      </w:tr>
      <w:tr>
        <w:tblPrEx>
          <w:tblCellMar>
            <w:top w:w="0" w:type="dxa"/>
            <w:left w:w="0" w:type="dxa"/>
            <w:bottom w:w="0" w:type="dxa"/>
            <w:right w:w="0" w:type="dxa"/>
          </w:tblCellMar>
        </w:tblPrEx>
        <w:trPr>
          <w:trHeight w:val="454" w:hRule="atLeast"/>
          <w:jc w:val="center"/>
        </w:trPr>
        <w:tc>
          <w:tcPr>
            <w:tcW w:w="3094" w:type="dxa"/>
            <w:vMerge w:val="restart"/>
            <w:tcBorders>
              <w:top w:val="single" w:color="000000" w:sz="6" w:space="0"/>
              <w:left w:val="single" w:color="000000" w:sz="12" w:space="0"/>
              <w:right w:val="single" w:color="000000" w:sz="6"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是否考虑地形</w:t>
            </w:r>
          </w:p>
        </w:tc>
        <w:tc>
          <w:tcPr>
            <w:tcW w:w="3317" w:type="dxa"/>
            <w:tcBorders>
              <w:top w:val="single" w:color="000000" w:sz="6" w:space="0"/>
              <w:left w:val="single" w:color="000000" w:sz="6" w:space="0"/>
              <w:bottom w:val="single" w:color="000000" w:sz="6" w:space="0"/>
              <w:right w:val="single" w:color="000000" w:sz="6"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考虑地形</w:t>
            </w:r>
          </w:p>
        </w:tc>
        <w:tc>
          <w:tcPr>
            <w:tcW w:w="2690" w:type="dxa"/>
            <w:tcBorders>
              <w:top w:val="single" w:color="000000" w:sz="6" w:space="0"/>
              <w:left w:val="single" w:color="000000" w:sz="6" w:space="0"/>
              <w:bottom w:val="single" w:color="000000" w:sz="6" w:space="0"/>
              <w:right w:val="single" w:color="000000" w:sz="12"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sym w:font="Wingdings 2" w:char="0052"/>
            </w:r>
            <w:r>
              <w:rPr>
                <w:rFonts w:hint="default" w:ascii="Times New Roman" w:hAnsi="Times New Roman" w:cs="Times New Roman"/>
                <w:color w:val="auto"/>
                <w:sz w:val="21"/>
                <w:szCs w:val="21"/>
              </w:rPr>
              <w:t>是</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sym w:font="Wingdings 2" w:char="00A3"/>
            </w:r>
            <w:r>
              <w:rPr>
                <w:rFonts w:hint="default" w:ascii="Times New Roman" w:hAnsi="Times New Roman" w:cs="Times New Roman"/>
                <w:color w:val="auto"/>
                <w:sz w:val="21"/>
                <w:szCs w:val="21"/>
              </w:rPr>
              <w:t>否</w:t>
            </w:r>
          </w:p>
        </w:tc>
      </w:tr>
      <w:tr>
        <w:tblPrEx>
          <w:tblCellMar>
            <w:top w:w="0" w:type="dxa"/>
            <w:left w:w="0" w:type="dxa"/>
            <w:bottom w:w="0" w:type="dxa"/>
            <w:right w:w="0" w:type="dxa"/>
          </w:tblCellMar>
        </w:tblPrEx>
        <w:trPr>
          <w:trHeight w:val="454" w:hRule="atLeast"/>
          <w:jc w:val="center"/>
        </w:trPr>
        <w:tc>
          <w:tcPr>
            <w:tcW w:w="3094" w:type="dxa"/>
            <w:vMerge w:val="continue"/>
            <w:tcBorders>
              <w:left w:val="single" w:color="000000" w:sz="12" w:space="0"/>
              <w:bottom w:val="single" w:color="000000" w:sz="6" w:space="0"/>
              <w:right w:val="single" w:color="000000" w:sz="6"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3317" w:type="dxa"/>
            <w:tcBorders>
              <w:top w:val="single" w:color="000000" w:sz="6" w:space="0"/>
              <w:left w:val="single" w:color="000000" w:sz="6" w:space="0"/>
              <w:bottom w:val="single" w:color="000000" w:sz="6" w:space="0"/>
              <w:right w:val="single" w:color="000000" w:sz="6"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地形数据分辨率/m</w:t>
            </w:r>
          </w:p>
        </w:tc>
        <w:tc>
          <w:tcPr>
            <w:tcW w:w="2690" w:type="dxa"/>
            <w:tcBorders>
              <w:top w:val="single" w:color="000000" w:sz="6" w:space="0"/>
              <w:left w:val="single" w:color="000000" w:sz="6" w:space="0"/>
              <w:bottom w:val="single" w:color="000000" w:sz="6" w:space="0"/>
              <w:right w:val="single" w:color="000000" w:sz="12"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w:t>
            </w:r>
          </w:p>
        </w:tc>
      </w:tr>
      <w:tr>
        <w:tblPrEx>
          <w:tblCellMar>
            <w:top w:w="0" w:type="dxa"/>
            <w:left w:w="0" w:type="dxa"/>
            <w:bottom w:w="0" w:type="dxa"/>
            <w:right w:w="0" w:type="dxa"/>
          </w:tblCellMar>
        </w:tblPrEx>
        <w:trPr>
          <w:trHeight w:val="454" w:hRule="atLeast"/>
          <w:jc w:val="center"/>
        </w:trPr>
        <w:tc>
          <w:tcPr>
            <w:tcW w:w="3094" w:type="dxa"/>
            <w:vMerge w:val="restart"/>
            <w:tcBorders>
              <w:top w:val="single" w:color="000000" w:sz="6" w:space="0"/>
              <w:left w:val="single" w:color="000000" w:sz="12" w:space="0"/>
              <w:right w:val="single" w:color="000000" w:sz="6"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是否考虑岸线熏烟</w:t>
            </w:r>
          </w:p>
        </w:tc>
        <w:tc>
          <w:tcPr>
            <w:tcW w:w="3317" w:type="dxa"/>
            <w:tcBorders>
              <w:top w:val="single" w:color="000000" w:sz="6" w:space="0"/>
              <w:left w:val="single" w:color="000000" w:sz="6" w:space="0"/>
              <w:bottom w:val="single" w:color="000000" w:sz="6" w:space="0"/>
              <w:right w:val="single" w:color="000000" w:sz="6"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考虑岸线熏烟</w:t>
            </w:r>
          </w:p>
        </w:tc>
        <w:tc>
          <w:tcPr>
            <w:tcW w:w="2690" w:type="dxa"/>
            <w:tcBorders>
              <w:top w:val="single" w:color="000000" w:sz="6" w:space="0"/>
              <w:left w:val="single" w:color="000000" w:sz="6" w:space="0"/>
              <w:bottom w:val="single" w:color="000000" w:sz="6" w:space="0"/>
              <w:right w:val="single" w:color="000000" w:sz="12"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sym w:font="Wingdings 2" w:char="00A3"/>
            </w:r>
            <w:r>
              <w:rPr>
                <w:rFonts w:hint="default" w:ascii="Times New Roman" w:hAnsi="Times New Roman" w:cs="Times New Roman"/>
                <w:color w:val="auto"/>
                <w:sz w:val="21"/>
                <w:szCs w:val="21"/>
              </w:rPr>
              <w:t>是</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lang w:eastAsia="zh-CN"/>
              </w:rPr>
              <w:sym w:font="Wingdings 2" w:char="0052"/>
            </w:r>
            <w:r>
              <w:rPr>
                <w:rFonts w:hint="default" w:ascii="Times New Roman" w:hAnsi="Times New Roman" w:cs="Times New Roman"/>
                <w:color w:val="auto"/>
                <w:sz w:val="21"/>
                <w:szCs w:val="21"/>
              </w:rPr>
              <w:t>否</w:t>
            </w:r>
          </w:p>
        </w:tc>
      </w:tr>
      <w:tr>
        <w:tblPrEx>
          <w:tblCellMar>
            <w:top w:w="0" w:type="dxa"/>
            <w:left w:w="0" w:type="dxa"/>
            <w:bottom w:w="0" w:type="dxa"/>
            <w:right w:w="0" w:type="dxa"/>
          </w:tblCellMar>
        </w:tblPrEx>
        <w:trPr>
          <w:trHeight w:val="454" w:hRule="atLeast"/>
          <w:jc w:val="center"/>
        </w:trPr>
        <w:tc>
          <w:tcPr>
            <w:tcW w:w="3094" w:type="dxa"/>
            <w:vMerge w:val="continue"/>
            <w:tcBorders>
              <w:left w:val="single" w:color="000000" w:sz="12" w:space="0"/>
              <w:right w:val="single" w:color="000000" w:sz="6"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3317" w:type="dxa"/>
            <w:tcBorders>
              <w:top w:val="single" w:color="000000" w:sz="6" w:space="0"/>
              <w:left w:val="single" w:color="000000" w:sz="6" w:space="0"/>
              <w:bottom w:val="single" w:color="000000" w:sz="6" w:space="0"/>
              <w:right w:val="single" w:color="000000" w:sz="6"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岸线距离/km</w:t>
            </w:r>
          </w:p>
        </w:tc>
        <w:tc>
          <w:tcPr>
            <w:tcW w:w="2690" w:type="dxa"/>
            <w:tcBorders>
              <w:top w:val="single" w:color="000000" w:sz="6" w:space="0"/>
              <w:left w:val="single" w:color="000000" w:sz="6" w:space="0"/>
              <w:bottom w:val="single" w:color="000000" w:sz="6" w:space="0"/>
              <w:right w:val="single" w:color="000000" w:sz="12"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CellMar>
            <w:top w:w="0" w:type="dxa"/>
            <w:left w:w="0" w:type="dxa"/>
            <w:bottom w:w="0" w:type="dxa"/>
            <w:right w:w="0" w:type="dxa"/>
          </w:tblCellMar>
        </w:tblPrEx>
        <w:trPr>
          <w:trHeight w:val="454" w:hRule="atLeast"/>
          <w:jc w:val="center"/>
        </w:trPr>
        <w:tc>
          <w:tcPr>
            <w:tcW w:w="3094" w:type="dxa"/>
            <w:vMerge w:val="continue"/>
            <w:tcBorders>
              <w:left w:val="single" w:color="000000" w:sz="12" w:space="0"/>
              <w:bottom w:val="single" w:color="000000" w:sz="12" w:space="0"/>
              <w:right w:val="single" w:color="000000" w:sz="6"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3317" w:type="dxa"/>
            <w:tcBorders>
              <w:top w:val="single" w:color="000000" w:sz="6" w:space="0"/>
              <w:left w:val="single" w:color="000000" w:sz="6" w:space="0"/>
              <w:bottom w:val="single" w:color="000000" w:sz="12" w:space="0"/>
              <w:right w:val="single" w:color="000000" w:sz="6"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岸线方向/°</w:t>
            </w:r>
          </w:p>
        </w:tc>
        <w:tc>
          <w:tcPr>
            <w:tcW w:w="2690" w:type="dxa"/>
            <w:tcBorders>
              <w:top w:val="single" w:color="000000" w:sz="6" w:space="0"/>
              <w:left w:val="single" w:color="000000" w:sz="6" w:space="0"/>
              <w:bottom w:val="single" w:color="000000" w:sz="12" w:space="0"/>
              <w:right w:val="single" w:color="000000" w:sz="12"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pPr>
        <w:pStyle w:val="39"/>
        <w:keepNext w:val="0"/>
        <w:keepLines w:val="0"/>
        <w:pageBreakBefore w:val="0"/>
        <w:widowControl w:val="0"/>
        <w:kinsoku/>
        <w:wordWrap/>
        <w:overflowPunct/>
        <w:topLinePunct w:val="0"/>
        <w:autoSpaceDE/>
        <w:autoSpaceDN/>
        <w:bidi w:val="0"/>
        <w:adjustRightInd/>
        <w:snapToGrid/>
        <w:spacing w:before="157" w:beforeLines="50"/>
        <w:textAlignment w:val="auto"/>
        <w:outlineLvl w:val="9"/>
        <w:rPr>
          <w:rFonts w:hint="default" w:ascii="Times New Roman" w:hAnsi="Times New Roman" w:cs="Times New Roman"/>
          <w:color w:val="auto"/>
          <w:u w:val="single"/>
        </w:rPr>
      </w:pPr>
      <w:bookmarkStart w:id="188" w:name="_Toc328401229"/>
      <w:bookmarkStart w:id="189" w:name="_Toc328401044"/>
      <w:bookmarkStart w:id="190" w:name="_Toc328548563"/>
      <w:bookmarkStart w:id="191" w:name="_Toc328547967"/>
      <w:r>
        <w:rPr>
          <w:rFonts w:hint="default" w:ascii="Times New Roman" w:hAnsi="Times New Roman" w:cs="Times New Roman"/>
          <w:color w:val="auto"/>
          <w:u w:val="single"/>
        </w:rPr>
        <w:t>本项目污染物预测及评价工作定级详见表</w:t>
      </w:r>
      <w:r>
        <w:rPr>
          <w:rFonts w:hint="default" w:ascii="Times New Roman" w:hAnsi="Times New Roman" w:cs="Times New Roman"/>
          <w:color w:val="auto"/>
          <w:u w:val="single"/>
          <w:lang w:val="en-US" w:eastAsia="zh-CN"/>
        </w:rPr>
        <w:t>2-14</w:t>
      </w:r>
      <w:r>
        <w:rPr>
          <w:rFonts w:hint="default" w:ascii="Times New Roman" w:hAnsi="Times New Roman" w:cs="Times New Roman"/>
          <w:color w:val="auto"/>
          <w:u w:val="single"/>
        </w:rPr>
        <w:t>。</w:t>
      </w:r>
    </w:p>
    <w:p>
      <w:pPr>
        <w:pStyle w:val="14"/>
        <w:bidi w:val="0"/>
        <w:rPr>
          <w:rFonts w:hint="default" w:ascii="Times New Roman" w:hAnsi="Times New Roman" w:cs="Times New Roman"/>
          <w:color w:val="auto"/>
          <w:lang w:val="zh-CN" w:eastAsia="zh-CN"/>
        </w:rPr>
      </w:pPr>
      <w:r>
        <w:rPr>
          <w:rFonts w:hint="default" w:ascii="Times New Roman" w:hAnsi="Times New Roman" w:cs="Times New Roman"/>
          <w:color w:val="auto"/>
          <w:lang w:val="zh-CN" w:eastAsia="zh-CN"/>
        </w:rPr>
        <w:t>表</w:t>
      </w:r>
      <w:r>
        <w:rPr>
          <w:rFonts w:hint="default" w:ascii="Times New Roman" w:hAnsi="Times New Roman" w:cs="Times New Roman"/>
          <w:color w:val="auto"/>
          <w:lang w:val="en-US" w:eastAsia="zh-CN"/>
        </w:rPr>
        <w:t xml:space="preserve">2-14 </w:t>
      </w:r>
      <w:r>
        <w:rPr>
          <w:rFonts w:hint="default" w:ascii="Times New Roman" w:hAnsi="Times New Roman" w:cs="Times New Roman"/>
          <w:color w:val="auto"/>
          <w:lang w:val="zh-CN" w:eastAsia="zh-CN"/>
        </w:rPr>
        <w:t xml:space="preserve"> 各污染物预测及评价工作定级表</w:t>
      </w:r>
    </w:p>
    <w:tbl>
      <w:tblPr>
        <w:tblStyle w:val="24"/>
        <w:tblW w:w="89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04"/>
        <w:gridCol w:w="885"/>
        <w:gridCol w:w="1377"/>
        <w:gridCol w:w="1105"/>
        <w:gridCol w:w="1196"/>
        <w:gridCol w:w="1437"/>
        <w:gridCol w:w="11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82" w:hRule="atLeast"/>
          <w:jc w:val="center"/>
        </w:trPr>
        <w:tc>
          <w:tcPr>
            <w:tcW w:w="1704" w:type="dxa"/>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污染源</w:t>
            </w:r>
          </w:p>
        </w:tc>
        <w:tc>
          <w:tcPr>
            <w:tcW w:w="885" w:type="dxa"/>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污染因子</w:t>
            </w:r>
          </w:p>
        </w:tc>
        <w:tc>
          <w:tcPr>
            <w:tcW w:w="1377" w:type="dxa"/>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最大地面浓度C（mg/m</w:t>
            </w:r>
            <w:r>
              <w:rPr>
                <w:rFonts w:hint="default" w:ascii="Times New Roman" w:hAnsi="Times New Roman" w:cs="Times New Roman"/>
                <w:color w:val="auto"/>
                <w:sz w:val="21"/>
                <w:szCs w:val="21"/>
                <w:u w:val="single"/>
                <w:vertAlign w:val="subscript"/>
              </w:rPr>
              <w:t>3</w:t>
            </w:r>
            <w:r>
              <w:rPr>
                <w:rFonts w:hint="default" w:ascii="Times New Roman" w:hAnsi="Times New Roman" w:cs="Times New Roman"/>
                <w:color w:val="auto"/>
                <w:sz w:val="21"/>
                <w:szCs w:val="21"/>
                <w:u w:val="single"/>
              </w:rPr>
              <w:t>）</w:t>
            </w:r>
          </w:p>
        </w:tc>
        <w:tc>
          <w:tcPr>
            <w:tcW w:w="1105" w:type="dxa"/>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最大地面浓度占标率Pi（%）</w:t>
            </w:r>
          </w:p>
        </w:tc>
        <w:tc>
          <w:tcPr>
            <w:tcW w:w="1196" w:type="dxa"/>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D10%出现的最远距离（m）</w:t>
            </w:r>
          </w:p>
        </w:tc>
        <w:tc>
          <w:tcPr>
            <w:tcW w:w="1437" w:type="dxa"/>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是否属于多源项目</w:t>
            </w:r>
          </w:p>
        </w:tc>
        <w:tc>
          <w:tcPr>
            <w:tcW w:w="1196" w:type="dxa"/>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评价等级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75" w:hRule="atLeast"/>
          <w:jc w:val="center"/>
        </w:trPr>
        <w:tc>
          <w:tcPr>
            <w:tcW w:w="1704" w:type="dxa"/>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val="en-US" w:eastAsia="zh-CN"/>
              </w:rPr>
              <w:t>无组织排放</w:t>
            </w:r>
          </w:p>
        </w:tc>
        <w:tc>
          <w:tcPr>
            <w:tcW w:w="885" w:type="dxa"/>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VOCs</w:t>
            </w:r>
          </w:p>
        </w:tc>
        <w:tc>
          <w:tcPr>
            <w:tcW w:w="1377" w:type="dxa"/>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lang w:val="en-US"/>
              </w:rPr>
            </w:pPr>
            <w:r>
              <w:rPr>
                <w:rFonts w:hint="default" w:ascii="Times New Roman" w:hAnsi="Times New Roman" w:cs="Times New Roman"/>
                <w:color w:val="auto"/>
                <w:sz w:val="21"/>
                <w:szCs w:val="21"/>
                <w:u w:val="single"/>
              </w:rPr>
              <w:t>0.00</w:t>
            </w:r>
            <w:r>
              <w:rPr>
                <w:rFonts w:hint="default" w:ascii="Times New Roman" w:hAnsi="Times New Roman" w:cs="Times New Roman"/>
                <w:color w:val="auto"/>
                <w:sz w:val="21"/>
                <w:szCs w:val="21"/>
                <w:u w:val="single"/>
                <w:lang w:val="en-US" w:eastAsia="zh-CN"/>
              </w:rPr>
              <w:t>003</w:t>
            </w:r>
          </w:p>
        </w:tc>
        <w:tc>
          <w:tcPr>
            <w:tcW w:w="1105" w:type="dxa"/>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0.0025</w:t>
            </w:r>
          </w:p>
        </w:tc>
        <w:tc>
          <w:tcPr>
            <w:tcW w:w="1196" w:type="dxa"/>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无</w:t>
            </w:r>
          </w:p>
        </w:tc>
        <w:tc>
          <w:tcPr>
            <w:tcW w:w="1437" w:type="dxa"/>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否</w:t>
            </w:r>
          </w:p>
        </w:tc>
        <w:tc>
          <w:tcPr>
            <w:tcW w:w="1196" w:type="dxa"/>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三级</w:t>
            </w:r>
          </w:p>
        </w:tc>
      </w:tr>
    </w:tbl>
    <w:p>
      <w:pPr>
        <w:pStyle w:val="39"/>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color w:val="auto"/>
          <w:u w:val="single"/>
        </w:rPr>
      </w:pPr>
    </w:p>
    <w:p>
      <w:pPr>
        <w:pStyle w:val="39"/>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color w:val="auto"/>
          <w:u w:val="single"/>
          <w:lang w:eastAsia="zh-CN"/>
        </w:rPr>
      </w:pPr>
      <w:r>
        <w:rPr>
          <w:rFonts w:hint="default" w:ascii="Times New Roman" w:hAnsi="Times New Roman" w:cs="Times New Roman"/>
          <w:color w:val="auto"/>
          <w:u w:val="single"/>
        </w:rPr>
        <w:t>由估算模式的计算结果可知，项目废气排放的污染因子</w:t>
      </w:r>
      <w:r>
        <w:rPr>
          <w:rFonts w:hint="default" w:ascii="Times New Roman" w:hAnsi="Times New Roman" w:cs="Times New Roman"/>
          <w:color w:val="auto"/>
          <w:u w:val="single"/>
          <w:lang w:val="en-US" w:eastAsia="zh-CN"/>
        </w:rPr>
        <w:t>VOCs</w:t>
      </w:r>
      <w:r>
        <w:rPr>
          <w:rFonts w:hint="default" w:ascii="Times New Roman" w:hAnsi="Times New Roman" w:cs="Times New Roman"/>
          <w:color w:val="auto"/>
          <w:u w:val="single"/>
        </w:rPr>
        <w:t>最大落地浓度为 0.00</w:t>
      </w:r>
      <w:r>
        <w:rPr>
          <w:rFonts w:hint="default" w:ascii="Times New Roman" w:hAnsi="Times New Roman" w:cs="Times New Roman"/>
          <w:color w:val="auto"/>
          <w:u w:val="single"/>
          <w:lang w:val="en-US" w:eastAsia="zh-CN"/>
        </w:rPr>
        <w:t>003</w:t>
      </w:r>
      <w:r>
        <w:rPr>
          <w:rFonts w:hint="default" w:ascii="Times New Roman" w:hAnsi="Times New Roman" w:cs="Times New Roman"/>
          <w:color w:val="auto"/>
          <w:u w:val="single"/>
        </w:rPr>
        <w:t>mg/m3，Pmax=</w:t>
      </w:r>
      <w:r>
        <w:rPr>
          <w:rFonts w:hint="default" w:ascii="Times New Roman" w:hAnsi="Times New Roman" w:cs="Times New Roman"/>
          <w:color w:val="auto"/>
          <w:u w:val="single"/>
          <w:lang w:val="en-US" w:eastAsia="zh-CN"/>
        </w:rPr>
        <w:t>0.0025</w:t>
      </w:r>
      <w:r>
        <w:rPr>
          <w:rFonts w:hint="default" w:ascii="Times New Roman" w:hAnsi="Times New Roman" w:cs="Times New Roman"/>
          <w:color w:val="auto"/>
          <w:u w:val="single"/>
        </w:rPr>
        <w:t>%＜</w:t>
      </w:r>
      <w:r>
        <w:rPr>
          <w:rFonts w:hint="default" w:ascii="Times New Roman" w:hAnsi="Times New Roman" w:cs="Times New Roman"/>
          <w:color w:val="auto"/>
          <w:u w:val="single"/>
          <w:lang w:val="en-US" w:eastAsia="zh-CN"/>
        </w:rPr>
        <w:t>1</w:t>
      </w:r>
      <w:r>
        <w:rPr>
          <w:rFonts w:hint="default" w:ascii="Times New Roman" w:hAnsi="Times New Roman" w:cs="Times New Roman"/>
          <w:color w:val="auto"/>
          <w:u w:val="single"/>
        </w:rPr>
        <w:t>%，因此本项目，大气评价等级为</w:t>
      </w:r>
      <w:r>
        <w:rPr>
          <w:rFonts w:hint="default" w:ascii="Times New Roman" w:hAnsi="Times New Roman" w:cs="Times New Roman"/>
          <w:color w:val="auto"/>
          <w:u w:val="single"/>
          <w:lang w:val="en-US" w:eastAsia="zh-CN"/>
        </w:rPr>
        <w:t>三</w:t>
      </w:r>
      <w:r>
        <w:rPr>
          <w:rFonts w:hint="default" w:ascii="Times New Roman" w:hAnsi="Times New Roman" w:cs="Times New Roman"/>
          <w:color w:val="auto"/>
          <w:u w:val="single"/>
        </w:rPr>
        <w:t>级</w:t>
      </w:r>
      <w:r>
        <w:rPr>
          <w:rFonts w:hint="default" w:ascii="Times New Roman" w:hAnsi="Times New Roman" w:cs="Times New Roman"/>
          <w:color w:val="auto"/>
          <w:u w:val="single"/>
          <w:lang w:eastAsia="zh-CN"/>
        </w:rPr>
        <w:t>。</w:t>
      </w:r>
    </w:p>
    <w:p>
      <w:pPr>
        <w:pStyle w:val="39"/>
        <w:keepNext w:val="0"/>
        <w:keepLines w:val="0"/>
        <w:pageBreakBefore w:val="0"/>
        <w:widowControl w:val="0"/>
        <w:shd w:val="clear"/>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single"/>
          <w:lang w:eastAsia="zh-CN"/>
        </w:rPr>
        <w:t>《环境影响评价技术导则</w:t>
      </w:r>
      <w:r>
        <w:rPr>
          <w:rFonts w:hint="default" w:ascii="Times New Roman" w:hAnsi="Times New Roman" w:cs="Times New Roman"/>
          <w:color w:val="auto"/>
          <w:highlight w:val="none"/>
          <w:u w:val="single"/>
          <w:lang w:val="en-US" w:eastAsia="zh-CN"/>
        </w:rPr>
        <w:t xml:space="preserve"> 大气环境》（HJ2.2-2018）5.3.3.2节规定：对电力、钢铁、水泥、石化、化工、平板玻璃、有色等高耗能行业的多源项目或以使用高污染燃料为主的多源项目，并编制环境影响报告书的项目评价等级提高一级。本项目属于化工行业，但是属于单源项目。项目生产过程中的废气仅含有少量的环己烷，大气污染物为VOCs，污染物量少且排放源单一，废气通过企业管网导入</w:t>
      </w:r>
      <w:r>
        <w:rPr>
          <w:rFonts w:hint="default" w:ascii="Times New Roman" w:hAnsi="Times New Roman" w:cs="Times New Roman"/>
          <w:color w:val="auto"/>
          <w:highlight w:val="none"/>
          <w:lang w:eastAsia="zh-CN"/>
        </w:rPr>
        <w:t>巴陵石化</w:t>
      </w:r>
      <w:r>
        <w:rPr>
          <w:rFonts w:hint="default" w:ascii="Times New Roman" w:hAnsi="Times New Roman" w:cs="Times New Roman"/>
          <w:color w:val="auto"/>
          <w:highlight w:val="none"/>
          <w:u w:val="single"/>
          <w:lang w:val="en-US" w:eastAsia="zh-CN"/>
        </w:rPr>
        <w:t>放空总管，进入</w:t>
      </w:r>
      <w:r>
        <w:rPr>
          <w:rFonts w:hint="default" w:ascii="Times New Roman" w:hAnsi="Times New Roman" w:cs="Times New Roman"/>
          <w:color w:val="auto"/>
          <w:highlight w:val="none"/>
          <w:lang w:eastAsia="zh-CN"/>
        </w:rPr>
        <w:t>巴陵石化公司</w:t>
      </w:r>
      <w:r>
        <w:rPr>
          <w:rFonts w:hint="default" w:ascii="Times New Roman" w:hAnsi="Times New Roman" w:cs="Times New Roman"/>
          <w:color w:val="auto"/>
          <w:highlight w:val="none"/>
        </w:rPr>
        <w:t>火炬台燃烧处理</w:t>
      </w:r>
      <w:r>
        <w:rPr>
          <w:rFonts w:hint="default" w:ascii="Times New Roman" w:hAnsi="Times New Roman" w:cs="Times New Roman"/>
          <w:color w:val="auto"/>
          <w:highlight w:val="none"/>
          <w:lang w:eastAsia="zh-CN"/>
        </w:rPr>
        <w:t>，火炬台燃烧效率为</w:t>
      </w:r>
      <w:r>
        <w:rPr>
          <w:rFonts w:hint="default" w:ascii="Times New Roman" w:hAnsi="Times New Roman" w:cs="Times New Roman"/>
          <w:color w:val="auto"/>
          <w:highlight w:val="none"/>
          <w:lang w:val="en-US" w:eastAsia="zh-CN"/>
        </w:rPr>
        <w:t>95%。因而本项目排入大气的污染物极少。此外，本项目不属于</w:t>
      </w:r>
      <w:r>
        <w:rPr>
          <w:rFonts w:hint="default" w:ascii="Times New Roman" w:hAnsi="Times New Roman" w:cs="Times New Roman"/>
          <w:color w:val="auto"/>
          <w:highlight w:val="none"/>
          <w:u w:val="none"/>
          <w:lang w:val="en-US" w:eastAsia="zh-CN"/>
        </w:rPr>
        <w:t>以使用高污染燃料为主的多源项目。根据导则要求，本项目大气评价等级仍然为三级。</w:t>
      </w:r>
    </w:p>
    <w:p>
      <w:pPr>
        <w:pStyle w:val="39"/>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eastAsia="zh-CN"/>
        </w:rPr>
        <w:t>根据环境影响评价技术导则</w:t>
      </w:r>
      <w:r>
        <w:rPr>
          <w:rFonts w:hint="default" w:ascii="Times New Roman" w:hAnsi="Times New Roman" w:cs="Times New Roman"/>
          <w:color w:val="auto"/>
          <w:u w:val="single"/>
          <w:lang w:val="en-US" w:eastAsia="zh-CN"/>
        </w:rPr>
        <w:t xml:space="preserve"> 大气环境（HJ2.2-2018）规定，三级评价项目不需设置大气环境影响评价范围，只调查项目所在区域环境质量达标情况，只调查本项目新增污染源和拟被替代的污染源，不进行进一步预测与评价。</w:t>
      </w:r>
    </w:p>
    <w:p>
      <w:pPr>
        <w:pStyle w:val="7"/>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rPr>
      </w:pPr>
      <w:r>
        <w:rPr>
          <w:rFonts w:hint="default" w:ascii="Times New Roman" w:hAnsi="Times New Roman" w:cs="Times New Roman"/>
          <w:color w:val="auto"/>
        </w:rPr>
        <w:t>地表水环境评价工作等级和评价范围</w:t>
      </w:r>
      <w:bookmarkEnd w:id="185"/>
      <w:bookmarkEnd w:id="186"/>
      <w:bookmarkEnd w:id="188"/>
      <w:bookmarkEnd w:id="189"/>
      <w:bookmarkEnd w:id="190"/>
      <w:bookmarkEnd w:id="191"/>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本项目废</w:t>
      </w:r>
      <w:r>
        <w:rPr>
          <w:rFonts w:hint="default" w:ascii="Times New Roman" w:hAnsi="Times New Roman" w:cs="Times New Roman"/>
          <w:color w:val="auto"/>
          <w:highlight w:val="none"/>
        </w:rPr>
        <w:t>水经预处理后排入园区污水管进入巴陵石化污水处理厂，废水不直接排入外环境，属于间接排放</w:t>
      </w:r>
      <w:r>
        <w:rPr>
          <w:rFonts w:hint="default" w:ascii="Times New Roman" w:hAnsi="Times New Roman" w:eastAsia="宋体" w:cs="Times New Roman"/>
          <w:color w:val="auto"/>
          <w:highlight w:val="none"/>
        </w:rPr>
        <w:t>，根据《环境影响评价技术导则 地表水环境》(HJ2.3-2018)</w:t>
      </w:r>
      <w:r>
        <w:rPr>
          <w:rFonts w:hint="default" w:ascii="Times New Roman" w:hAnsi="Times New Roman" w:cs="Times New Roman"/>
          <w:color w:val="auto"/>
          <w:highlight w:val="none"/>
        </w:rPr>
        <w:t>第</w:t>
      </w:r>
      <w:r>
        <w:rPr>
          <w:rFonts w:hint="default" w:ascii="Times New Roman" w:hAnsi="Times New Roman" w:eastAsia="宋体" w:cs="Times New Roman"/>
          <w:color w:val="auto"/>
          <w:highlight w:val="none"/>
        </w:rPr>
        <w:t>5.2.2.2条，</w:t>
      </w:r>
      <w:r>
        <w:rPr>
          <w:rFonts w:hint="default" w:ascii="Times New Roman" w:hAnsi="Times New Roman" w:eastAsia="宋体" w:cs="Times New Roman"/>
          <w:color w:val="auto"/>
          <w:highlight w:val="none"/>
          <w:u w:val="single"/>
        </w:rPr>
        <w:t>间接排放建设项目评价等级为三级B。</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评价范围：</w:t>
      </w:r>
      <w:r>
        <w:rPr>
          <w:rFonts w:hint="default" w:ascii="Times New Roman" w:hAnsi="Times New Roman" w:cs="Times New Roman"/>
          <w:color w:val="auto"/>
          <w:u w:val="single"/>
        </w:rPr>
        <w:t>本项目不设地表水评价范围，</w:t>
      </w:r>
      <w:r>
        <w:rPr>
          <w:rFonts w:hint="default" w:ascii="Times New Roman" w:hAnsi="Times New Roman" w:cs="Times New Roman"/>
          <w:color w:val="auto"/>
        </w:rPr>
        <w:t>主要评价项目依托巴陵石化污水处理厂的环境可行性。</w:t>
      </w:r>
    </w:p>
    <w:p>
      <w:pPr>
        <w:pStyle w:val="7"/>
        <w:keepNext w:val="0"/>
        <w:keepLines w:val="0"/>
        <w:pageBreakBefore w:val="0"/>
        <w:widowControl w:val="0"/>
        <w:numPr>
          <w:ilvl w:val="3"/>
          <w:numId w:val="0"/>
        </w:numPr>
        <w:kinsoku/>
        <w:wordWrap/>
        <w:overflowPunct/>
        <w:topLinePunct w:val="0"/>
        <w:autoSpaceDE/>
        <w:autoSpaceDN/>
        <w:bidi w:val="0"/>
        <w:adjustRightInd w:val="0"/>
        <w:snapToGrid w:val="0"/>
        <w:spacing w:beforeLines="0" w:afterLines="0"/>
        <w:ind w:leftChars="0"/>
        <w:textAlignment w:val="auto"/>
        <w:rPr>
          <w:rFonts w:hint="default" w:ascii="Times New Roman" w:hAnsi="Times New Roman" w:cs="Times New Roman"/>
          <w:color w:val="auto"/>
        </w:rPr>
      </w:pPr>
      <w:bookmarkStart w:id="192" w:name="_Toc302766703"/>
      <w:bookmarkStart w:id="193" w:name="_Toc328548564"/>
      <w:bookmarkStart w:id="194" w:name="_Toc306096897"/>
      <w:bookmarkStart w:id="195" w:name="_Toc328401230"/>
      <w:bookmarkStart w:id="196" w:name="_Toc328547968"/>
      <w:bookmarkStart w:id="197" w:name="_Toc306024699"/>
      <w:bookmarkStart w:id="198" w:name="_Toc328401045"/>
      <w:r>
        <w:rPr>
          <w:rFonts w:hint="default" w:ascii="Times New Roman" w:hAnsi="Times New Roman" w:cs="Times New Roman"/>
          <w:color w:val="auto"/>
          <w:lang w:val="en-US" w:eastAsia="zh-CN"/>
        </w:rPr>
        <w:t xml:space="preserve">2.4.3.3 </w:t>
      </w:r>
      <w:r>
        <w:rPr>
          <w:rFonts w:hint="default" w:ascii="Times New Roman" w:hAnsi="Times New Roman" w:cs="Times New Roman"/>
          <w:color w:val="auto"/>
        </w:rPr>
        <w:t>声环境评价工作等级和评价范围</w:t>
      </w:r>
      <w:bookmarkEnd w:id="192"/>
      <w:bookmarkEnd w:id="193"/>
      <w:bookmarkEnd w:id="194"/>
      <w:bookmarkEnd w:id="195"/>
      <w:bookmarkEnd w:id="196"/>
      <w:bookmarkEnd w:id="197"/>
      <w:bookmarkEnd w:id="198"/>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本项目所在区域为声环境3类功能区，项目建成后主要噪声源为生产设备，项目建设前后评价范围内敏感目标噪声级增高量在3dB(A)以下，且周边受影响人口数量变化不大，根据《环境影响评价技术导则 声环境》（HJ2.4-2009）的规定，确定本次声环境影响评价工作等级为三级。</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声环境评价范围：本项目厂界外200m范围。</w:t>
      </w:r>
    </w:p>
    <w:p>
      <w:pPr>
        <w:pStyle w:val="39"/>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b/>
          <w:bCs/>
          <w:color w:val="auto"/>
          <w:kern w:val="2"/>
          <w:sz w:val="24"/>
          <w:szCs w:val="24"/>
          <w:lang w:val="en-US" w:eastAsia="zh-CN" w:bidi="ar-SA"/>
        </w:rPr>
      </w:pPr>
      <w:bookmarkStart w:id="199" w:name="_Toc328548565"/>
      <w:bookmarkStart w:id="200" w:name="_Toc328547969"/>
      <w:bookmarkStart w:id="201" w:name="_Toc302766704"/>
      <w:bookmarkStart w:id="202" w:name="_Toc306024700"/>
      <w:bookmarkStart w:id="203" w:name="_Toc328401231"/>
      <w:bookmarkStart w:id="204" w:name="_Toc328401046"/>
      <w:bookmarkStart w:id="205" w:name="_Toc306096898"/>
      <w:r>
        <w:rPr>
          <w:rFonts w:hint="default" w:ascii="Times New Roman" w:hAnsi="Times New Roman" w:eastAsia="宋体" w:cs="Times New Roman"/>
          <w:b/>
          <w:bCs/>
          <w:color w:val="auto"/>
          <w:kern w:val="2"/>
          <w:sz w:val="24"/>
          <w:szCs w:val="24"/>
          <w:lang w:val="en-US" w:eastAsia="zh-CN" w:bidi="ar-SA"/>
        </w:rPr>
        <w:t>2.4.3.4 生态环境评价工作等级和评价范围</w:t>
      </w:r>
      <w:bookmarkEnd w:id="199"/>
      <w:bookmarkEnd w:id="200"/>
      <w:bookmarkEnd w:id="201"/>
      <w:bookmarkEnd w:id="202"/>
      <w:bookmarkEnd w:id="203"/>
      <w:bookmarkEnd w:id="204"/>
      <w:bookmarkEnd w:id="205"/>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lang w:eastAsia="zh-CN"/>
        </w:rPr>
      </w:pPr>
      <w:r>
        <w:rPr>
          <w:rFonts w:hint="default" w:ascii="Times New Roman" w:hAnsi="Times New Roman" w:cs="Times New Roman"/>
          <w:color w:val="auto"/>
        </w:rPr>
        <w:t>按照《环境影响评价技术导则 生态环境》（HJ19-2011）导则</w:t>
      </w:r>
      <w:r>
        <w:rPr>
          <w:rFonts w:hint="default" w:ascii="Times New Roman" w:hAnsi="Times New Roman" w:cs="Times New Roman"/>
          <w:color w:val="auto"/>
          <w:lang w:val="en-US" w:eastAsia="zh-CN"/>
        </w:rPr>
        <w:t>4.2.1节</w:t>
      </w:r>
      <w:r>
        <w:rPr>
          <w:rFonts w:hint="default" w:ascii="Times New Roman" w:hAnsi="Times New Roman" w:cs="Times New Roman"/>
          <w:color w:val="auto"/>
        </w:rPr>
        <w:t>要求，</w:t>
      </w:r>
      <w:r>
        <w:rPr>
          <w:rFonts w:hint="default" w:ascii="Times New Roman" w:hAnsi="Times New Roman" w:cs="Times New Roman"/>
          <w:color w:val="auto"/>
          <w:lang w:eastAsia="zh-CN"/>
        </w:rPr>
        <w:t>依据影响区域的生态敏感性和评价目的的工程占地（含水域）范围，包括永久占地和临时占地，将生态影响评价工作等级划分为一级、二级和三级，如表</w:t>
      </w:r>
      <w:r>
        <w:rPr>
          <w:rFonts w:hint="default" w:ascii="Times New Roman" w:hAnsi="Times New Roman" w:cs="Times New Roman"/>
          <w:color w:val="auto"/>
          <w:lang w:val="en-US" w:eastAsia="zh-CN"/>
        </w:rPr>
        <w:t>15所示。</w:t>
      </w:r>
      <w:r>
        <w:rPr>
          <w:rFonts w:hint="default" w:ascii="Times New Roman" w:hAnsi="Times New Roman" w:cs="Times New Roman"/>
          <w:color w:val="auto"/>
        </w:rPr>
        <w:t>位于原厂界（或永久用地）范围内的工业类改扩建项目，可做生态影响分析</w:t>
      </w:r>
      <w:r>
        <w:rPr>
          <w:rFonts w:hint="default" w:ascii="Times New Roman" w:hAnsi="Times New Roman" w:cs="Times New Roman"/>
          <w:color w:val="auto"/>
          <w:lang w:eastAsia="zh-CN"/>
        </w:rPr>
        <w:t>。</w:t>
      </w:r>
    </w:p>
    <w:p>
      <w:pPr>
        <w:pStyle w:val="3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2-15 生态影响评价工作等级划分表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4"/>
        <w:gridCol w:w="2011"/>
        <w:gridCol w:w="2261"/>
        <w:gridCol w:w="2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573" w:type="dxa"/>
            <w:vMerge w:val="restart"/>
            <w:vAlign w:val="center"/>
          </w:tcPr>
          <w:p>
            <w:pPr>
              <w:pStyle w:val="39"/>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影响区域生态敏感性</w:t>
            </w:r>
          </w:p>
        </w:tc>
        <w:tc>
          <w:tcPr>
            <w:tcW w:w="6714" w:type="dxa"/>
            <w:gridSpan w:val="3"/>
            <w:vAlign w:val="center"/>
          </w:tcPr>
          <w:p>
            <w:pPr>
              <w:pStyle w:val="39"/>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lang w:eastAsia="zh-CN"/>
              </w:rPr>
              <w:t>工程占地（含水域）范围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2573" w:type="dxa"/>
            <w:vMerge w:val="continue"/>
            <w:vAlign w:val="center"/>
          </w:tcPr>
          <w:p>
            <w:pPr>
              <w:pStyle w:val="39"/>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p>
        </w:tc>
        <w:tc>
          <w:tcPr>
            <w:tcW w:w="2070" w:type="dxa"/>
            <w:vAlign w:val="center"/>
          </w:tcPr>
          <w:p>
            <w:pPr>
              <w:pStyle w:val="39"/>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面积≥20km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vertAlign w:val="baseline"/>
                <w:lang w:val="en-US" w:eastAsia="zh-CN"/>
              </w:rPr>
              <w:t>或长度≥</w:t>
            </w:r>
            <w:r>
              <w:rPr>
                <w:rFonts w:hint="default" w:ascii="Times New Roman" w:hAnsi="Times New Roman" w:eastAsia="宋体" w:cs="Times New Roman"/>
                <w:color w:val="auto"/>
                <w:sz w:val="21"/>
                <w:szCs w:val="21"/>
                <w:vertAlign w:val="baseline"/>
                <w:lang w:val="en-US" w:eastAsia="zh-CN"/>
              </w:rPr>
              <w:t>100km</w:t>
            </w:r>
          </w:p>
        </w:tc>
        <w:tc>
          <w:tcPr>
            <w:tcW w:w="2322" w:type="dxa"/>
            <w:vAlign w:val="center"/>
          </w:tcPr>
          <w:p>
            <w:pPr>
              <w:pStyle w:val="39"/>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面积2~20km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vertAlign w:val="baseline"/>
                <w:lang w:val="en-US" w:eastAsia="zh-CN"/>
              </w:rPr>
              <w:t>或长度50~</w:t>
            </w:r>
            <w:r>
              <w:rPr>
                <w:rFonts w:hint="default" w:ascii="Times New Roman" w:hAnsi="Times New Roman" w:eastAsia="宋体" w:cs="Times New Roman"/>
                <w:color w:val="auto"/>
                <w:sz w:val="21"/>
                <w:szCs w:val="21"/>
                <w:vertAlign w:val="baseline"/>
                <w:lang w:val="en-US" w:eastAsia="zh-CN"/>
              </w:rPr>
              <w:t>100km</w:t>
            </w:r>
          </w:p>
        </w:tc>
        <w:tc>
          <w:tcPr>
            <w:tcW w:w="2322" w:type="dxa"/>
            <w:vAlign w:val="center"/>
          </w:tcPr>
          <w:p>
            <w:pPr>
              <w:pStyle w:val="39"/>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面积≤2km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vertAlign w:val="baseline"/>
                <w:lang w:val="en-US" w:eastAsia="zh-CN"/>
              </w:rPr>
              <w:t>或长度≤50</w:t>
            </w:r>
            <w:r>
              <w:rPr>
                <w:rFonts w:hint="default" w:ascii="Times New Roman" w:hAnsi="Times New Roman" w:eastAsia="宋体" w:cs="Times New Roman"/>
                <w:color w:val="auto"/>
                <w:sz w:val="21"/>
                <w:szCs w:val="21"/>
                <w:vertAlign w:val="baseline"/>
                <w:lang w:val="en-US" w:eastAsia="zh-CN"/>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2573" w:type="dxa"/>
            <w:vAlign w:val="center"/>
          </w:tcPr>
          <w:p>
            <w:pPr>
              <w:pStyle w:val="39"/>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特殊生态敏感区</w:t>
            </w:r>
          </w:p>
        </w:tc>
        <w:tc>
          <w:tcPr>
            <w:tcW w:w="2070" w:type="dxa"/>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一级</w:t>
            </w:r>
          </w:p>
        </w:tc>
        <w:tc>
          <w:tcPr>
            <w:tcW w:w="2322" w:type="dxa"/>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一级</w:t>
            </w:r>
          </w:p>
        </w:tc>
        <w:tc>
          <w:tcPr>
            <w:tcW w:w="2322" w:type="dxa"/>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573" w:type="dxa"/>
            <w:vAlign w:val="center"/>
          </w:tcPr>
          <w:p>
            <w:pPr>
              <w:pStyle w:val="39"/>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重要生态敏感区</w:t>
            </w:r>
          </w:p>
        </w:tc>
        <w:tc>
          <w:tcPr>
            <w:tcW w:w="2070" w:type="dxa"/>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一级</w:t>
            </w:r>
          </w:p>
        </w:tc>
        <w:tc>
          <w:tcPr>
            <w:tcW w:w="2322" w:type="dxa"/>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2322" w:type="dxa"/>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573" w:type="dxa"/>
            <w:vAlign w:val="center"/>
          </w:tcPr>
          <w:p>
            <w:pPr>
              <w:pStyle w:val="39"/>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一般区域</w:t>
            </w:r>
          </w:p>
        </w:tc>
        <w:tc>
          <w:tcPr>
            <w:tcW w:w="2070" w:type="dxa"/>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2322" w:type="dxa"/>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2322" w:type="dxa"/>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r>
    </w:tbl>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lang w:eastAsia="zh-CN"/>
        </w:rPr>
      </w:pP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岳阳鑫达实业有限公司</w:t>
      </w:r>
      <w:r>
        <w:rPr>
          <w:rFonts w:hint="default" w:ascii="Times New Roman" w:hAnsi="Times New Roman" w:cs="Times New Roman"/>
          <w:color w:val="auto"/>
          <w:lang w:val="en-US" w:eastAsia="zh-CN"/>
        </w:rPr>
        <w:t>500吨/年加氢催化剂生产项目属于</w:t>
      </w:r>
      <w:r>
        <w:rPr>
          <w:rFonts w:hint="default" w:ascii="Times New Roman" w:hAnsi="Times New Roman" w:cs="Times New Roman"/>
          <w:color w:val="auto"/>
        </w:rPr>
        <w:t>位于原厂界范围内的工业类改扩建项目，</w:t>
      </w:r>
      <w:r>
        <w:rPr>
          <w:rFonts w:hint="default" w:ascii="Times New Roman" w:hAnsi="Times New Roman" w:cs="Times New Roman"/>
          <w:color w:val="auto"/>
          <w:lang w:eastAsia="zh-CN"/>
        </w:rPr>
        <w:t>只</w:t>
      </w:r>
      <w:r>
        <w:rPr>
          <w:rFonts w:hint="default" w:ascii="Times New Roman" w:hAnsi="Times New Roman" w:cs="Times New Roman"/>
          <w:color w:val="auto"/>
        </w:rPr>
        <w:t>做生态影响分析</w:t>
      </w:r>
      <w:r>
        <w:rPr>
          <w:rFonts w:hint="default" w:ascii="Times New Roman" w:hAnsi="Times New Roman" w:cs="Times New Roman"/>
          <w:color w:val="auto"/>
          <w:lang w:eastAsia="zh-CN"/>
        </w:rPr>
        <w:t>。不需要确定</w:t>
      </w:r>
      <w:r>
        <w:rPr>
          <w:rFonts w:hint="default" w:ascii="Times New Roman" w:hAnsi="Times New Roman" w:cs="Times New Roman"/>
          <w:color w:val="auto"/>
        </w:rPr>
        <w:t>生态环境评价工作等级和评价范围</w:t>
      </w:r>
      <w:r>
        <w:rPr>
          <w:rFonts w:hint="default" w:ascii="Times New Roman" w:hAnsi="Times New Roman" w:cs="Times New Roman"/>
          <w:color w:val="auto"/>
          <w:lang w:eastAsia="zh-CN"/>
        </w:rPr>
        <w:t>。</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岳阳鑫达实业有限公司</w:t>
      </w:r>
      <w:r>
        <w:rPr>
          <w:rFonts w:hint="default" w:ascii="Times New Roman" w:hAnsi="Times New Roman" w:cs="Times New Roman"/>
          <w:color w:val="auto"/>
          <w:lang w:val="en-US" w:eastAsia="zh-CN"/>
        </w:rPr>
        <w:t>500吨/年加氢催化剂生产项目，确定</w:t>
      </w:r>
      <w:r>
        <w:rPr>
          <w:rFonts w:hint="default" w:ascii="Times New Roman" w:hAnsi="Times New Roman" w:cs="Times New Roman"/>
          <w:color w:val="auto"/>
          <w:lang w:eastAsia="zh-CN"/>
        </w:rPr>
        <w:t>只</w:t>
      </w:r>
      <w:r>
        <w:rPr>
          <w:rFonts w:hint="default" w:ascii="Times New Roman" w:hAnsi="Times New Roman" w:cs="Times New Roman"/>
          <w:color w:val="auto"/>
        </w:rPr>
        <w:t>做生态影响分析</w:t>
      </w:r>
      <w:r>
        <w:rPr>
          <w:rFonts w:hint="default" w:ascii="Times New Roman" w:hAnsi="Times New Roman" w:cs="Times New Roman"/>
          <w:color w:val="auto"/>
          <w:lang w:eastAsia="zh-CN"/>
        </w:rPr>
        <w:t>。</w:t>
      </w:r>
    </w:p>
    <w:p>
      <w:pPr>
        <w:pStyle w:val="7"/>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r>
        <w:rPr>
          <w:rFonts w:hint="default" w:ascii="Times New Roman" w:hAnsi="Times New Roman" w:cs="Times New Roman"/>
          <w:color w:val="auto"/>
        </w:rPr>
        <w:t>地下水环境评价工作等级和评价范围</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根据《环境影响评价技术导则 地下水环境》（HJ610-2016）中附录A地下水环境影响评价行业分类表，本项目属于</w:t>
      </w:r>
      <w:r>
        <w:rPr>
          <w:rFonts w:hint="default" w:ascii="Times New Roman" w:hAnsi="Times New Roman" w:cs="Times New Roman"/>
          <w:color w:val="auto"/>
          <w:lang w:eastAsia="zh-CN"/>
        </w:rPr>
        <w:t>“</w:t>
      </w:r>
      <w:r>
        <w:rPr>
          <w:rFonts w:hint="default" w:ascii="Times New Roman" w:hAnsi="Times New Roman" w:cs="Times New Roman"/>
          <w:color w:val="auto"/>
        </w:rPr>
        <w:t>石化、化工</w:t>
      </w:r>
      <w:r>
        <w:rPr>
          <w:rFonts w:hint="default" w:ascii="Times New Roman" w:hAnsi="Times New Roman" w:cs="Times New Roman"/>
          <w:color w:val="auto"/>
          <w:lang w:eastAsia="zh-CN"/>
        </w:rPr>
        <w:t>”</w:t>
      </w:r>
      <w:r>
        <w:rPr>
          <w:rFonts w:hint="default" w:ascii="Times New Roman" w:hAnsi="Times New Roman" w:cs="Times New Roman"/>
          <w:color w:val="auto"/>
        </w:rPr>
        <w:t>中第85项基本化学原料制造，属于</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ROMAN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I</w:t>
      </w:r>
      <w:r>
        <w:rPr>
          <w:rFonts w:hint="default" w:ascii="Times New Roman" w:hAnsi="Times New Roman" w:cs="Times New Roman"/>
          <w:color w:val="auto"/>
        </w:rPr>
        <w:fldChar w:fldCharType="end"/>
      </w:r>
      <w:r>
        <w:rPr>
          <w:rFonts w:hint="default" w:ascii="Times New Roman" w:hAnsi="Times New Roman" w:cs="Times New Roman"/>
          <w:color w:val="auto"/>
        </w:rPr>
        <w:t>类项目地下水环境影响评价项目类别。</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根据《环境影响评价技术导则 地下水环境》（HJ610-2016）中有关地下水环境影响评价行业分类表可知，本项目地下水环境影响评价项目类别为</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ROMAN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I</w:t>
      </w:r>
      <w:r>
        <w:rPr>
          <w:rFonts w:hint="default" w:ascii="Times New Roman" w:hAnsi="Times New Roman" w:cs="Times New Roman"/>
          <w:color w:val="auto"/>
        </w:rPr>
        <w:fldChar w:fldCharType="end"/>
      </w:r>
      <w:r>
        <w:rPr>
          <w:rFonts w:hint="default" w:ascii="Times New Roman" w:hAnsi="Times New Roman" w:cs="Times New Roman"/>
          <w:color w:val="auto"/>
        </w:rPr>
        <w:t>类项目。</w:t>
      </w:r>
    </w:p>
    <w:p>
      <w:pPr>
        <w:pStyle w:val="3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kern w:val="2"/>
          <w:sz w:val="21"/>
          <w:szCs w:val="21"/>
          <w:lang w:val="zh-CN" w:eastAsia="zh-CN" w:bidi="ar-SA"/>
        </w:rPr>
      </w:pPr>
      <w:r>
        <w:rPr>
          <w:rFonts w:hint="default" w:ascii="Times New Roman" w:hAnsi="Times New Roman" w:eastAsia="宋体" w:cs="Times New Roman"/>
          <w:b/>
          <w:bCs/>
          <w:color w:val="auto"/>
          <w:kern w:val="2"/>
          <w:sz w:val="21"/>
          <w:szCs w:val="21"/>
          <w:lang w:val="zh-CN" w:eastAsia="zh-CN" w:bidi="ar-SA"/>
        </w:rPr>
        <w:t>表</w:t>
      </w:r>
      <w:r>
        <w:rPr>
          <w:rFonts w:hint="default" w:ascii="Times New Roman" w:hAnsi="Times New Roman" w:eastAsia="宋体" w:cs="Times New Roman"/>
          <w:b/>
          <w:bCs/>
          <w:color w:val="auto"/>
          <w:kern w:val="2"/>
          <w:sz w:val="21"/>
          <w:szCs w:val="21"/>
          <w:lang w:val="en-US" w:eastAsia="zh-CN" w:bidi="ar-SA"/>
        </w:rPr>
        <w:t>2</w:t>
      </w:r>
      <w:r>
        <w:rPr>
          <w:rFonts w:hint="default" w:ascii="Times New Roman" w:hAnsi="Times New Roman" w:cs="Times New Roman"/>
          <w:b/>
          <w:bCs/>
          <w:color w:val="auto"/>
          <w:kern w:val="2"/>
          <w:sz w:val="21"/>
          <w:szCs w:val="21"/>
          <w:lang w:val="en-US" w:eastAsia="zh-CN" w:bidi="ar-SA"/>
        </w:rPr>
        <w:t>-16</w:t>
      </w:r>
      <w:r>
        <w:rPr>
          <w:rFonts w:hint="default" w:ascii="Times New Roman" w:hAnsi="Times New Roman" w:eastAsia="宋体" w:cs="Times New Roman"/>
          <w:b/>
          <w:bCs/>
          <w:color w:val="auto"/>
          <w:kern w:val="2"/>
          <w:sz w:val="21"/>
          <w:szCs w:val="21"/>
          <w:lang w:val="zh-CN" w:eastAsia="zh-CN" w:bidi="ar-SA"/>
        </w:rPr>
        <w:t xml:space="preserve"> 地下水环境敏感程度分级表</w:t>
      </w:r>
    </w:p>
    <w:tbl>
      <w:tblPr>
        <w:tblStyle w:val="24"/>
        <w:tblW w:w="928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806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227" w:type="dxa"/>
            <w:tcBorders>
              <w:top w:val="single" w:color="auto" w:sz="12" w:space="0"/>
              <w:left w:val="single" w:color="auto" w:sz="12"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敏感程度</w:t>
            </w:r>
          </w:p>
        </w:tc>
        <w:tc>
          <w:tcPr>
            <w:tcW w:w="8060" w:type="dxa"/>
            <w:tcBorders>
              <w:top w:val="single" w:color="auto" w:sz="12" w:space="0"/>
              <w:right w:val="single" w:color="auto" w:sz="12"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地下水环境敏感特征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1227" w:type="dxa"/>
            <w:tcBorders>
              <w:left w:val="single" w:color="auto" w:sz="12"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敏感</w:t>
            </w:r>
          </w:p>
        </w:tc>
        <w:tc>
          <w:tcPr>
            <w:tcW w:w="8060" w:type="dxa"/>
            <w:tcBorders>
              <w:right w:val="single" w:color="auto" w:sz="12"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集中式饮用水水源地（包括已建成的在用、备用、应急水源地，在建和规划的水源地）准保护区；除集中式饮用水水源地以外的国家或地方政府设定的与地下水环境相关的其它保护区，如热水、矿泉水、温泉等特殊地下水资源保护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1227" w:type="dxa"/>
            <w:tcBorders>
              <w:left w:val="single" w:color="auto" w:sz="12"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较敏感</w:t>
            </w:r>
          </w:p>
        </w:tc>
        <w:tc>
          <w:tcPr>
            <w:tcW w:w="8060" w:type="dxa"/>
            <w:tcBorders>
              <w:right w:val="single" w:color="auto" w:sz="12"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集中式饮用水水源地（包括已建成的在用、备用、应急水源地，在建和规划的水源地）准保护区以外的补给径流区；特殊地下水资源（如矿泉水、温泉等）保护区以外的分布区以及分散式居民饮用水水源等其它未列入上述敏感分级的环境敏感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227" w:type="dxa"/>
            <w:tcBorders>
              <w:left w:val="single" w:color="auto" w:sz="12" w:space="0"/>
              <w:bottom w:val="single" w:color="auto" w:sz="12"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不敏感</w:t>
            </w:r>
          </w:p>
        </w:tc>
        <w:tc>
          <w:tcPr>
            <w:tcW w:w="8060" w:type="dxa"/>
            <w:tcBorders>
              <w:bottom w:val="single" w:color="auto" w:sz="12" w:space="0"/>
              <w:right w:val="single" w:color="auto" w:sz="12"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上述地区之外的其它地区。项目地下水敏感程度为不敏感。</w:t>
            </w:r>
          </w:p>
        </w:tc>
      </w:tr>
    </w:tbl>
    <w:p>
      <w:pPr>
        <w:pStyle w:val="39"/>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outlineLvl w:val="9"/>
        <w:rPr>
          <w:rFonts w:hint="default" w:ascii="Times New Roman" w:hAnsi="Times New Roman" w:eastAsia="宋体" w:cs="Times New Roman"/>
          <w:b/>
          <w:bCs/>
          <w:color w:val="auto"/>
          <w:kern w:val="2"/>
          <w:sz w:val="21"/>
          <w:szCs w:val="21"/>
          <w:lang w:val="zh-CN" w:eastAsia="zh-CN" w:bidi="ar-SA"/>
        </w:rPr>
      </w:pPr>
    </w:p>
    <w:p>
      <w:pPr>
        <w:pStyle w:val="39"/>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outlineLvl w:val="9"/>
        <w:rPr>
          <w:rFonts w:hint="default" w:ascii="Times New Roman" w:hAnsi="Times New Roman" w:eastAsia="宋体" w:cs="Times New Roman"/>
          <w:b/>
          <w:bCs/>
          <w:color w:val="auto"/>
          <w:kern w:val="2"/>
          <w:sz w:val="21"/>
          <w:szCs w:val="21"/>
          <w:lang w:val="zh-CN" w:eastAsia="zh-CN" w:bidi="ar-SA"/>
        </w:rPr>
      </w:pPr>
      <w:r>
        <w:rPr>
          <w:rFonts w:hint="default" w:ascii="Times New Roman" w:hAnsi="Times New Roman" w:eastAsia="宋体" w:cs="Times New Roman"/>
          <w:b/>
          <w:bCs/>
          <w:color w:val="auto"/>
          <w:kern w:val="2"/>
          <w:sz w:val="21"/>
          <w:szCs w:val="21"/>
          <w:lang w:val="zh-CN" w:eastAsia="zh-CN" w:bidi="ar-SA"/>
        </w:rPr>
        <w:t>表</w:t>
      </w:r>
      <w:r>
        <w:rPr>
          <w:rFonts w:hint="default" w:ascii="Times New Roman" w:hAnsi="Times New Roman" w:eastAsia="宋体" w:cs="Times New Roman"/>
          <w:b/>
          <w:bCs/>
          <w:color w:val="auto"/>
          <w:kern w:val="2"/>
          <w:sz w:val="21"/>
          <w:szCs w:val="21"/>
          <w:lang w:val="en-US" w:eastAsia="zh-CN" w:bidi="ar-SA"/>
        </w:rPr>
        <w:t>2</w:t>
      </w:r>
      <w:r>
        <w:rPr>
          <w:rFonts w:hint="default" w:ascii="Times New Roman" w:hAnsi="Times New Roman" w:cs="Times New Roman"/>
          <w:b/>
          <w:bCs/>
          <w:color w:val="auto"/>
          <w:kern w:val="2"/>
          <w:sz w:val="21"/>
          <w:szCs w:val="21"/>
          <w:lang w:val="en-US" w:eastAsia="zh-CN" w:bidi="ar-SA"/>
        </w:rPr>
        <w:t>-17</w:t>
      </w:r>
      <w:r>
        <w:rPr>
          <w:rFonts w:hint="default" w:ascii="Times New Roman" w:hAnsi="Times New Roman" w:eastAsia="宋体" w:cs="Times New Roman"/>
          <w:b/>
          <w:bCs/>
          <w:color w:val="auto"/>
          <w:kern w:val="2"/>
          <w:sz w:val="21"/>
          <w:szCs w:val="21"/>
          <w:lang w:val="zh-CN" w:eastAsia="zh-CN" w:bidi="ar-SA"/>
        </w:rPr>
        <w:t xml:space="preserve"> 拟建项目评价等级划分一览表</w:t>
      </w:r>
    </w:p>
    <w:tbl>
      <w:tblPr>
        <w:tblStyle w:val="24"/>
        <w:tblW w:w="928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2320"/>
        <w:gridCol w:w="2322"/>
        <w:gridCol w:w="232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22" w:type="dxa"/>
            <w:tcBorders>
              <w:top w:val="single" w:color="auto" w:sz="12" w:space="0"/>
              <w:left w:val="single" w:color="auto" w:sz="12"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敏感程度</w:t>
            </w:r>
          </w:p>
        </w:tc>
        <w:tc>
          <w:tcPr>
            <w:tcW w:w="2320" w:type="dxa"/>
            <w:tcBorders>
              <w:top w:val="single" w:color="auto" w:sz="12"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Ⅰ类项目</w:t>
            </w:r>
          </w:p>
        </w:tc>
        <w:tc>
          <w:tcPr>
            <w:tcW w:w="2322" w:type="dxa"/>
            <w:tcBorders>
              <w:top w:val="single" w:color="auto" w:sz="12"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Ⅱ类项目</w:t>
            </w:r>
          </w:p>
        </w:tc>
        <w:tc>
          <w:tcPr>
            <w:tcW w:w="2323" w:type="dxa"/>
            <w:tcBorders>
              <w:top w:val="single" w:color="auto" w:sz="12" w:space="0"/>
              <w:right w:val="single" w:color="auto" w:sz="12"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Ⅲ类项目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22" w:type="dxa"/>
            <w:tcBorders>
              <w:left w:val="single" w:color="auto" w:sz="12"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敏感</w:t>
            </w:r>
          </w:p>
        </w:tc>
        <w:tc>
          <w:tcPr>
            <w:tcW w:w="232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w:t>
            </w:r>
          </w:p>
        </w:tc>
        <w:tc>
          <w:tcPr>
            <w:tcW w:w="232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w:t>
            </w:r>
          </w:p>
        </w:tc>
        <w:tc>
          <w:tcPr>
            <w:tcW w:w="2323" w:type="dxa"/>
            <w:tcBorders>
              <w:right w:val="single" w:color="auto" w:sz="12"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22" w:type="dxa"/>
            <w:tcBorders>
              <w:left w:val="single" w:color="auto" w:sz="12"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较敏感</w:t>
            </w:r>
          </w:p>
        </w:tc>
        <w:tc>
          <w:tcPr>
            <w:tcW w:w="2320" w:type="dxa"/>
            <w:tcBorders>
              <w:bottom w:val="single" w:color="auto"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w:t>
            </w:r>
          </w:p>
        </w:tc>
        <w:tc>
          <w:tcPr>
            <w:tcW w:w="232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w:t>
            </w:r>
          </w:p>
        </w:tc>
        <w:tc>
          <w:tcPr>
            <w:tcW w:w="2323" w:type="dxa"/>
            <w:tcBorders>
              <w:bottom w:val="single" w:color="auto" w:sz="4" w:space="0"/>
              <w:right w:val="single" w:color="auto" w:sz="12"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22" w:type="dxa"/>
            <w:tcBorders>
              <w:left w:val="single" w:color="auto" w:sz="12" w:space="0"/>
              <w:bottom w:val="single" w:color="auto" w:sz="12"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不敏感</w:t>
            </w:r>
          </w:p>
        </w:tc>
        <w:tc>
          <w:tcPr>
            <w:tcW w:w="2320" w:type="dxa"/>
            <w:tcBorders>
              <w:bottom w:val="single" w:color="auto" w:sz="12"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w:t>
            </w:r>
          </w:p>
        </w:tc>
        <w:tc>
          <w:tcPr>
            <w:tcW w:w="2322" w:type="dxa"/>
            <w:tcBorders>
              <w:bottom w:val="single" w:color="auto" w:sz="12"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w:t>
            </w:r>
          </w:p>
        </w:tc>
        <w:tc>
          <w:tcPr>
            <w:tcW w:w="2323" w:type="dxa"/>
            <w:tcBorders>
              <w:bottom w:val="single" w:color="auto" w:sz="12" w:space="0"/>
              <w:right w:val="single" w:color="auto" w:sz="12"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w:t>
            </w:r>
          </w:p>
        </w:tc>
      </w:tr>
    </w:tbl>
    <w:p>
      <w:pPr>
        <w:pStyle w:val="39"/>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color w:val="auto"/>
        </w:rPr>
      </w:pPr>
    </w:p>
    <w:p>
      <w:pPr>
        <w:pStyle w:val="39"/>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color w:val="auto"/>
        </w:rPr>
      </w:pPr>
      <w:r>
        <w:rPr>
          <w:rFonts w:hint="default" w:ascii="Times New Roman" w:hAnsi="Times New Roman" w:cs="Times New Roman"/>
          <w:color w:val="auto"/>
        </w:rPr>
        <w:t>本项目位于湖南岳阳绿色化工产业园</w:t>
      </w:r>
      <w:r>
        <w:rPr>
          <w:rFonts w:hint="default" w:ascii="Times New Roman" w:hAnsi="Times New Roman" w:cs="Times New Roman"/>
          <w:color w:val="auto"/>
          <w:lang w:val="en-US" w:eastAsia="zh-CN"/>
        </w:rPr>
        <w:t>巴陵石化厂区</w:t>
      </w:r>
      <w:r>
        <w:rPr>
          <w:rFonts w:hint="default" w:ascii="Times New Roman" w:hAnsi="Times New Roman" w:cs="Times New Roman"/>
          <w:color w:val="auto"/>
        </w:rPr>
        <w:t>内，本项目生产、生活用水来源为园区给水管网，不涉及集中式饮用水水源地准保护区以及集中式饮用水水源地准保护区以外的补给径流区、除集中式饮用水水源地以外的国家或地方政府设定的与地下水环境相关的其它保护区、特殊地下水资源保护区以外的分布区以及分散式居民饮用水水源等地下水环境敏感区。本项目地下水敏感程度为不敏感。</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wave"/>
        </w:rPr>
      </w:pPr>
      <w:r>
        <w:rPr>
          <w:rFonts w:hint="default" w:ascii="Times New Roman" w:hAnsi="Times New Roman" w:cs="Times New Roman"/>
          <w:color w:val="auto"/>
          <w:u w:val="wave"/>
        </w:rPr>
        <w:t>根据上表可知，本项目地下水环境影响评价工作等级为二级。</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wave"/>
        </w:rPr>
      </w:pPr>
      <w:r>
        <w:rPr>
          <w:rFonts w:hint="default" w:ascii="Times New Roman" w:hAnsi="Times New Roman" w:cs="Times New Roman"/>
          <w:color w:val="auto"/>
          <w:u w:val="wave"/>
        </w:rPr>
        <w:t>地下水环境评价范围：本项目所在地及周边6</w:t>
      </w:r>
      <w:r>
        <w:rPr>
          <w:rFonts w:hint="default" w:ascii="Times New Roman" w:hAnsi="Times New Roman" w:cs="Times New Roman"/>
          <w:color w:val="auto"/>
          <w:u w:val="wave"/>
          <w:lang w:val="en-US" w:eastAsia="zh-CN"/>
        </w:rPr>
        <w:t>~20</w:t>
      </w:r>
      <w:r>
        <w:rPr>
          <w:rFonts w:hint="default" w:ascii="Times New Roman" w:hAnsi="Times New Roman" w:cs="Times New Roman"/>
          <w:color w:val="auto"/>
          <w:u w:val="wave"/>
        </w:rPr>
        <w:t>km</w:t>
      </w:r>
      <w:r>
        <w:rPr>
          <w:rFonts w:hint="default" w:ascii="Times New Roman" w:hAnsi="Times New Roman" w:cs="Times New Roman"/>
          <w:color w:val="auto"/>
          <w:u w:val="wave"/>
          <w:vertAlign w:val="superscript"/>
        </w:rPr>
        <w:t>2</w:t>
      </w:r>
      <w:r>
        <w:rPr>
          <w:rFonts w:hint="default" w:ascii="Times New Roman" w:hAnsi="Times New Roman" w:cs="Times New Roman"/>
          <w:color w:val="auto"/>
          <w:u w:val="wave"/>
        </w:rPr>
        <w:t>范围内。</w:t>
      </w:r>
    </w:p>
    <w:p>
      <w:pPr>
        <w:pStyle w:val="7"/>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rPr>
      </w:pPr>
      <w:r>
        <w:rPr>
          <w:rFonts w:hint="default" w:ascii="Times New Roman" w:hAnsi="Times New Roman" w:cs="Times New Roman"/>
          <w:color w:val="auto"/>
        </w:rPr>
        <w:t>土壤环境评价等级</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 xml:space="preserve">（1）评价工作等级 </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 xml:space="preserve">①对照《环境影响评价技术导则 土壤环境（试行）》（HJ964-2018）中附录A土壤环境影响评价项目类别，本项目属于污染影响型中的制造业，化学原料和化学制品制造业类，属于制造业中化工行业的Ⅰ类项目类别。 </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②根据《环境影响评价技术导则 土壤环境（试行）》（HJ964-2018）和项目实际建设内容，本项目属于污染影响型建设项目。根据项目占地规模（主要为永久占地）分为大型（≧50hm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）、中型（5~50hm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）、小型（≦5hm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），项目在现有厂区内建设，不新增占地，占地面积不足 3 hm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，小于5 hm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 xml:space="preserve">，占地规模属于小型。 </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③</w:t>
      </w:r>
      <w:r>
        <w:rPr>
          <w:rFonts w:hint="default" w:ascii="Times New Roman" w:hAnsi="Times New Roman" w:cs="Times New Roman"/>
          <w:color w:val="auto"/>
        </w:rPr>
        <w:t>建设项目所在地土壤环境敏感程度分为敏感、较敏感、不敏感。</w:t>
      </w:r>
      <w:r>
        <w:rPr>
          <w:rFonts w:hint="default" w:ascii="Times New Roman" w:hAnsi="Times New Roman" w:cs="Times New Roman"/>
          <w:color w:val="auto"/>
          <w:lang w:eastAsia="zh-CN"/>
        </w:rPr>
        <w:t>判别依据见表</w:t>
      </w:r>
      <w:r>
        <w:rPr>
          <w:rFonts w:hint="default" w:ascii="Times New Roman" w:hAnsi="Times New Roman" w:cs="Times New Roman"/>
          <w:color w:val="auto"/>
          <w:lang w:val="en-US" w:eastAsia="zh-CN"/>
        </w:rPr>
        <w:t>2-18。</w:t>
      </w:r>
    </w:p>
    <w:p>
      <w:pPr>
        <w:pStyle w:val="3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表2-18 污染影响型敏感程度分级表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3"/>
        <w:gridCol w:w="7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exact"/>
        </w:trPr>
        <w:tc>
          <w:tcPr>
            <w:tcW w:w="1643" w:type="dxa"/>
            <w:vAlign w:val="center"/>
          </w:tcPr>
          <w:p>
            <w:pPr>
              <w:pStyle w:val="39"/>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敏感程度</w:t>
            </w:r>
          </w:p>
        </w:tc>
        <w:tc>
          <w:tcPr>
            <w:tcW w:w="7644" w:type="dxa"/>
            <w:vAlign w:val="center"/>
          </w:tcPr>
          <w:p>
            <w:pPr>
              <w:pStyle w:val="39"/>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trPr>
        <w:tc>
          <w:tcPr>
            <w:tcW w:w="1643" w:type="dxa"/>
            <w:vAlign w:val="center"/>
          </w:tcPr>
          <w:p>
            <w:pPr>
              <w:pStyle w:val="39"/>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敏感</w:t>
            </w:r>
          </w:p>
        </w:tc>
        <w:tc>
          <w:tcPr>
            <w:tcW w:w="7644" w:type="dxa"/>
            <w:vAlign w:val="center"/>
          </w:tcPr>
          <w:p>
            <w:pPr>
              <w:pStyle w:val="39"/>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建设项目周边存在耕地、园地、牧草地、饮用水水源或居民区、学校、医院、疗养院、养老院等土壤环境敏感目标的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exact"/>
        </w:trPr>
        <w:tc>
          <w:tcPr>
            <w:tcW w:w="1643" w:type="dxa"/>
            <w:vAlign w:val="center"/>
          </w:tcPr>
          <w:p>
            <w:pPr>
              <w:pStyle w:val="39"/>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较敏感</w:t>
            </w:r>
          </w:p>
        </w:tc>
        <w:tc>
          <w:tcPr>
            <w:tcW w:w="7644" w:type="dxa"/>
            <w:vAlign w:val="center"/>
          </w:tcPr>
          <w:p>
            <w:pPr>
              <w:pStyle w:val="39"/>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trPr>
        <w:tc>
          <w:tcPr>
            <w:tcW w:w="1643" w:type="dxa"/>
            <w:vAlign w:val="center"/>
          </w:tcPr>
          <w:p>
            <w:pPr>
              <w:pStyle w:val="39"/>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不敏感</w:t>
            </w:r>
          </w:p>
        </w:tc>
        <w:tc>
          <w:tcPr>
            <w:tcW w:w="7644" w:type="dxa"/>
            <w:vAlign w:val="center"/>
          </w:tcPr>
          <w:p>
            <w:pPr>
              <w:pStyle w:val="39"/>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其他情况</w:t>
            </w:r>
          </w:p>
        </w:tc>
      </w:tr>
    </w:tbl>
    <w:p>
      <w:pPr>
        <w:pStyle w:val="39"/>
        <w:bidi w:val="0"/>
        <w:rPr>
          <w:rFonts w:hint="default" w:ascii="Times New Roman" w:hAnsi="Times New Roman" w:cs="Times New Roman"/>
          <w:color w:val="auto"/>
        </w:rPr>
      </w:pPr>
    </w:p>
    <w:p>
      <w:pPr>
        <w:pStyle w:val="39"/>
        <w:bidi w:val="0"/>
        <w:rPr>
          <w:rFonts w:hint="default" w:ascii="Times New Roman" w:hAnsi="Times New Roman" w:cs="Times New Roman"/>
          <w:color w:val="auto"/>
          <w:lang w:eastAsia="zh-CN"/>
        </w:rPr>
      </w:pPr>
      <w:r>
        <w:rPr>
          <w:rFonts w:hint="default" w:ascii="Times New Roman" w:hAnsi="Times New Roman" w:cs="Times New Roman"/>
          <w:color w:val="auto"/>
        </w:rPr>
        <w:t>通过现场调查，项目所在地</w:t>
      </w:r>
      <w:r>
        <w:rPr>
          <w:rFonts w:hint="default" w:ascii="Times New Roman" w:hAnsi="Times New Roman" w:cs="Times New Roman"/>
          <w:color w:val="auto"/>
          <w:lang w:eastAsia="zh-CN"/>
        </w:rPr>
        <w:t>为岳阳市岳化工矿区，现在</w:t>
      </w:r>
      <w:r>
        <w:rPr>
          <w:rFonts w:hint="default" w:ascii="Times New Roman" w:hAnsi="Times New Roman" w:cs="Times New Roman"/>
          <w:color w:val="auto"/>
        </w:rPr>
        <w:t>属于湖南绿色化工产业园云溪片区，为工业企业园区，大部分属于化工企业</w:t>
      </w:r>
      <w:r>
        <w:rPr>
          <w:rFonts w:hint="default" w:ascii="Times New Roman" w:hAnsi="Times New Roman" w:cs="Times New Roman"/>
          <w:color w:val="auto"/>
          <w:lang w:eastAsia="zh-CN"/>
        </w:rPr>
        <w:t>。</w:t>
      </w:r>
      <w:r>
        <w:rPr>
          <w:rFonts w:hint="default" w:ascii="Times New Roman" w:hAnsi="Times New Roman" w:cs="Times New Roman"/>
          <w:color w:val="auto"/>
        </w:rPr>
        <w:t>根据项目</w:t>
      </w:r>
      <w:r>
        <w:rPr>
          <w:rFonts w:hint="default" w:ascii="Times New Roman" w:hAnsi="Times New Roman" w:cs="Times New Roman"/>
          <w:color w:val="auto"/>
          <w:lang w:eastAsia="zh-CN"/>
        </w:rPr>
        <w:t>现场踏勘</w:t>
      </w:r>
      <w:r>
        <w:rPr>
          <w:rFonts w:hint="default" w:ascii="Times New Roman" w:hAnsi="Times New Roman" w:cs="Times New Roman"/>
          <w:color w:val="auto"/>
        </w:rPr>
        <w:t>情况，</w:t>
      </w:r>
      <w:r>
        <w:rPr>
          <w:rFonts w:hint="default" w:ascii="Times New Roman" w:hAnsi="Times New Roman" w:cs="Times New Roman"/>
          <w:color w:val="auto"/>
          <w:lang w:eastAsia="zh-CN"/>
        </w:rPr>
        <w:t>岳阳鑫达实业有限公司</w:t>
      </w:r>
      <w:r>
        <w:rPr>
          <w:rFonts w:hint="default" w:ascii="Times New Roman" w:hAnsi="Times New Roman" w:cs="Times New Roman"/>
          <w:color w:val="auto"/>
          <w:lang w:val="en-US" w:eastAsia="zh-CN"/>
        </w:rPr>
        <w:t>500吨/年加氢催化剂生产项目周边不存在耕地、园地、牧草地、饮用水水源或居民区、学校、医院、疗养院、养老院等土壤环境敏感目标和其他土壤环境敏感目标，</w:t>
      </w:r>
      <w:r>
        <w:rPr>
          <w:rFonts w:hint="default" w:ascii="Times New Roman" w:hAnsi="Times New Roman" w:cs="Times New Roman"/>
          <w:color w:val="auto"/>
          <w:lang w:eastAsia="zh-CN"/>
        </w:rPr>
        <w:t>属于</w:t>
      </w:r>
      <w:r>
        <w:rPr>
          <w:rFonts w:hint="default" w:ascii="Times New Roman" w:hAnsi="Times New Roman" w:cs="Times New Roman"/>
          <w:color w:val="auto"/>
          <w:lang w:val="en-US" w:eastAsia="zh-CN"/>
        </w:rPr>
        <w:t>其他情况，</w:t>
      </w:r>
      <w:r>
        <w:rPr>
          <w:rFonts w:hint="default" w:ascii="Times New Roman" w:hAnsi="Times New Roman" w:cs="Times New Roman"/>
          <w:color w:val="auto"/>
          <w:lang w:eastAsia="zh-CN"/>
        </w:rPr>
        <w:t>土壤污染影响型敏感程度属于不敏感。</w:t>
      </w:r>
    </w:p>
    <w:p>
      <w:pPr>
        <w:pStyle w:val="39"/>
        <w:bidi w:val="0"/>
        <w:rPr>
          <w:rFonts w:hint="default" w:ascii="Times New Roman" w:hAnsi="Times New Roman" w:eastAsia="宋体" w:cs="Times New Roman"/>
          <w:color w:val="auto"/>
          <w:lang w:eastAsia="zh-CN"/>
        </w:rPr>
      </w:pPr>
      <w:r>
        <w:rPr>
          <w:rFonts w:hint="default" w:ascii="Times New Roman" w:hAnsi="Times New Roman" w:cs="Times New Roman"/>
          <w:color w:val="auto"/>
        </w:rPr>
        <w:t>依据《环境影响评价技术导则 土壤环境（试行）》（HJ964-2018）中污染影响型评价工作分级表见表</w:t>
      </w:r>
      <w:r>
        <w:rPr>
          <w:rFonts w:hint="default" w:ascii="Times New Roman" w:hAnsi="Times New Roman" w:cs="Times New Roman"/>
          <w:color w:val="auto"/>
          <w:lang w:val="en-US" w:eastAsia="zh-CN"/>
        </w:rPr>
        <w:t>2-19。</w:t>
      </w:r>
    </w:p>
    <w:p>
      <w:pPr>
        <w:pStyle w:val="39"/>
        <w:keepNext w:val="0"/>
        <w:keepLines w:val="0"/>
        <w:pageBreakBefore w:val="0"/>
        <w:widowControl w:val="0"/>
        <w:kinsoku/>
        <w:wordWrap/>
        <w:overflowPunct/>
        <w:topLinePunct w:val="0"/>
        <w:autoSpaceDE/>
        <w:autoSpaceDN/>
        <w:bidi w:val="0"/>
        <w:adjustRightInd/>
        <w:snapToGrid/>
        <w:spacing w:line="240" w:lineRule="auto"/>
        <w:ind w:firstLine="1897" w:firstLineChars="900"/>
        <w:jc w:val="both"/>
        <w:textAlignment w:val="auto"/>
        <w:outlineLvl w:val="9"/>
        <w:rPr>
          <w:rFonts w:hint="default" w:ascii="Times New Roman" w:hAnsi="Times New Roman" w:eastAsia="宋体" w:cs="Times New Roman"/>
          <w:b/>
          <w:bCs/>
          <w:color w:val="auto"/>
          <w:kern w:val="2"/>
          <w:sz w:val="21"/>
          <w:szCs w:val="21"/>
          <w:lang w:val="zh-CN" w:eastAsia="zh-CN" w:bidi="ar-SA"/>
        </w:rPr>
      </w:pPr>
      <w:r>
        <w:rPr>
          <w:rFonts w:hint="default" w:ascii="Times New Roman" w:hAnsi="Times New Roman" w:eastAsia="宋体" w:cs="Times New Roman"/>
          <w:b/>
          <w:bCs/>
          <w:color w:val="auto"/>
          <w:kern w:val="2"/>
          <w:sz w:val="21"/>
          <w:szCs w:val="21"/>
          <w:lang w:val="zh-CN" w:eastAsia="zh-CN" w:bidi="ar-SA"/>
        </w:rPr>
        <w:t xml:space="preserve">表 </w:t>
      </w:r>
      <w:r>
        <w:rPr>
          <w:rFonts w:hint="default" w:ascii="Times New Roman" w:hAnsi="Times New Roman" w:eastAsia="宋体" w:cs="Times New Roman"/>
          <w:b/>
          <w:bCs/>
          <w:color w:val="auto"/>
          <w:kern w:val="2"/>
          <w:sz w:val="21"/>
          <w:szCs w:val="21"/>
          <w:lang w:val="en-US" w:eastAsia="zh-CN" w:bidi="ar-SA"/>
        </w:rPr>
        <w:t>2</w:t>
      </w:r>
      <w:r>
        <w:rPr>
          <w:rFonts w:hint="default" w:ascii="Times New Roman" w:hAnsi="Times New Roman" w:cs="Times New Roman"/>
          <w:b/>
          <w:bCs/>
          <w:color w:val="auto"/>
          <w:kern w:val="2"/>
          <w:sz w:val="21"/>
          <w:szCs w:val="21"/>
          <w:lang w:val="en-US" w:eastAsia="zh-CN" w:bidi="ar-SA"/>
        </w:rPr>
        <w:t>-19</w:t>
      </w:r>
      <w:r>
        <w:rPr>
          <w:rFonts w:hint="default" w:ascii="Times New Roman" w:hAnsi="Times New Roman" w:eastAsia="宋体" w:cs="Times New Roman"/>
          <w:b/>
          <w:bCs/>
          <w:color w:val="auto"/>
          <w:kern w:val="2"/>
          <w:sz w:val="21"/>
          <w:szCs w:val="21"/>
          <w:lang w:val="en-US" w:eastAsia="zh-CN" w:bidi="ar-SA"/>
        </w:rPr>
        <w:t xml:space="preserve">   </w:t>
      </w:r>
      <w:r>
        <w:rPr>
          <w:rFonts w:hint="default" w:ascii="Times New Roman" w:hAnsi="Times New Roman" w:eastAsia="宋体" w:cs="Times New Roman"/>
          <w:b/>
          <w:bCs/>
          <w:color w:val="auto"/>
          <w:kern w:val="2"/>
          <w:sz w:val="21"/>
          <w:szCs w:val="21"/>
          <w:lang w:val="zh-CN" w:eastAsia="zh-CN" w:bidi="ar-SA"/>
        </w:rPr>
        <w:t>污染影响型土壤环境评价工作等级划分表</w:t>
      </w:r>
    </w:p>
    <w:tbl>
      <w:tblPr>
        <w:tblStyle w:val="24"/>
        <w:tblW w:w="9081" w:type="dxa"/>
        <w:jc w:val="center"/>
        <w:tblLayout w:type="fixed"/>
        <w:tblCellMar>
          <w:top w:w="0" w:type="dxa"/>
          <w:left w:w="0" w:type="dxa"/>
          <w:bottom w:w="0" w:type="dxa"/>
          <w:right w:w="0" w:type="dxa"/>
        </w:tblCellMar>
      </w:tblPr>
      <w:tblGrid>
        <w:gridCol w:w="1626"/>
        <w:gridCol w:w="829"/>
        <w:gridCol w:w="828"/>
        <w:gridCol w:w="829"/>
        <w:gridCol w:w="829"/>
        <w:gridCol w:w="829"/>
        <w:gridCol w:w="828"/>
        <w:gridCol w:w="825"/>
        <w:gridCol w:w="829"/>
        <w:gridCol w:w="829"/>
      </w:tblGrid>
      <w:tr>
        <w:tblPrEx>
          <w:tblCellMar>
            <w:top w:w="0" w:type="dxa"/>
            <w:left w:w="0" w:type="dxa"/>
            <w:bottom w:w="0" w:type="dxa"/>
            <w:right w:w="0" w:type="dxa"/>
          </w:tblCellMar>
        </w:tblPrEx>
        <w:trPr>
          <w:trHeight w:val="454" w:hRule="atLeast"/>
          <w:jc w:val="center"/>
        </w:trPr>
        <w:tc>
          <w:tcPr>
            <w:tcW w:w="1626" w:type="dxa"/>
            <w:vMerge w:val="restart"/>
            <w:tcBorders>
              <w:top w:val="single" w:color="000000" w:sz="4" w:space="0"/>
              <w:left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类别、占地 </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评价等级</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敏感程度</w:t>
            </w:r>
          </w:p>
        </w:tc>
        <w:tc>
          <w:tcPr>
            <w:tcW w:w="2486" w:type="dxa"/>
            <w:gridSpan w:val="3"/>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Ⅰ类</w:t>
            </w:r>
          </w:p>
        </w:tc>
        <w:tc>
          <w:tcPr>
            <w:tcW w:w="2486" w:type="dxa"/>
            <w:gridSpan w:val="3"/>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Ⅱ类</w:t>
            </w:r>
          </w:p>
        </w:tc>
        <w:tc>
          <w:tcPr>
            <w:tcW w:w="2483" w:type="dxa"/>
            <w:gridSpan w:val="3"/>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Ⅲ类</w:t>
            </w:r>
          </w:p>
        </w:tc>
      </w:tr>
      <w:tr>
        <w:tblPrEx>
          <w:tblCellMar>
            <w:top w:w="0" w:type="dxa"/>
            <w:left w:w="0" w:type="dxa"/>
            <w:bottom w:w="0" w:type="dxa"/>
            <w:right w:w="0" w:type="dxa"/>
          </w:tblCellMar>
        </w:tblPrEx>
        <w:trPr>
          <w:trHeight w:val="454" w:hRule="atLeast"/>
          <w:jc w:val="center"/>
        </w:trPr>
        <w:tc>
          <w:tcPr>
            <w:tcW w:w="1626" w:type="dxa"/>
            <w:vMerge w:val="continue"/>
            <w:tcBorders>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w:t>
            </w:r>
          </w:p>
        </w:tc>
        <w:tc>
          <w:tcPr>
            <w:tcW w:w="828"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w:t>
            </w: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小</w:t>
            </w: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w:t>
            </w: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w:t>
            </w:r>
          </w:p>
        </w:tc>
        <w:tc>
          <w:tcPr>
            <w:tcW w:w="828"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小</w:t>
            </w:r>
          </w:p>
        </w:tc>
        <w:tc>
          <w:tcPr>
            <w:tcW w:w="825"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w:t>
            </w: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w:t>
            </w: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小</w:t>
            </w:r>
          </w:p>
        </w:tc>
      </w:tr>
      <w:tr>
        <w:tblPrEx>
          <w:tblCellMar>
            <w:top w:w="0" w:type="dxa"/>
            <w:left w:w="0" w:type="dxa"/>
            <w:bottom w:w="0" w:type="dxa"/>
            <w:right w:w="0" w:type="dxa"/>
          </w:tblCellMar>
        </w:tblPrEx>
        <w:trPr>
          <w:trHeight w:val="454" w:hRule="atLeast"/>
          <w:jc w:val="center"/>
        </w:trPr>
        <w:tc>
          <w:tcPr>
            <w:tcW w:w="1626"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敏感</w:t>
            </w: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一级</w:t>
            </w:r>
          </w:p>
        </w:tc>
        <w:tc>
          <w:tcPr>
            <w:tcW w:w="828"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一级</w:t>
            </w: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一级</w:t>
            </w: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828"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825"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三级</w:t>
            </w: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三级</w:t>
            </w: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三级</w:t>
            </w:r>
          </w:p>
        </w:tc>
      </w:tr>
      <w:tr>
        <w:tblPrEx>
          <w:tblCellMar>
            <w:top w:w="0" w:type="dxa"/>
            <w:left w:w="0" w:type="dxa"/>
            <w:bottom w:w="0" w:type="dxa"/>
            <w:right w:w="0" w:type="dxa"/>
          </w:tblCellMar>
        </w:tblPrEx>
        <w:trPr>
          <w:trHeight w:val="454" w:hRule="atLeast"/>
          <w:jc w:val="center"/>
        </w:trPr>
        <w:tc>
          <w:tcPr>
            <w:tcW w:w="1626"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较敏感</w:t>
            </w: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一级</w:t>
            </w:r>
          </w:p>
        </w:tc>
        <w:tc>
          <w:tcPr>
            <w:tcW w:w="828"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一级</w:t>
            </w: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828"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三级</w:t>
            </w:r>
          </w:p>
        </w:tc>
        <w:tc>
          <w:tcPr>
            <w:tcW w:w="825"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三级</w:t>
            </w: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三级</w:t>
            </w: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CellMar>
            <w:top w:w="0" w:type="dxa"/>
            <w:left w:w="0" w:type="dxa"/>
            <w:bottom w:w="0" w:type="dxa"/>
            <w:right w:w="0" w:type="dxa"/>
          </w:tblCellMar>
        </w:tblPrEx>
        <w:trPr>
          <w:trHeight w:val="454" w:hRule="atLeast"/>
          <w:jc w:val="center"/>
        </w:trPr>
        <w:tc>
          <w:tcPr>
            <w:tcW w:w="1626"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不敏感</w:t>
            </w: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一级</w:t>
            </w:r>
          </w:p>
        </w:tc>
        <w:tc>
          <w:tcPr>
            <w:tcW w:w="828"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三级</w:t>
            </w:r>
          </w:p>
        </w:tc>
        <w:tc>
          <w:tcPr>
            <w:tcW w:w="828"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三级</w:t>
            </w:r>
          </w:p>
        </w:tc>
        <w:tc>
          <w:tcPr>
            <w:tcW w:w="825"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三级</w:t>
            </w: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29"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CellMar>
            <w:top w:w="0" w:type="dxa"/>
            <w:left w:w="0" w:type="dxa"/>
            <w:bottom w:w="0" w:type="dxa"/>
            <w:right w:w="0" w:type="dxa"/>
          </w:tblCellMar>
        </w:tblPrEx>
        <w:trPr>
          <w:trHeight w:val="454" w:hRule="atLeast"/>
          <w:jc w:val="center"/>
        </w:trPr>
        <w:tc>
          <w:tcPr>
            <w:tcW w:w="9081" w:type="dxa"/>
            <w:gridSpan w:val="10"/>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注：</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表示可不开展土壤环境影响评价工作</w:t>
            </w:r>
          </w:p>
        </w:tc>
      </w:tr>
    </w:tbl>
    <w:p>
      <w:pPr>
        <w:pStyle w:val="39"/>
        <w:keepNext w:val="0"/>
        <w:keepLines w:val="0"/>
        <w:pageBreakBefore w:val="0"/>
        <w:widowControl w:val="0"/>
        <w:kinsoku/>
        <w:wordWrap/>
        <w:overflowPunct/>
        <w:topLinePunct w:val="0"/>
        <w:autoSpaceDE/>
        <w:autoSpaceDN/>
        <w:bidi w:val="0"/>
        <w:adjustRightInd/>
        <w:snapToGrid/>
        <w:spacing w:before="157" w:beforeLines="50"/>
        <w:textAlignment w:val="auto"/>
        <w:outlineLvl w:val="9"/>
        <w:rPr>
          <w:rFonts w:hint="default" w:ascii="Times New Roman" w:hAnsi="Times New Roman" w:cs="Times New Roman"/>
          <w:color w:val="auto"/>
          <w:lang w:eastAsia="zh-CN"/>
        </w:rPr>
      </w:pPr>
      <w:r>
        <w:rPr>
          <w:rFonts w:hint="default" w:ascii="Times New Roman" w:hAnsi="Times New Roman" w:cs="Times New Roman"/>
          <w:color w:val="auto"/>
        </w:rPr>
        <w:t>根据项目实际情况和导则要求，本次评价土壤环境影响评价工作等级划定见表</w:t>
      </w:r>
      <w:r>
        <w:rPr>
          <w:rFonts w:hint="default" w:ascii="Times New Roman" w:hAnsi="Times New Roman" w:cs="Times New Roman"/>
          <w:color w:val="auto"/>
          <w:lang w:val="en-US" w:eastAsia="zh-CN"/>
        </w:rPr>
        <w:t>2-20</w:t>
      </w:r>
      <w:r>
        <w:rPr>
          <w:rFonts w:hint="default" w:ascii="Times New Roman" w:hAnsi="Times New Roman" w:cs="Times New Roman"/>
          <w:color w:val="auto"/>
          <w:lang w:eastAsia="zh-CN"/>
        </w:rPr>
        <w:t>。</w:t>
      </w:r>
    </w:p>
    <w:p>
      <w:pPr>
        <w:pStyle w:val="39"/>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kern w:val="2"/>
          <w:sz w:val="21"/>
          <w:szCs w:val="21"/>
          <w:lang w:val="zh-CN" w:eastAsia="zh-CN" w:bidi="ar-SA"/>
        </w:rPr>
      </w:pPr>
    </w:p>
    <w:p>
      <w:pPr>
        <w:pStyle w:val="39"/>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kern w:val="2"/>
          <w:sz w:val="21"/>
          <w:szCs w:val="21"/>
          <w:lang w:val="zh-CN" w:eastAsia="zh-CN" w:bidi="ar-SA"/>
        </w:rPr>
      </w:pPr>
    </w:p>
    <w:p>
      <w:pPr>
        <w:pStyle w:val="39"/>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kern w:val="2"/>
          <w:sz w:val="21"/>
          <w:szCs w:val="21"/>
          <w:lang w:val="zh-CN" w:eastAsia="zh-CN" w:bidi="ar-SA"/>
        </w:rPr>
      </w:pPr>
    </w:p>
    <w:p>
      <w:pPr>
        <w:pStyle w:val="39"/>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kern w:val="2"/>
          <w:sz w:val="21"/>
          <w:szCs w:val="21"/>
          <w:lang w:val="zh-CN" w:eastAsia="zh-CN" w:bidi="ar-SA"/>
        </w:rPr>
      </w:pPr>
    </w:p>
    <w:p>
      <w:pPr>
        <w:pStyle w:val="39"/>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kern w:val="2"/>
          <w:sz w:val="21"/>
          <w:szCs w:val="21"/>
          <w:lang w:val="zh-CN" w:eastAsia="zh-CN" w:bidi="ar-SA"/>
        </w:rPr>
      </w:pPr>
    </w:p>
    <w:p>
      <w:pPr>
        <w:pStyle w:val="39"/>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kern w:val="2"/>
          <w:sz w:val="21"/>
          <w:szCs w:val="21"/>
          <w:lang w:val="zh-CN" w:eastAsia="zh-CN" w:bidi="ar-SA"/>
        </w:rPr>
      </w:pPr>
    </w:p>
    <w:p>
      <w:pPr>
        <w:pStyle w:val="39"/>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kern w:val="2"/>
          <w:sz w:val="21"/>
          <w:szCs w:val="21"/>
          <w:lang w:val="zh-CN" w:eastAsia="zh-CN" w:bidi="ar-SA"/>
        </w:rPr>
      </w:pPr>
      <w:r>
        <w:rPr>
          <w:rFonts w:hint="default" w:ascii="Times New Roman" w:hAnsi="Times New Roman" w:eastAsia="宋体" w:cs="Times New Roman"/>
          <w:b/>
          <w:bCs/>
          <w:color w:val="auto"/>
          <w:kern w:val="2"/>
          <w:sz w:val="21"/>
          <w:szCs w:val="21"/>
          <w:lang w:val="zh-CN" w:eastAsia="zh-CN" w:bidi="ar-SA"/>
        </w:rPr>
        <w:t xml:space="preserve">表 </w:t>
      </w:r>
      <w:r>
        <w:rPr>
          <w:rFonts w:hint="default" w:ascii="Times New Roman" w:hAnsi="Times New Roman" w:eastAsia="宋体" w:cs="Times New Roman"/>
          <w:b/>
          <w:bCs/>
          <w:color w:val="auto"/>
          <w:kern w:val="2"/>
          <w:sz w:val="21"/>
          <w:szCs w:val="21"/>
          <w:lang w:val="en-US" w:eastAsia="zh-CN" w:bidi="ar-SA"/>
        </w:rPr>
        <w:t>2</w:t>
      </w:r>
      <w:r>
        <w:rPr>
          <w:rFonts w:hint="default" w:ascii="Times New Roman" w:hAnsi="Times New Roman" w:cs="Times New Roman"/>
          <w:b/>
          <w:bCs/>
          <w:color w:val="auto"/>
          <w:kern w:val="2"/>
          <w:sz w:val="21"/>
          <w:szCs w:val="21"/>
          <w:lang w:val="en-US" w:eastAsia="zh-CN" w:bidi="ar-SA"/>
        </w:rPr>
        <w:t>-20</w:t>
      </w:r>
      <w:r>
        <w:rPr>
          <w:rFonts w:hint="default" w:ascii="Times New Roman" w:hAnsi="Times New Roman" w:eastAsia="宋体" w:cs="Times New Roman"/>
          <w:b/>
          <w:bCs/>
          <w:color w:val="auto"/>
          <w:kern w:val="2"/>
          <w:sz w:val="21"/>
          <w:szCs w:val="21"/>
          <w:lang w:val="en-US" w:eastAsia="zh-CN" w:bidi="ar-SA"/>
        </w:rPr>
        <w:t xml:space="preserve">   </w:t>
      </w:r>
      <w:r>
        <w:rPr>
          <w:rFonts w:hint="default" w:ascii="Times New Roman" w:hAnsi="Times New Roman" w:eastAsia="宋体" w:cs="Times New Roman"/>
          <w:b/>
          <w:bCs/>
          <w:color w:val="auto"/>
          <w:kern w:val="2"/>
          <w:sz w:val="21"/>
          <w:szCs w:val="21"/>
          <w:lang w:val="zh-CN" w:eastAsia="zh-CN" w:bidi="ar-SA"/>
        </w:rPr>
        <w:t>本环评土壤环境影响评价判定表</w:t>
      </w:r>
    </w:p>
    <w:tbl>
      <w:tblPr>
        <w:tblStyle w:val="24"/>
        <w:tblW w:w="9081" w:type="dxa"/>
        <w:jc w:val="center"/>
        <w:tblLayout w:type="fixed"/>
        <w:tblCellMar>
          <w:top w:w="0" w:type="dxa"/>
          <w:left w:w="0" w:type="dxa"/>
          <w:bottom w:w="0" w:type="dxa"/>
          <w:right w:w="0" w:type="dxa"/>
        </w:tblCellMar>
      </w:tblPr>
      <w:tblGrid>
        <w:gridCol w:w="1900"/>
        <w:gridCol w:w="1922"/>
        <w:gridCol w:w="3928"/>
        <w:gridCol w:w="1331"/>
      </w:tblGrid>
      <w:tr>
        <w:tblPrEx>
          <w:tblCellMar>
            <w:top w:w="0" w:type="dxa"/>
            <w:left w:w="0" w:type="dxa"/>
            <w:bottom w:w="0" w:type="dxa"/>
            <w:right w:w="0" w:type="dxa"/>
          </w:tblCellMar>
        </w:tblPrEx>
        <w:trPr>
          <w:trHeight w:val="489" w:hRule="atLeast"/>
          <w:jc w:val="center"/>
        </w:trPr>
        <w:tc>
          <w:tcPr>
            <w:tcW w:w="1900"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等级划分指标</w:t>
            </w:r>
          </w:p>
        </w:tc>
        <w:tc>
          <w:tcPr>
            <w:tcW w:w="1922" w:type="dxa"/>
            <w:tcBorders>
              <w:top w:val="single" w:color="000000" w:sz="4" w:space="0"/>
              <w:left w:val="single" w:color="000000" w:sz="4" w:space="0"/>
              <w:bottom w:val="single" w:color="000000" w:sz="4" w:space="0"/>
              <w:right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3928" w:type="dxa"/>
            <w:tcBorders>
              <w:top w:val="single" w:color="000000" w:sz="4" w:space="0"/>
              <w:left w:val="nil"/>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建设项目实际情况</w:t>
            </w:r>
          </w:p>
        </w:tc>
        <w:tc>
          <w:tcPr>
            <w:tcW w:w="1331"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分级情况</w:t>
            </w:r>
          </w:p>
        </w:tc>
      </w:tr>
      <w:tr>
        <w:tblPrEx>
          <w:tblCellMar>
            <w:top w:w="0" w:type="dxa"/>
            <w:left w:w="0" w:type="dxa"/>
            <w:bottom w:w="0" w:type="dxa"/>
            <w:right w:w="0" w:type="dxa"/>
          </w:tblCellMar>
        </w:tblPrEx>
        <w:trPr>
          <w:trHeight w:val="669" w:hRule="atLeast"/>
          <w:jc w:val="center"/>
        </w:trPr>
        <w:tc>
          <w:tcPr>
            <w:tcW w:w="1900"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建设项目行业分类</w:t>
            </w:r>
          </w:p>
        </w:tc>
        <w:tc>
          <w:tcPr>
            <w:tcW w:w="5850" w:type="dxa"/>
            <w:gridSpan w:val="2"/>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依据 HJ610-2016 附录 A，本项目属于制造业，化学原料和化学 制品制造业类，按土壤环境影响评价项目类别</w:t>
            </w:r>
          </w:p>
        </w:tc>
        <w:tc>
          <w:tcPr>
            <w:tcW w:w="1331"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Ⅰ类</w:t>
            </w:r>
          </w:p>
        </w:tc>
      </w:tr>
      <w:tr>
        <w:trPr>
          <w:trHeight w:val="684" w:hRule="atLeast"/>
          <w:jc w:val="center"/>
        </w:trPr>
        <w:tc>
          <w:tcPr>
            <w:tcW w:w="1900"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土壤环境敏感程度</w:t>
            </w:r>
          </w:p>
        </w:tc>
        <w:tc>
          <w:tcPr>
            <w:tcW w:w="5850" w:type="dxa"/>
            <w:gridSpan w:val="2"/>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项目周边不存在耕地、园地、牧草地、饮用水水源地或居民区、 学校、医院、疗养院、养老院等土壤敏感目标的及其他土壤环 境敏感目标</w:t>
            </w:r>
          </w:p>
        </w:tc>
        <w:tc>
          <w:tcPr>
            <w:tcW w:w="1331"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不敏感</w:t>
            </w:r>
          </w:p>
        </w:tc>
      </w:tr>
      <w:tr>
        <w:tblPrEx>
          <w:tblCellMar>
            <w:top w:w="0" w:type="dxa"/>
            <w:left w:w="0" w:type="dxa"/>
            <w:bottom w:w="0" w:type="dxa"/>
            <w:right w:w="0" w:type="dxa"/>
          </w:tblCellMar>
        </w:tblPrEx>
        <w:trPr>
          <w:trHeight w:val="454" w:hRule="atLeast"/>
          <w:jc w:val="center"/>
        </w:trPr>
        <w:tc>
          <w:tcPr>
            <w:tcW w:w="1900"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占地规模</w:t>
            </w:r>
          </w:p>
        </w:tc>
        <w:tc>
          <w:tcPr>
            <w:tcW w:w="5850" w:type="dxa"/>
            <w:gridSpan w:val="2"/>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小于5 hm</w:t>
            </w:r>
            <w:r>
              <w:rPr>
                <w:rFonts w:hint="default" w:ascii="Times New Roman" w:hAnsi="Times New Roman" w:cs="Times New Roman"/>
                <w:color w:val="auto"/>
                <w:sz w:val="21"/>
                <w:szCs w:val="21"/>
                <w:vertAlign w:val="superscript"/>
                <w:lang w:val="en-US" w:eastAsia="zh-CN"/>
              </w:rPr>
              <w:t>2</w:t>
            </w:r>
          </w:p>
        </w:tc>
        <w:tc>
          <w:tcPr>
            <w:tcW w:w="1331"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小</w:t>
            </w:r>
          </w:p>
        </w:tc>
      </w:tr>
      <w:tr>
        <w:tblPrEx>
          <w:tblCellMar>
            <w:top w:w="0" w:type="dxa"/>
            <w:left w:w="0" w:type="dxa"/>
            <w:bottom w:w="0" w:type="dxa"/>
            <w:right w:w="0" w:type="dxa"/>
          </w:tblCellMar>
        </w:tblPrEx>
        <w:trPr>
          <w:trHeight w:val="454" w:hRule="atLeast"/>
          <w:jc w:val="center"/>
        </w:trPr>
        <w:tc>
          <w:tcPr>
            <w:tcW w:w="1900"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工作等级划分</w:t>
            </w:r>
          </w:p>
        </w:tc>
        <w:tc>
          <w:tcPr>
            <w:tcW w:w="7181" w:type="dxa"/>
            <w:gridSpan w:val="3"/>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r>
    </w:tbl>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color w:val="auto"/>
        </w:rPr>
      </w:pPr>
      <w:r>
        <w:rPr>
          <w:rFonts w:hint="default" w:ascii="Times New Roman" w:hAnsi="Times New Roman" w:cs="Times New Roman"/>
          <w:color w:val="auto"/>
        </w:rPr>
        <w:t>经以上分析，根据《环境影响评价技术导则土壤环境（试行）》（HJ964-2018） 中相关规定，本项目为污染影响型的二级土壤评价。</w:t>
      </w:r>
    </w:p>
    <w:p>
      <w:pPr>
        <w:pStyle w:val="39"/>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评价范围</w:t>
      </w:r>
    </w:p>
    <w:p>
      <w:pPr>
        <w:pStyle w:val="39"/>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rPr>
        <w:t>根据《环境影响评价技术导则土壤环境》（HJ964-2018）中相关规定，调查评价范围应包括建设项目可能影响的范围，能满足土壤环境影响预测和评价要求。二级污染</w:t>
      </w:r>
      <w:r>
        <w:rPr>
          <w:rFonts w:hint="default" w:ascii="Times New Roman" w:hAnsi="Times New Roman" w:cs="Times New Roman"/>
          <w:color w:val="auto"/>
          <w:lang w:eastAsia="zh-CN"/>
        </w:rPr>
        <w:t>影响</w:t>
      </w:r>
      <w:r>
        <w:rPr>
          <w:rFonts w:hint="default" w:ascii="Times New Roman" w:hAnsi="Times New Roman" w:cs="Times New Roman"/>
          <w:color w:val="auto"/>
        </w:rPr>
        <w:t>型</w:t>
      </w:r>
      <w:r>
        <w:rPr>
          <w:rFonts w:hint="default" w:ascii="Times New Roman" w:hAnsi="Times New Roman" w:cs="Times New Roman"/>
          <w:color w:val="auto"/>
          <w:lang w:eastAsia="zh-CN"/>
        </w:rPr>
        <w:t>项目</w:t>
      </w:r>
      <w:r>
        <w:rPr>
          <w:rFonts w:hint="default" w:ascii="Times New Roman" w:hAnsi="Times New Roman" w:cs="Times New Roman"/>
          <w:color w:val="auto"/>
        </w:rPr>
        <w:t>土壤环境影响评价范围为企业占地范围全部厂区及占地范围外</w:t>
      </w:r>
      <w:r>
        <w:rPr>
          <w:rFonts w:hint="default" w:ascii="Times New Roman" w:hAnsi="Times New Roman" w:cs="Times New Roman"/>
          <w:color w:val="auto"/>
          <w:lang w:val="en-US" w:eastAsia="zh-CN"/>
        </w:rPr>
        <w:t>0.</w:t>
      </w:r>
      <w:r>
        <w:rPr>
          <w:rFonts w:hint="default" w:ascii="Times New Roman" w:hAnsi="Times New Roman" w:cs="Times New Roman"/>
          <w:color w:val="auto"/>
        </w:rPr>
        <w:t>2</w:t>
      </w:r>
      <w:r>
        <w:rPr>
          <w:rFonts w:hint="default" w:ascii="Times New Roman" w:hAnsi="Times New Roman" w:cs="Times New Roman"/>
          <w:color w:val="auto"/>
          <w:lang w:val="en-US" w:eastAsia="zh-CN"/>
        </w:rPr>
        <w:t xml:space="preserve"> k</w:t>
      </w:r>
      <w:r>
        <w:rPr>
          <w:rFonts w:hint="default" w:ascii="Times New Roman" w:hAnsi="Times New Roman" w:cs="Times New Roman"/>
          <w:color w:val="auto"/>
        </w:rPr>
        <w:t>m</w:t>
      </w:r>
      <w:r>
        <w:rPr>
          <w:rFonts w:hint="default" w:ascii="Times New Roman" w:hAnsi="Times New Roman" w:cs="Times New Roman"/>
          <w:color w:val="auto"/>
          <w:vertAlign w:val="superscript"/>
          <w:lang w:val="en-US" w:eastAsia="zh-CN"/>
        </w:rPr>
        <w:t xml:space="preserve"> </w:t>
      </w:r>
      <w:r>
        <w:rPr>
          <w:rFonts w:hint="default" w:ascii="Times New Roman" w:hAnsi="Times New Roman" w:cs="Times New Roman"/>
          <w:color w:val="auto"/>
          <w:lang w:eastAsia="zh-CN"/>
        </w:rPr>
        <w:t>的</w:t>
      </w:r>
      <w:r>
        <w:rPr>
          <w:rFonts w:hint="default" w:ascii="Times New Roman" w:hAnsi="Times New Roman" w:cs="Times New Roman"/>
          <w:color w:val="auto"/>
        </w:rPr>
        <w:t>范围。</w:t>
      </w:r>
      <w:r>
        <w:rPr>
          <w:rFonts w:hint="default" w:ascii="Times New Roman" w:hAnsi="Times New Roman" w:cs="Times New Roman"/>
          <w:color w:val="auto"/>
          <w:lang w:eastAsia="zh-CN"/>
        </w:rPr>
        <w:t>厂区长约</w:t>
      </w:r>
      <w:r>
        <w:rPr>
          <w:rFonts w:hint="default" w:ascii="Times New Roman" w:hAnsi="Times New Roman" w:cs="Times New Roman"/>
          <w:color w:val="auto"/>
          <w:lang w:val="en-US" w:eastAsia="zh-CN"/>
        </w:rPr>
        <w:t>200m，</w:t>
      </w:r>
      <w:r>
        <w:rPr>
          <w:rFonts w:hint="default" w:ascii="Times New Roman" w:hAnsi="Times New Roman" w:cs="Times New Roman"/>
          <w:color w:val="auto"/>
          <w:lang w:eastAsia="zh-CN"/>
        </w:rPr>
        <w:t>宽约</w:t>
      </w:r>
      <w:r>
        <w:rPr>
          <w:rFonts w:hint="default" w:ascii="Times New Roman" w:hAnsi="Times New Roman" w:cs="Times New Roman"/>
          <w:color w:val="auto"/>
          <w:lang w:val="en-US" w:eastAsia="zh-CN"/>
        </w:rPr>
        <w:t>60m。土壤环境影响评价范围为厂区周界外扩200m，可以满足</w:t>
      </w:r>
      <w:r>
        <w:rPr>
          <w:rFonts w:hint="default" w:ascii="Times New Roman" w:hAnsi="Times New Roman" w:cs="Times New Roman"/>
          <w:color w:val="auto"/>
        </w:rPr>
        <w:t>《环境影响评价技术导则土壤环境》</w:t>
      </w:r>
      <w:r>
        <w:rPr>
          <w:rFonts w:hint="default" w:ascii="Times New Roman" w:hAnsi="Times New Roman" w:cs="Times New Roman"/>
          <w:color w:val="auto"/>
          <w:lang w:val="en-US" w:eastAsia="zh-CN"/>
        </w:rPr>
        <w:t>要求。</w:t>
      </w:r>
    </w:p>
    <w:p>
      <w:pPr>
        <w:pStyle w:val="7"/>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bookmarkStart w:id="206" w:name="_Toc306024702"/>
      <w:bookmarkStart w:id="207" w:name="_Toc328547971"/>
      <w:bookmarkStart w:id="208" w:name="_Toc302766706"/>
      <w:bookmarkStart w:id="209" w:name="_Toc328548567"/>
      <w:bookmarkStart w:id="210" w:name="_Toc328401233"/>
      <w:bookmarkStart w:id="211" w:name="_Toc306096900"/>
      <w:bookmarkStart w:id="212" w:name="_Toc328401048"/>
      <w:r>
        <w:rPr>
          <w:rFonts w:hint="default" w:ascii="Times New Roman" w:hAnsi="Times New Roman" w:cs="Times New Roman"/>
          <w:color w:val="auto"/>
        </w:rPr>
        <w:t>风险评价工作等级和评价范围</w:t>
      </w:r>
      <w:bookmarkEnd w:id="206"/>
      <w:bookmarkEnd w:id="207"/>
      <w:bookmarkEnd w:id="208"/>
      <w:bookmarkEnd w:id="209"/>
      <w:bookmarkEnd w:id="210"/>
      <w:bookmarkEnd w:id="211"/>
      <w:bookmarkEnd w:id="212"/>
    </w:p>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Pr>
        <w:pStyle w:val="39"/>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评价工作等级</w:t>
      </w:r>
    </w:p>
    <w:p>
      <w:pPr>
        <w:pStyle w:val="39"/>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根据《建设项目环境风险评价技术导则》（HJ169-2018），环境风险评价工作等级根据建设项目涉及的物质及工艺系统危险性和所在地的环境敏感性确定环境风险潜势，按照下表确定评价工作等级。</w:t>
      </w:r>
    </w:p>
    <w:p>
      <w:pPr>
        <w:pStyle w:val="3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kern w:val="2"/>
          <w:sz w:val="21"/>
          <w:szCs w:val="21"/>
          <w:lang w:val="zh-CN" w:eastAsia="zh-CN" w:bidi="ar-SA"/>
        </w:rPr>
      </w:pPr>
      <w:r>
        <w:rPr>
          <w:rFonts w:hint="default" w:ascii="Times New Roman" w:hAnsi="Times New Roman" w:eastAsia="宋体" w:cs="Times New Roman"/>
          <w:b/>
          <w:bCs/>
          <w:color w:val="auto"/>
          <w:kern w:val="2"/>
          <w:sz w:val="21"/>
          <w:szCs w:val="21"/>
          <w:lang w:val="zh-CN" w:eastAsia="zh-CN" w:bidi="ar-SA"/>
        </w:rPr>
        <w:t xml:space="preserve">表 </w:t>
      </w:r>
      <w:r>
        <w:rPr>
          <w:rFonts w:hint="default" w:ascii="Times New Roman" w:hAnsi="Times New Roman" w:eastAsia="宋体" w:cs="Times New Roman"/>
          <w:b/>
          <w:bCs/>
          <w:color w:val="auto"/>
          <w:kern w:val="2"/>
          <w:sz w:val="21"/>
          <w:szCs w:val="21"/>
          <w:lang w:val="en-US" w:eastAsia="zh-CN" w:bidi="ar-SA"/>
        </w:rPr>
        <w:t>2</w:t>
      </w:r>
      <w:r>
        <w:rPr>
          <w:rFonts w:hint="default" w:ascii="Times New Roman" w:hAnsi="Times New Roman" w:cs="Times New Roman"/>
          <w:b/>
          <w:bCs/>
          <w:color w:val="auto"/>
          <w:kern w:val="2"/>
          <w:sz w:val="21"/>
          <w:szCs w:val="21"/>
          <w:lang w:val="en-US" w:eastAsia="zh-CN" w:bidi="ar-SA"/>
        </w:rPr>
        <w:t>-21</w:t>
      </w:r>
      <w:r>
        <w:rPr>
          <w:rFonts w:hint="default" w:ascii="Times New Roman" w:hAnsi="Times New Roman" w:eastAsia="宋体" w:cs="Times New Roman"/>
          <w:b/>
          <w:bCs/>
          <w:color w:val="auto"/>
          <w:kern w:val="2"/>
          <w:sz w:val="21"/>
          <w:szCs w:val="21"/>
          <w:lang w:val="zh-CN" w:eastAsia="zh-CN" w:bidi="ar-SA"/>
        </w:rPr>
        <w:t xml:space="preserve"> 环境风险评价工作级别划分表</w:t>
      </w:r>
    </w:p>
    <w:tbl>
      <w:tblPr>
        <w:tblStyle w:val="24"/>
        <w:tblW w:w="9091"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888"/>
        <w:gridCol w:w="1815"/>
        <w:gridCol w:w="1545"/>
        <w:gridCol w:w="1809"/>
        <w:gridCol w:w="203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exact"/>
          <w:jc w:val="center"/>
        </w:trPr>
        <w:tc>
          <w:tcPr>
            <w:tcW w:w="1888" w:type="dxa"/>
            <w:tcBorders>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环境风险潜势</w:t>
            </w:r>
          </w:p>
        </w:tc>
        <w:tc>
          <w:tcPr>
            <w:tcW w:w="1815" w:type="dxa"/>
            <w:tcBorders>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Ⅳ、Ⅳ</w:t>
            </w:r>
            <w:r>
              <w:rPr>
                <w:rFonts w:hint="default" w:ascii="Times New Roman" w:hAnsi="Times New Roman" w:cs="Times New Roman"/>
                <w:color w:val="auto"/>
                <w:sz w:val="21"/>
                <w:szCs w:val="21"/>
                <w:vertAlign w:val="superscript"/>
              </w:rPr>
              <w:t>+</w:t>
            </w:r>
          </w:p>
        </w:tc>
        <w:tc>
          <w:tcPr>
            <w:tcW w:w="1545" w:type="dxa"/>
            <w:tcBorders>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c>
          <w:tcPr>
            <w:tcW w:w="1809" w:type="dxa"/>
            <w:tcBorders>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c>
          <w:tcPr>
            <w:tcW w:w="2034" w:type="dxa"/>
            <w:tcBorders>
              <w:left w:val="single" w:color="000000" w:sz="4" w:space="0"/>
              <w:bottom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exact"/>
          <w:jc w:val="center"/>
        </w:trPr>
        <w:tc>
          <w:tcPr>
            <w:tcW w:w="1888" w:type="dxa"/>
            <w:tcBorders>
              <w:top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评价工作等级</w:t>
            </w:r>
          </w:p>
        </w:tc>
        <w:tc>
          <w:tcPr>
            <w:tcW w:w="1815"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w:t>
            </w:r>
          </w:p>
        </w:tc>
        <w:tc>
          <w:tcPr>
            <w:tcW w:w="1545"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w:t>
            </w:r>
          </w:p>
        </w:tc>
        <w:tc>
          <w:tcPr>
            <w:tcW w:w="1809"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w:t>
            </w:r>
          </w:p>
        </w:tc>
        <w:tc>
          <w:tcPr>
            <w:tcW w:w="2034" w:type="dxa"/>
            <w:tcBorders>
              <w:top w:val="single" w:color="000000" w:sz="4" w:space="0"/>
              <w:left w:val="single" w:color="000000" w:sz="4" w:space="0"/>
              <w:bottom w:val="single" w:color="000000"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简单分析</w:t>
            </w:r>
            <w:r>
              <w:rPr>
                <w:rFonts w:hint="default" w:ascii="Times New Roman" w:hAnsi="Times New Roman" w:cs="Times New Roman"/>
                <w:color w:val="auto"/>
                <w:sz w:val="21"/>
                <w:szCs w:val="21"/>
                <w:vertAlign w:val="superscript"/>
              </w:rPr>
              <w: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2" w:hRule="exact"/>
          <w:jc w:val="center"/>
        </w:trPr>
        <w:tc>
          <w:tcPr>
            <w:tcW w:w="9091" w:type="dxa"/>
            <w:gridSpan w:val="5"/>
            <w:tcBorders>
              <w:top w:val="single" w:color="000000" w:sz="4" w:space="0"/>
            </w:tcBorders>
            <w:vAlign w:val="center"/>
          </w:tcPr>
          <w:p>
            <w:pPr>
              <w:pStyle w:val="40"/>
              <w:keepNext w:val="0"/>
              <w:keepLines w:val="0"/>
              <w:suppressLineNumbers w:val="0"/>
              <w:bidi w:val="0"/>
              <w:spacing w:before="0" w:beforeAutospacing="0" w:after="0" w:afterAutospacing="0"/>
              <w:ind w:left="0" w:right="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superscript"/>
              </w:rPr>
              <w:t>a</w:t>
            </w:r>
            <w:r>
              <w:rPr>
                <w:rFonts w:hint="default" w:ascii="Times New Roman" w:hAnsi="Times New Roman" w:cs="Times New Roman"/>
                <w:color w:val="auto"/>
                <w:sz w:val="21"/>
                <w:szCs w:val="21"/>
              </w:rPr>
              <w:t xml:space="preserve"> 是相对于详细评价工作内容而言，在描述危险物质、环境影响途径、环境危害后果、风险防范措施等方面给出定性的说明。</w:t>
            </w:r>
          </w:p>
        </w:tc>
      </w:tr>
    </w:tbl>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color w:val="auto"/>
          <w:highlight w:val="none"/>
          <w:u w:val="single"/>
          <w:lang w:eastAsia="zh-CN"/>
        </w:rPr>
      </w:pPr>
      <w:r>
        <w:rPr>
          <w:rFonts w:hint="default" w:ascii="Times New Roman" w:hAnsi="Times New Roman" w:cs="Times New Roman"/>
          <w:color w:val="auto"/>
          <w:u w:val="single"/>
        </w:rPr>
        <w:t>根据《建设项目环境风险评价技术导则》（HJ169-2018）附录C中C.1.1相关要求，</w:t>
      </w:r>
      <w:r>
        <w:rPr>
          <w:rFonts w:hint="default" w:ascii="Times New Roman" w:hAnsi="Times New Roman" w:cs="Times New Roman"/>
          <w:color w:val="auto"/>
          <w:u w:val="single"/>
          <w:lang w:val="en-US" w:eastAsia="zh-CN"/>
        </w:rPr>
        <w:t>鑫达公司危险物质数量与临界量比Q值为14.4，10≦Q＜100，行业及生产工艺（M）分值15，属于第（2）级M2，判定该项目环境风险潜势为P2。项目周边500m范围内的总人口小于500人，周边5km范围总人口小于约5万。项目大气环境敏感程度为E2。综上分析，判定鑫达项目环境风险潜势为</w:t>
      </w:r>
      <w:r>
        <w:rPr>
          <w:rFonts w:hint="default" w:ascii="Times New Roman" w:hAnsi="Times New Roman" w:cs="Times New Roman"/>
          <w:color w:val="auto"/>
          <w:u w:val="single"/>
          <w:lang w:val="en-US" w:eastAsia="zh-CN"/>
        </w:rPr>
        <w:fldChar w:fldCharType="begin"/>
      </w:r>
      <w:r>
        <w:rPr>
          <w:rFonts w:hint="default" w:ascii="Times New Roman" w:hAnsi="Times New Roman" w:cs="Times New Roman"/>
          <w:color w:val="auto"/>
          <w:u w:val="single"/>
          <w:lang w:val="en-US" w:eastAsia="zh-CN"/>
        </w:rPr>
        <w:instrText xml:space="preserve"> = 3 \* ROMAN </w:instrText>
      </w:r>
      <w:r>
        <w:rPr>
          <w:rFonts w:hint="default" w:ascii="Times New Roman" w:hAnsi="Times New Roman" w:cs="Times New Roman"/>
          <w:color w:val="auto"/>
          <w:u w:val="single"/>
          <w:lang w:val="en-US" w:eastAsia="zh-CN"/>
        </w:rPr>
        <w:fldChar w:fldCharType="separate"/>
      </w:r>
      <w:r>
        <w:rPr>
          <w:rFonts w:hint="default" w:ascii="Times New Roman" w:hAnsi="Times New Roman" w:cs="Times New Roman"/>
          <w:color w:val="auto"/>
          <w:u w:val="single"/>
          <w:lang w:val="en-US" w:eastAsia="zh-CN"/>
        </w:rPr>
        <w:t>III</w:t>
      </w:r>
      <w:r>
        <w:rPr>
          <w:rFonts w:hint="default" w:ascii="Times New Roman" w:hAnsi="Times New Roman" w:cs="Times New Roman"/>
          <w:color w:val="auto"/>
          <w:u w:val="single"/>
          <w:lang w:val="en-US" w:eastAsia="zh-CN"/>
        </w:rPr>
        <w:fldChar w:fldCharType="end"/>
      </w:r>
      <w:r>
        <w:rPr>
          <w:rFonts w:hint="default" w:ascii="Times New Roman" w:hAnsi="Times New Roman" w:cs="Times New Roman"/>
          <w:color w:val="auto"/>
          <w:u w:val="single"/>
          <w:lang w:val="en-US" w:eastAsia="zh-CN"/>
        </w:rPr>
        <w:t>级</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确定</w:t>
      </w:r>
      <w:r>
        <w:rPr>
          <w:rFonts w:hint="default" w:ascii="Times New Roman" w:hAnsi="Times New Roman" w:cs="Times New Roman"/>
          <w:color w:val="auto"/>
          <w:u w:val="single"/>
          <w:lang w:eastAsia="zh-CN"/>
        </w:rPr>
        <w:t>大气</w:t>
      </w:r>
      <w:r>
        <w:rPr>
          <w:rFonts w:hint="default" w:ascii="Times New Roman" w:hAnsi="Times New Roman" w:cs="Times New Roman"/>
          <w:color w:val="auto"/>
          <w:u w:val="single"/>
        </w:rPr>
        <w:t>风险评价工作</w:t>
      </w:r>
      <w:r>
        <w:rPr>
          <w:rFonts w:hint="default" w:ascii="Times New Roman" w:hAnsi="Times New Roman" w:cs="Times New Roman"/>
          <w:color w:val="auto"/>
          <w:u w:val="single"/>
          <w:lang w:eastAsia="zh-CN"/>
        </w:rPr>
        <w:t>等级</w:t>
      </w:r>
      <w:r>
        <w:rPr>
          <w:rFonts w:hint="default" w:ascii="Times New Roman" w:hAnsi="Times New Roman" w:cs="Times New Roman"/>
          <w:color w:val="auto"/>
          <w:u w:val="single"/>
        </w:rPr>
        <w:t>为</w:t>
      </w:r>
      <w:r>
        <w:rPr>
          <w:rFonts w:hint="default" w:ascii="Times New Roman" w:hAnsi="Times New Roman" w:cs="Times New Roman"/>
          <w:color w:val="auto"/>
          <w:u w:val="single"/>
          <w:lang w:eastAsia="zh-CN"/>
        </w:rPr>
        <w:t>二级。</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评价范围</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color w:val="auto"/>
          <w:u w:val="single"/>
        </w:rPr>
      </w:pPr>
      <w:bookmarkStart w:id="213" w:name="_Toc7949"/>
      <w:bookmarkStart w:id="214" w:name="_Toc373328278"/>
      <w:bookmarkStart w:id="215" w:name="_Toc30957"/>
      <w:bookmarkStart w:id="216" w:name="_Toc328548568"/>
      <w:bookmarkStart w:id="217" w:name="_Toc306024703"/>
      <w:bookmarkStart w:id="218" w:name="_Toc220122772"/>
      <w:bookmarkStart w:id="219" w:name="_Toc306096901"/>
      <w:bookmarkStart w:id="220" w:name="_Toc219258498"/>
      <w:bookmarkStart w:id="221" w:name="_Toc249433215"/>
      <w:bookmarkStart w:id="222" w:name="_Toc289344520"/>
      <w:bookmarkStart w:id="223" w:name="_Toc328401049"/>
      <w:r>
        <w:rPr>
          <w:rFonts w:hint="default" w:ascii="Times New Roman" w:hAnsi="Times New Roman" w:cs="Times New Roman"/>
          <w:color w:val="auto"/>
          <w:u w:val="single"/>
          <w:lang w:eastAsia="zh-CN"/>
        </w:rPr>
        <w:t>大气</w:t>
      </w:r>
      <w:r>
        <w:rPr>
          <w:rFonts w:hint="default" w:ascii="Times New Roman" w:hAnsi="Times New Roman" w:cs="Times New Roman"/>
          <w:color w:val="auto"/>
          <w:u w:val="single"/>
        </w:rPr>
        <w:t>环境风险评价等级为</w:t>
      </w:r>
      <w:r>
        <w:rPr>
          <w:rFonts w:hint="default" w:ascii="Times New Roman" w:hAnsi="Times New Roman" w:cs="Times New Roman"/>
          <w:color w:val="auto"/>
          <w:u w:val="single"/>
          <w:lang w:eastAsia="zh-CN"/>
        </w:rPr>
        <w:t>二</w:t>
      </w:r>
      <w:r>
        <w:rPr>
          <w:rFonts w:hint="default" w:ascii="Times New Roman" w:hAnsi="Times New Roman" w:cs="Times New Roman"/>
          <w:color w:val="auto"/>
          <w:u w:val="single"/>
        </w:rPr>
        <w:t>级，大气环境风险评价范围为距离本项目边界</w:t>
      </w:r>
      <w:r>
        <w:rPr>
          <w:rFonts w:hint="default" w:ascii="Times New Roman" w:hAnsi="Times New Roman" w:cs="Times New Roman"/>
          <w:color w:val="auto"/>
          <w:u w:val="single"/>
          <w:lang w:val="en-US" w:eastAsia="zh-CN"/>
        </w:rPr>
        <w:t>5</w:t>
      </w:r>
      <w:r>
        <w:rPr>
          <w:rFonts w:hint="default" w:ascii="Times New Roman" w:hAnsi="Times New Roman" w:cs="Times New Roman"/>
          <w:color w:val="auto"/>
          <w:u w:val="single"/>
        </w:rPr>
        <w:t>km</w:t>
      </w:r>
    </w:p>
    <w:p>
      <w:pPr>
        <w:pStyle w:val="39"/>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outlineLvl w:val="9"/>
        <w:rPr>
          <w:rFonts w:hint="default" w:ascii="Times New Roman" w:hAnsi="Times New Roman" w:cs="Times New Roman"/>
          <w:color w:val="auto"/>
          <w:u w:val="single"/>
          <w:vertAlign w:val="baseline"/>
          <w:lang w:val="en-US" w:eastAsia="zh-CN"/>
        </w:rPr>
      </w:pPr>
      <w:r>
        <w:rPr>
          <w:rFonts w:hint="default" w:ascii="Times New Roman" w:hAnsi="Times New Roman" w:cs="Times New Roman"/>
          <w:color w:val="auto"/>
          <w:u w:val="single"/>
        </w:rPr>
        <w:t>范围内。</w:t>
      </w:r>
      <w:r>
        <w:rPr>
          <w:rFonts w:hint="default" w:ascii="Times New Roman" w:hAnsi="Times New Roman" w:cs="Times New Roman"/>
          <w:color w:val="auto"/>
          <w:u w:val="single"/>
          <w:lang w:eastAsia="zh-CN"/>
        </w:rPr>
        <w:t>地下水风险评价等级为三级，地下水环</w:t>
      </w:r>
      <w:r>
        <w:rPr>
          <w:rFonts w:hint="default" w:ascii="Times New Roman" w:hAnsi="Times New Roman" w:cs="Times New Roman"/>
          <w:color w:val="auto"/>
          <w:u w:val="single"/>
        </w:rPr>
        <w:t>境风险评价范围为</w:t>
      </w:r>
      <w:r>
        <w:rPr>
          <w:rFonts w:hint="default" w:ascii="Times New Roman" w:hAnsi="Times New Roman" w:cs="Times New Roman"/>
          <w:color w:val="auto"/>
          <w:u w:val="single"/>
          <w:lang w:val="en-US" w:eastAsia="zh-CN"/>
        </w:rPr>
        <w:t>6~20km</w:t>
      </w:r>
      <w:r>
        <w:rPr>
          <w:rFonts w:hint="default" w:ascii="Times New Roman" w:hAnsi="Times New Roman" w:cs="Times New Roman"/>
          <w:color w:val="auto"/>
          <w:u w:val="single"/>
          <w:vertAlign w:val="superscript"/>
          <w:lang w:val="en-US" w:eastAsia="zh-CN"/>
        </w:rPr>
        <w:t>2</w:t>
      </w:r>
      <w:r>
        <w:rPr>
          <w:rFonts w:hint="default" w:ascii="Times New Roman" w:hAnsi="Times New Roman" w:cs="Times New Roman"/>
          <w:color w:val="auto"/>
          <w:u w:val="single"/>
          <w:vertAlign w:val="baseline"/>
          <w:lang w:val="en-US" w:eastAsia="zh-CN"/>
        </w:rPr>
        <w:t>内。</w:t>
      </w:r>
      <w:r>
        <w:rPr>
          <w:rFonts w:hint="default" w:ascii="Times New Roman" w:hAnsi="Times New Roman" w:cs="Times New Roman"/>
          <w:color w:val="auto"/>
          <w:u w:val="single"/>
        </w:rPr>
        <w:t>废水排入</w:t>
      </w:r>
      <w:r>
        <w:rPr>
          <w:rFonts w:hint="default" w:ascii="Times New Roman" w:hAnsi="Times New Roman" w:cs="Times New Roman"/>
          <w:color w:val="auto"/>
          <w:u w:val="single"/>
          <w:lang w:val="en-US" w:eastAsia="zh-CN"/>
        </w:rPr>
        <w:t>巴陵</w:t>
      </w:r>
      <w:r>
        <w:rPr>
          <w:rFonts w:hint="default" w:ascii="Times New Roman" w:hAnsi="Times New Roman" w:cs="Times New Roman"/>
          <w:color w:val="auto"/>
          <w:u w:val="single"/>
        </w:rPr>
        <w:t>污水处理厂工业废水处理，不直接外排地表水体，不对地表水环境进行相应的敏感程度分级。</w:t>
      </w:r>
    </w:p>
    <w:p>
      <w:pPr>
        <w:pStyle w:val="4"/>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highlight w:val="none"/>
        </w:rPr>
      </w:pPr>
      <w:bookmarkStart w:id="224" w:name="_Toc31087"/>
      <w:r>
        <w:rPr>
          <w:rFonts w:hint="default" w:ascii="Times New Roman" w:hAnsi="Times New Roman" w:cs="Times New Roman"/>
          <w:color w:val="auto"/>
          <w:highlight w:val="none"/>
        </w:rPr>
        <w:t>主要环境保护目标</w:t>
      </w:r>
      <w:bookmarkEnd w:id="213"/>
      <w:bookmarkEnd w:id="214"/>
      <w:bookmarkEnd w:id="215"/>
      <w:bookmarkEnd w:id="216"/>
      <w:bookmarkEnd w:id="217"/>
      <w:bookmarkEnd w:id="218"/>
      <w:bookmarkEnd w:id="219"/>
      <w:bookmarkEnd w:id="220"/>
      <w:bookmarkEnd w:id="221"/>
      <w:bookmarkEnd w:id="222"/>
      <w:bookmarkEnd w:id="223"/>
      <w:bookmarkEnd w:id="224"/>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项目位于中国石化集团资产经营管理公司</w:t>
      </w:r>
      <w:r>
        <w:rPr>
          <w:rFonts w:hint="default" w:ascii="Times New Roman" w:hAnsi="Times New Roman" w:cs="Times New Roman"/>
          <w:color w:val="auto"/>
          <w:lang w:eastAsia="zh-CN"/>
        </w:rPr>
        <w:t>巴陵石化公司</w:t>
      </w:r>
      <w:r>
        <w:rPr>
          <w:rFonts w:hint="default" w:ascii="Times New Roman" w:hAnsi="Times New Roman" w:cs="Times New Roman"/>
          <w:color w:val="auto"/>
        </w:rPr>
        <w:t>厂区内，周边</w:t>
      </w:r>
      <w:r>
        <w:rPr>
          <w:rFonts w:hint="default" w:ascii="Times New Roman" w:hAnsi="Times New Roman" w:cs="Times New Roman"/>
          <w:color w:val="auto"/>
          <w:lang w:val="en-US" w:eastAsia="zh-CN"/>
        </w:rPr>
        <w:t>50</w:t>
      </w:r>
      <w:r>
        <w:rPr>
          <w:rFonts w:hint="default" w:ascii="Times New Roman" w:hAnsi="Times New Roman" w:cs="Times New Roman"/>
          <w:color w:val="auto"/>
        </w:rPr>
        <w:t>00m内环境敏感目标</w:t>
      </w:r>
      <w:r>
        <w:rPr>
          <w:rFonts w:hint="default" w:ascii="Times New Roman" w:hAnsi="Times New Roman" w:cs="Times New Roman"/>
          <w:color w:val="auto"/>
          <w:lang w:eastAsia="zh-CN"/>
        </w:rPr>
        <w:t>有云溪镇八一村、云溪镇镇龙村和云溪镇双花村</w:t>
      </w:r>
      <w:r>
        <w:rPr>
          <w:rFonts w:hint="default" w:ascii="Times New Roman" w:hAnsi="Times New Roman" w:cs="Times New Roman"/>
          <w:color w:val="auto"/>
        </w:rPr>
        <w:t>。根据现场调查和评价范围（大气</w:t>
      </w:r>
      <w:r>
        <w:rPr>
          <w:rFonts w:hint="default" w:ascii="Times New Roman" w:hAnsi="Times New Roman" w:cs="Times New Roman"/>
          <w:color w:val="auto"/>
          <w:lang w:eastAsia="zh-CN"/>
        </w:rPr>
        <w:t>环境为</w:t>
      </w:r>
      <w:r>
        <w:rPr>
          <w:rFonts w:hint="default" w:ascii="Times New Roman" w:hAnsi="Times New Roman" w:cs="Times New Roman"/>
          <w:color w:val="auto"/>
          <w:u w:val="single"/>
          <w:lang w:val="en-US" w:eastAsia="zh-CN"/>
        </w:rPr>
        <w:t>三级评价项目，不需设置大气环境影响评价范围</w:t>
      </w:r>
      <w:r>
        <w:rPr>
          <w:rFonts w:hint="default" w:ascii="Times New Roman" w:hAnsi="Times New Roman" w:cs="Times New Roman"/>
          <w:color w:val="auto"/>
        </w:rPr>
        <w:t>，风险二级评价范围为</w:t>
      </w:r>
      <w:r>
        <w:rPr>
          <w:rFonts w:hint="default" w:ascii="Times New Roman" w:hAnsi="Times New Roman" w:cs="Times New Roman"/>
          <w:color w:val="auto"/>
          <w:lang w:val="en-US" w:eastAsia="zh-CN"/>
        </w:rPr>
        <w:t>5</w:t>
      </w:r>
      <w:r>
        <w:rPr>
          <w:rFonts w:hint="default" w:ascii="Times New Roman" w:hAnsi="Times New Roman" w:cs="Times New Roman"/>
          <w:color w:val="auto"/>
        </w:rPr>
        <w:t>.0km），根据初步现场调查情况，项目所在区域用水由工业园区市政自来水管网统一提供，不采用地下水，项目地下水评价范围内无集中式饮用水源，无矿泉水、温泉等特殊地下水资源敏感区。环境保护目标见表</w:t>
      </w:r>
      <w:r>
        <w:rPr>
          <w:rFonts w:hint="default" w:ascii="Times New Roman" w:hAnsi="Times New Roman" w:cs="Times New Roman"/>
          <w:color w:val="auto"/>
          <w:lang w:val="en-US" w:eastAsia="zh-CN"/>
        </w:rPr>
        <w:t>2-22</w:t>
      </w:r>
      <w:r>
        <w:rPr>
          <w:rFonts w:hint="default" w:ascii="Times New Roman" w:hAnsi="Times New Roman" w:cs="Times New Roman"/>
          <w:color w:val="auto"/>
        </w:rPr>
        <w:t>和图</w:t>
      </w:r>
      <w:r>
        <w:rPr>
          <w:rFonts w:hint="default" w:ascii="Times New Roman" w:hAnsi="Times New Roman" w:cs="Times New Roman"/>
          <w:color w:val="auto"/>
          <w:lang w:val="en-US" w:eastAsia="zh-CN"/>
        </w:rPr>
        <w:t>2-</w:t>
      </w:r>
      <w:r>
        <w:rPr>
          <w:rFonts w:hint="default" w:ascii="Times New Roman" w:hAnsi="Times New Roman" w:cs="Times New Roman"/>
          <w:color w:val="auto"/>
        </w:rPr>
        <w:t>1。</w:t>
      </w:r>
    </w:p>
    <w:p>
      <w:pPr>
        <w:pStyle w:val="3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kern w:val="2"/>
          <w:sz w:val="21"/>
          <w:szCs w:val="21"/>
          <w:highlight w:val="none"/>
          <w:lang w:val="zh-CN" w:eastAsia="zh-CN" w:bidi="ar-SA"/>
        </w:rPr>
      </w:pPr>
      <w:r>
        <w:rPr>
          <w:rFonts w:hint="default" w:ascii="Times New Roman" w:hAnsi="Times New Roman" w:eastAsia="宋体" w:cs="Times New Roman"/>
          <w:b/>
          <w:bCs/>
          <w:color w:val="auto"/>
          <w:kern w:val="2"/>
          <w:sz w:val="21"/>
          <w:szCs w:val="21"/>
          <w:highlight w:val="none"/>
          <w:u w:val="single"/>
          <w:lang w:val="zh-CN" w:eastAsia="zh-CN" w:bidi="ar-SA"/>
        </w:rPr>
        <w:t xml:space="preserve">表 </w:t>
      </w:r>
      <w:r>
        <w:rPr>
          <w:rFonts w:hint="default" w:ascii="Times New Roman" w:hAnsi="Times New Roman" w:cs="Times New Roman"/>
          <w:b/>
          <w:bCs/>
          <w:color w:val="auto"/>
          <w:kern w:val="2"/>
          <w:sz w:val="21"/>
          <w:szCs w:val="21"/>
          <w:highlight w:val="none"/>
          <w:u w:val="single"/>
          <w:lang w:val="en-US" w:eastAsia="zh-CN" w:bidi="ar-SA"/>
        </w:rPr>
        <w:t xml:space="preserve">2-22 </w:t>
      </w:r>
      <w:r>
        <w:rPr>
          <w:rFonts w:hint="default" w:ascii="Times New Roman" w:hAnsi="Times New Roman" w:eastAsia="宋体" w:cs="Times New Roman"/>
          <w:b/>
          <w:bCs/>
          <w:color w:val="auto"/>
          <w:kern w:val="2"/>
          <w:sz w:val="21"/>
          <w:szCs w:val="21"/>
          <w:highlight w:val="none"/>
          <w:u w:val="single"/>
          <w:lang w:val="zh-CN" w:eastAsia="zh-CN" w:bidi="ar-SA"/>
        </w:rPr>
        <w:t xml:space="preserve"> 环境保护目标一览表</w:t>
      </w:r>
    </w:p>
    <w:tbl>
      <w:tblPr>
        <w:tblStyle w:val="24"/>
        <w:tblW w:w="928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38"/>
        <w:gridCol w:w="1830"/>
        <w:gridCol w:w="705"/>
        <w:gridCol w:w="1692"/>
        <w:gridCol w:w="1250"/>
        <w:gridCol w:w="989"/>
        <w:gridCol w:w="1000"/>
        <w:gridCol w:w="11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 w:hRule="atLeast"/>
        </w:trPr>
        <w:tc>
          <w:tcPr>
            <w:tcW w:w="638" w:type="dxa"/>
            <w:vMerge w:val="restart"/>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类别</w:t>
            </w:r>
          </w:p>
        </w:tc>
        <w:tc>
          <w:tcPr>
            <w:tcW w:w="1830" w:type="dxa"/>
            <w:vMerge w:val="restart"/>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保护目标</w:t>
            </w:r>
          </w:p>
        </w:tc>
        <w:tc>
          <w:tcPr>
            <w:tcW w:w="705" w:type="dxa"/>
            <w:vMerge w:val="restart"/>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功能</w:t>
            </w:r>
          </w:p>
        </w:tc>
        <w:tc>
          <w:tcPr>
            <w:tcW w:w="1692" w:type="dxa"/>
            <w:vMerge w:val="restart"/>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与最近装置方位距离</w:t>
            </w:r>
          </w:p>
        </w:tc>
        <w:tc>
          <w:tcPr>
            <w:tcW w:w="1250" w:type="dxa"/>
            <w:vMerge w:val="restart"/>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规模</w:t>
            </w:r>
          </w:p>
        </w:tc>
        <w:tc>
          <w:tcPr>
            <w:tcW w:w="1989" w:type="dxa"/>
            <w:gridSpan w:val="2"/>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地理坐标</w:t>
            </w:r>
          </w:p>
        </w:tc>
        <w:tc>
          <w:tcPr>
            <w:tcW w:w="1183" w:type="dxa"/>
            <w:vMerge w:val="restart"/>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保护级别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 w:hRule="atLeast"/>
        </w:trPr>
        <w:tc>
          <w:tcPr>
            <w:tcW w:w="638"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830"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705"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692"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250"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98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N</w:t>
            </w:r>
          </w:p>
        </w:tc>
        <w:tc>
          <w:tcPr>
            <w:tcW w:w="10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E</w:t>
            </w:r>
          </w:p>
        </w:tc>
        <w:tc>
          <w:tcPr>
            <w:tcW w:w="1183"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trPr>
        <w:tc>
          <w:tcPr>
            <w:tcW w:w="638" w:type="dxa"/>
            <w:vMerge w:val="restart"/>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w:t>
            </w:r>
          </w:p>
        </w:tc>
        <w:tc>
          <w:tcPr>
            <w:tcW w:w="18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白家冲居民点</w:t>
            </w:r>
          </w:p>
        </w:tc>
        <w:tc>
          <w:tcPr>
            <w:tcW w:w="70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居住</w:t>
            </w:r>
          </w:p>
        </w:tc>
        <w:tc>
          <w:tcPr>
            <w:tcW w:w="169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北面，2500m</w:t>
            </w:r>
          </w:p>
        </w:tc>
        <w:tc>
          <w:tcPr>
            <w:tcW w:w="12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18户左右</w:t>
            </w:r>
          </w:p>
        </w:tc>
        <w:tc>
          <w:tcPr>
            <w:tcW w:w="98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29.5013</w:t>
            </w:r>
          </w:p>
        </w:tc>
        <w:tc>
          <w:tcPr>
            <w:tcW w:w="10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113.3082</w:t>
            </w:r>
          </w:p>
        </w:tc>
        <w:tc>
          <w:tcPr>
            <w:tcW w:w="118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（GB3095-2012）中二级标准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trPr>
        <w:tc>
          <w:tcPr>
            <w:tcW w:w="638"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8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孙李冲居民点</w:t>
            </w:r>
          </w:p>
        </w:tc>
        <w:tc>
          <w:tcPr>
            <w:tcW w:w="70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居住</w:t>
            </w:r>
          </w:p>
        </w:tc>
        <w:tc>
          <w:tcPr>
            <w:tcW w:w="169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东北面，2430m</w:t>
            </w:r>
          </w:p>
        </w:tc>
        <w:tc>
          <w:tcPr>
            <w:tcW w:w="12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30户左右</w:t>
            </w:r>
          </w:p>
        </w:tc>
        <w:tc>
          <w:tcPr>
            <w:tcW w:w="98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29.4958</w:t>
            </w:r>
          </w:p>
        </w:tc>
        <w:tc>
          <w:tcPr>
            <w:tcW w:w="10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113.2954</w:t>
            </w:r>
          </w:p>
        </w:tc>
        <w:tc>
          <w:tcPr>
            <w:tcW w:w="118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trPr>
        <w:tc>
          <w:tcPr>
            <w:tcW w:w="638"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8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青坡社区居民点</w:t>
            </w:r>
          </w:p>
        </w:tc>
        <w:tc>
          <w:tcPr>
            <w:tcW w:w="70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居住</w:t>
            </w:r>
          </w:p>
        </w:tc>
        <w:tc>
          <w:tcPr>
            <w:tcW w:w="169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西北面，1020-1700m</w:t>
            </w:r>
          </w:p>
        </w:tc>
        <w:tc>
          <w:tcPr>
            <w:tcW w:w="12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300户左右</w:t>
            </w:r>
          </w:p>
        </w:tc>
        <w:tc>
          <w:tcPr>
            <w:tcW w:w="98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29.4892</w:t>
            </w:r>
          </w:p>
        </w:tc>
        <w:tc>
          <w:tcPr>
            <w:tcW w:w="10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113.3042</w:t>
            </w:r>
          </w:p>
        </w:tc>
        <w:tc>
          <w:tcPr>
            <w:tcW w:w="118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trPr>
        <w:tc>
          <w:tcPr>
            <w:tcW w:w="638"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8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巴陵石化办公大楼</w:t>
            </w:r>
          </w:p>
        </w:tc>
        <w:tc>
          <w:tcPr>
            <w:tcW w:w="70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办公</w:t>
            </w:r>
          </w:p>
        </w:tc>
        <w:tc>
          <w:tcPr>
            <w:tcW w:w="169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西南面，600m</w:t>
            </w:r>
          </w:p>
        </w:tc>
        <w:tc>
          <w:tcPr>
            <w:tcW w:w="12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约500人</w:t>
            </w:r>
          </w:p>
        </w:tc>
        <w:tc>
          <w:tcPr>
            <w:tcW w:w="98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29.4712</w:t>
            </w:r>
          </w:p>
        </w:tc>
        <w:tc>
          <w:tcPr>
            <w:tcW w:w="10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113.3066</w:t>
            </w:r>
          </w:p>
        </w:tc>
        <w:tc>
          <w:tcPr>
            <w:tcW w:w="118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trPr>
        <w:tc>
          <w:tcPr>
            <w:tcW w:w="638"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8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机关住宅区</w:t>
            </w:r>
          </w:p>
        </w:tc>
        <w:tc>
          <w:tcPr>
            <w:tcW w:w="70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居住</w:t>
            </w:r>
          </w:p>
        </w:tc>
        <w:tc>
          <w:tcPr>
            <w:tcW w:w="169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西南面，1</w:t>
            </w:r>
            <w:r>
              <w:rPr>
                <w:rFonts w:hint="default" w:ascii="Times New Roman" w:hAnsi="Times New Roman" w:cs="Times New Roman"/>
                <w:color w:val="auto"/>
                <w:sz w:val="21"/>
                <w:szCs w:val="21"/>
                <w:lang w:val="en-US" w:eastAsia="zh-CN"/>
              </w:rPr>
              <w:t>6</w:t>
            </w:r>
            <w:r>
              <w:rPr>
                <w:rFonts w:hint="default" w:ascii="Times New Roman" w:hAnsi="Times New Roman" w:cs="Times New Roman"/>
                <w:color w:val="auto"/>
                <w:sz w:val="21"/>
                <w:szCs w:val="21"/>
              </w:rPr>
              <w:t>00m</w:t>
            </w:r>
          </w:p>
        </w:tc>
        <w:tc>
          <w:tcPr>
            <w:tcW w:w="12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300户左右</w:t>
            </w:r>
          </w:p>
        </w:tc>
        <w:tc>
          <w:tcPr>
            <w:tcW w:w="98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29.4715</w:t>
            </w:r>
          </w:p>
        </w:tc>
        <w:tc>
          <w:tcPr>
            <w:tcW w:w="10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113.2965</w:t>
            </w:r>
          </w:p>
        </w:tc>
        <w:tc>
          <w:tcPr>
            <w:tcW w:w="118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trPr>
        <w:tc>
          <w:tcPr>
            <w:tcW w:w="638"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8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金盆社区二区</w:t>
            </w:r>
          </w:p>
        </w:tc>
        <w:tc>
          <w:tcPr>
            <w:tcW w:w="70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居住</w:t>
            </w:r>
          </w:p>
        </w:tc>
        <w:tc>
          <w:tcPr>
            <w:tcW w:w="169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西南面，2460-2600m</w:t>
            </w:r>
          </w:p>
        </w:tc>
        <w:tc>
          <w:tcPr>
            <w:tcW w:w="12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400户左右</w:t>
            </w:r>
          </w:p>
        </w:tc>
        <w:tc>
          <w:tcPr>
            <w:tcW w:w="98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29.4627</w:t>
            </w:r>
          </w:p>
        </w:tc>
        <w:tc>
          <w:tcPr>
            <w:tcW w:w="10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113.2930</w:t>
            </w:r>
          </w:p>
        </w:tc>
        <w:tc>
          <w:tcPr>
            <w:tcW w:w="118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trPr>
        <w:tc>
          <w:tcPr>
            <w:tcW w:w="638"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8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象形湾居民点</w:t>
            </w:r>
          </w:p>
        </w:tc>
        <w:tc>
          <w:tcPr>
            <w:tcW w:w="70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居住</w:t>
            </w:r>
          </w:p>
        </w:tc>
        <w:tc>
          <w:tcPr>
            <w:tcW w:w="169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东南面，2018m</w:t>
            </w:r>
          </w:p>
        </w:tc>
        <w:tc>
          <w:tcPr>
            <w:tcW w:w="12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15户左右</w:t>
            </w:r>
          </w:p>
        </w:tc>
        <w:tc>
          <w:tcPr>
            <w:tcW w:w="98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29.4698</w:t>
            </w:r>
          </w:p>
        </w:tc>
        <w:tc>
          <w:tcPr>
            <w:tcW w:w="10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113.3361</w:t>
            </w:r>
          </w:p>
        </w:tc>
        <w:tc>
          <w:tcPr>
            <w:tcW w:w="118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9" w:hRule="atLeast"/>
        </w:trPr>
        <w:tc>
          <w:tcPr>
            <w:tcW w:w="638" w:type="dxa"/>
            <w:vMerge w:val="restart"/>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w:t>
            </w:r>
          </w:p>
        </w:tc>
        <w:tc>
          <w:tcPr>
            <w:tcW w:w="18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长江道仁矶江段</w:t>
            </w:r>
          </w:p>
        </w:tc>
        <w:tc>
          <w:tcPr>
            <w:tcW w:w="70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渔业</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用水</w:t>
            </w:r>
          </w:p>
        </w:tc>
        <w:tc>
          <w:tcPr>
            <w:tcW w:w="169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西北面，10.4km</w:t>
            </w:r>
          </w:p>
        </w:tc>
        <w:tc>
          <w:tcPr>
            <w:tcW w:w="12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大河</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平均流量20300m3/s</w:t>
            </w:r>
          </w:p>
        </w:tc>
        <w:tc>
          <w:tcPr>
            <w:tcW w:w="98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0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18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（GB3838-2002）</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Ⅲ类标准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9" w:hRule="atLeast"/>
        </w:trPr>
        <w:tc>
          <w:tcPr>
            <w:tcW w:w="638"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8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松杨湖</w:t>
            </w:r>
          </w:p>
        </w:tc>
        <w:tc>
          <w:tcPr>
            <w:tcW w:w="70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景观</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用水</w:t>
            </w:r>
          </w:p>
        </w:tc>
        <w:tc>
          <w:tcPr>
            <w:tcW w:w="169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西面，5.2km</w:t>
            </w:r>
          </w:p>
        </w:tc>
        <w:tc>
          <w:tcPr>
            <w:tcW w:w="12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小湖，面积约4km2</w:t>
            </w:r>
          </w:p>
        </w:tc>
        <w:tc>
          <w:tcPr>
            <w:tcW w:w="98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0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18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（GB3838-2002）</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Ⅳ类标准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trPr>
        <w:tc>
          <w:tcPr>
            <w:tcW w:w="63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w:t>
            </w:r>
          </w:p>
        </w:tc>
        <w:tc>
          <w:tcPr>
            <w:tcW w:w="18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项目周边</w:t>
            </w: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rPr>
              <w:t>km2范围</w:t>
            </w:r>
          </w:p>
        </w:tc>
        <w:tc>
          <w:tcPr>
            <w:tcW w:w="70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69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农用</w:t>
            </w:r>
          </w:p>
        </w:tc>
        <w:tc>
          <w:tcPr>
            <w:tcW w:w="12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8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0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18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（GB/T14848-1993）Ⅲ类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3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7466" w:type="dxa"/>
            <w:gridSpan w:val="6"/>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评价范围200m内无居民点</w:t>
            </w:r>
          </w:p>
        </w:tc>
        <w:tc>
          <w:tcPr>
            <w:tcW w:w="118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（GB3096-2008）</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9" w:hRule="atLeast"/>
        </w:trPr>
        <w:tc>
          <w:tcPr>
            <w:tcW w:w="63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w:t>
            </w:r>
          </w:p>
        </w:tc>
        <w:tc>
          <w:tcPr>
            <w:tcW w:w="18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项目区内</w:t>
            </w:r>
          </w:p>
        </w:tc>
        <w:tc>
          <w:tcPr>
            <w:tcW w:w="5636" w:type="dxa"/>
            <w:gridSpan w:val="5"/>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没有</w:t>
            </w:r>
            <w:r>
              <w:rPr>
                <w:rFonts w:hint="default" w:ascii="Times New Roman" w:hAnsi="Times New Roman" w:cs="Times New Roman"/>
                <w:color w:val="auto"/>
                <w:sz w:val="21"/>
                <w:szCs w:val="21"/>
              </w:rPr>
              <w:t>珍稀动植物</w:t>
            </w:r>
            <w:r>
              <w:rPr>
                <w:rFonts w:hint="default" w:ascii="Times New Roman" w:hAnsi="Times New Roman" w:cs="Times New Roman"/>
                <w:color w:val="auto"/>
                <w:sz w:val="21"/>
                <w:szCs w:val="21"/>
                <w:lang w:eastAsia="zh-CN"/>
              </w:rPr>
              <w:t>和</w:t>
            </w:r>
            <w:r>
              <w:rPr>
                <w:rFonts w:hint="default" w:ascii="Times New Roman" w:hAnsi="Times New Roman" w:cs="Times New Roman"/>
                <w:color w:val="auto"/>
                <w:sz w:val="21"/>
                <w:szCs w:val="21"/>
              </w:rPr>
              <w:t>珍稀水生动物</w:t>
            </w:r>
          </w:p>
        </w:tc>
        <w:tc>
          <w:tcPr>
            <w:tcW w:w="118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trPr>
        <w:tc>
          <w:tcPr>
            <w:tcW w:w="638" w:type="dxa"/>
            <w:vMerge w:val="restart"/>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w:t>
            </w:r>
          </w:p>
        </w:tc>
        <w:tc>
          <w:tcPr>
            <w:tcW w:w="18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刘家冲居民点</w:t>
            </w:r>
          </w:p>
        </w:tc>
        <w:tc>
          <w:tcPr>
            <w:tcW w:w="70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居住</w:t>
            </w:r>
          </w:p>
        </w:tc>
        <w:tc>
          <w:tcPr>
            <w:tcW w:w="169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东北面，2550m</w:t>
            </w:r>
          </w:p>
        </w:tc>
        <w:tc>
          <w:tcPr>
            <w:tcW w:w="12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30户左右</w:t>
            </w:r>
          </w:p>
        </w:tc>
        <w:tc>
          <w:tcPr>
            <w:tcW w:w="98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29.4998</w:t>
            </w:r>
          </w:p>
        </w:tc>
        <w:tc>
          <w:tcPr>
            <w:tcW w:w="10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113.3164</w:t>
            </w:r>
          </w:p>
        </w:tc>
        <w:tc>
          <w:tcPr>
            <w:tcW w:w="118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trPr>
        <w:tc>
          <w:tcPr>
            <w:tcW w:w="638"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8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白家冲居民点</w:t>
            </w:r>
          </w:p>
        </w:tc>
        <w:tc>
          <w:tcPr>
            <w:tcW w:w="70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居住</w:t>
            </w:r>
          </w:p>
        </w:tc>
        <w:tc>
          <w:tcPr>
            <w:tcW w:w="169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北面，2500m</w:t>
            </w:r>
          </w:p>
        </w:tc>
        <w:tc>
          <w:tcPr>
            <w:tcW w:w="12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18户左右</w:t>
            </w:r>
          </w:p>
        </w:tc>
        <w:tc>
          <w:tcPr>
            <w:tcW w:w="98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29.5013</w:t>
            </w:r>
          </w:p>
        </w:tc>
        <w:tc>
          <w:tcPr>
            <w:tcW w:w="10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113.3082</w:t>
            </w:r>
          </w:p>
        </w:tc>
        <w:tc>
          <w:tcPr>
            <w:tcW w:w="118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trPr>
        <w:tc>
          <w:tcPr>
            <w:tcW w:w="638"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8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孙李冲居民点</w:t>
            </w:r>
          </w:p>
        </w:tc>
        <w:tc>
          <w:tcPr>
            <w:tcW w:w="70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居住</w:t>
            </w:r>
          </w:p>
        </w:tc>
        <w:tc>
          <w:tcPr>
            <w:tcW w:w="169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东北面，2430m</w:t>
            </w:r>
          </w:p>
        </w:tc>
        <w:tc>
          <w:tcPr>
            <w:tcW w:w="12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30户左右</w:t>
            </w:r>
          </w:p>
        </w:tc>
        <w:tc>
          <w:tcPr>
            <w:tcW w:w="98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29.4958</w:t>
            </w:r>
          </w:p>
        </w:tc>
        <w:tc>
          <w:tcPr>
            <w:tcW w:w="10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113.2954</w:t>
            </w:r>
          </w:p>
        </w:tc>
        <w:tc>
          <w:tcPr>
            <w:tcW w:w="118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trPr>
        <w:tc>
          <w:tcPr>
            <w:tcW w:w="638"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8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青坡社区居民点</w:t>
            </w:r>
          </w:p>
        </w:tc>
        <w:tc>
          <w:tcPr>
            <w:tcW w:w="70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居住</w:t>
            </w:r>
          </w:p>
        </w:tc>
        <w:tc>
          <w:tcPr>
            <w:tcW w:w="169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西北面，1020-1700m</w:t>
            </w:r>
          </w:p>
        </w:tc>
        <w:tc>
          <w:tcPr>
            <w:tcW w:w="12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300户左右</w:t>
            </w:r>
          </w:p>
        </w:tc>
        <w:tc>
          <w:tcPr>
            <w:tcW w:w="98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29.4892</w:t>
            </w:r>
          </w:p>
        </w:tc>
        <w:tc>
          <w:tcPr>
            <w:tcW w:w="10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113.3042</w:t>
            </w:r>
          </w:p>
        </w:tc>
        <w:tc>
          <w:tcPr>
            <w:tcW w:w="118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trPr>
        <w:tc>
          <w:tcPr>
            <w:tcW w:w="638"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8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云溪镇</w:t>
            </w:r>
            <w:r>
              <w:rPr>
                <w:rFonts w:hint="default" w:ascii="Times New Roman" w:hAnsi="Times New Roman" w:cs="Times New Roman"/>
                <w:color w:val="auto"/>
                <w:sz w:val="21"/>
                <w:szCs w:val="21"/>
              </w:rPr>
              <w:t>八一村居民点</w:t>
            </w:r>
          </w:p>
        </w:tc>
        <w:tc>
          <w:tcPr>
            <w:tcW w:w="70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居住</w:t>
            </w:r>
          </w:p>
        </w:tc>
        <w:tc>
          <w:tcPr>
            <w:tcW w:w="169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西北面，2850m</w:t>
            </w:r>
          </w:p>
        </w:tc>
        <w:tc>
          <w:tcPr>
            <w:tcW w:w="12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20户左右</w:t>
            </w:r>
          </w:p>
        </w:tc>
        <w:tc>
          <w:tcPr>
            <w:tcW w:w="98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29.4943</w:t>
            </w:r>
          </w:p>
        </w:tc>
        <w:tc>
          <w:tcPr>
            <w:tcW w:w="10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113.2860</w:t>
            </w:r>
          </w:p>
        </w:tc>
        <w:tc>
          <w:tcPr>
            <w:tcW w:w="118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trPr>
        <w:tc>
          <w:tcPr>
            <w:tcW w:w="638"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8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21"/>
                <w:szCs w:val="21"/>
              </w:rPr>
              <w:t>巴陵石化岳化社区</w:t>
            </w:r>
          </w:p>
        </w:tc>
        <w:tc>
          <w:tcPr>
            <w:tcW w:w="70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居住</w:t>
            </w:r>
          </w:p>
        </w:tc>
        <w:tc>
          <w:tcPr>
            <w:tcW w:w="169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西南面，2800m</w:t>
            </w:r>
          </w:p>
        </w:tc>
        <w:tc>
          <w:tcPr>
            <w:tcW w:w="12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800户左右</w:t>
            </w:r>
          </w:p>
        </w:tc>
        <w:tc>
          <w:tcPr>
            <w:tcW w:w="98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29.4747</w:t>
            </w:r>
          </w:p>
        </w:tc>
        <w:tc>
          <w:tcPr>
            <w:tcW w:w="10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113.2789</w:t>
            </w:r>
          </w:p>
        </w:tc>
        <w:tc>
          <w:tcPr>
            <w:tcW w:w="118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trPr>
        <w:tc>
          <w:tcPr>
            <w:tcW w:w="638"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8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21"/>
                <w:szCs w:val="21"/>
              </w:rPr>
              <w:t>巴陵石化办公大楼</w:t>
            </w:r>
          </w:p>
        </w:tc>
        <w:tc>
          <w:tcPr>
            <w:tcW w:w="70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办公</w:t>
            </w:r>
          </w:p>
        </w:tc>
        <w:tc>
          <w:tcPr>
            <w:tcW w:w="169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西南面，600m</w:t>
            </w:r>
          </w:p>
        </w:tc>
        <w:tc>
          <w:tcPr>
            <w:tcW w:w="12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约500人</w:t>
            </w:r>
          </w:p>
        </w:tc>
        <w:tc>
          <w:tcPr>
            <w:tcW w:w="98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29.4712</w:t>
            </w:r>
          </w:p>
        </w:tc>
        <w:tc>
          <w:tcPr>
            <w:tcW w:w="10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113.3066</w:t>
            </w:r>
          </w:p>
        </w:tc>
        <w:tc>
          <w:tcPr>
            <w:tcW w:w="118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trPr>
        <w:tc>
          <w:tcPr>
            <w:tcW w:w="638"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8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机关住宅区</w:t>
            </w:r>
          </w:p>
        </w:tc>
        <w:tc>
          <w:tcPr>
            <w:tcW w:w="70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居住</w:t>
            </w:r>
          </w:p>
        </w:tc>
        <w:tc>
          <w:tcPr>
            <w:tcW w:w="169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西南面，1400m</w:t>
            </w:r>
          </w:p>
        </w:tc>
        <w:tc>
          <w:tcPr>
            <w:tcW w:w="12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300户左右</w:t>
            </w:r>
          </w:p>
        </w:tc>
        <w:tc>
          <w:tcPr>
            <w:tcW w:w="98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29.415</w:t>
            </w:r>
          </w:p>
        </w:tc>
        <w:tc>
          <w:tcPr>
            <w:tcW w:w="10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113.2965</w:t>
            </w:r>
          </w:p>
        </w:tc>
        <w:tc>
          <w:tcPr>
            <w:tcW w:w="118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trPr>
        <w:tc>
          <w:tcPr>
            <w:tcW w:w="638"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8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云溪镇</w:t>
            </w:r>
            <w:r>
              <w:rPr>
                <w:rFonts w:hint="default" w:ascii="Times New Roman" w:hAnsi="Times New Roman" w:cs="Times New Roman"/>
                <w:color w:val="auto"/>
                <w:sz w:val="21"/>
                <w:szCs w:val="21"/>
              </w:rPr>
              <w:t>镇龙村居民点</w:t>
            </w:r>
          </w:p>
        </w:tc>
        <w:tc>
          <w:tcPr>
            <w:tcW w:w="70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居住</w:t>
            </w:r>
          </w:p>
        </w:tc>
        <w:tc>
          <w:tcPr>
            <w:tcW w:w="169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西面，2460-2700m</w:t>
            </w:r>
          </w:p>
        </w:tc>
        <w:tc>
          <w:tcPr>
            <w:tcW w:w="12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500户左右</w:t>
            </w:r>
          </w:p>
        </w:tc>
        <w:tc>
          <w:tcPr>
            <w:tcW w:w="98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29.4708</w:t>
            </w:r>
          </w:p>
        </w:tc>
        <w:tc>
          <w:tcPr>
            <w:tcW w:w="10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113.2797</w:t>
            </w:r>
          </w:p>
        </w:tc>
        <w:tc>
          <w:tcPr>
            <w:tcW w:w="118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trPr>
        <w:tc>
          <w:tcPr>
            <w:tcW w:w="638"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8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金盆社区二区</w:t>
            </w:r>
          </w:p>
        </w:tc>
        <w:tc>
          <w:tcPr>
            <w:tcW w:w="70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居住</w:t>
            </w:r>
          </w:p>
        </w:tc>
        <w:tc>
          <w:tcPr>
            <w:tcW w:w="169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西南面，2460-2600m</w:t>
            </w:r>
          </w:p>
        </w:tc>
        <w:tc>
          <w:tcPr>
            <w:tcW w:w="12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400户左右</w:t>
            </w:r>
          </w:p>
        </w:tc>
        <w:tc>
          <w:tcPr>
            <w:tcW w:w="98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29.4627</w:t>
            </w:r>
          </w:p>
        </w:tc>
        <w:tc>
          <w:tcPr>
            <w:tcW w:w="10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113.2930</w:t>
            </w:r>
          </w:p>
        </w:tc>
        <w:tc>
          <w:tcPr>
            <w:tcW w:w="118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trPr>
        <w:tc>
          <w:tcPr>
            <w:tcW w:w="638"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8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敖家坡</w:t>
            </w:r>
            <w:r>
              <w:rPr>
                <w:rFonts w:hint="default" w:ascii="Times New Roman" w:hAnsi="Times New Roman" w:cs="Times New Roman"/>
                <w:color w:val="auto"/>
                <w:sz w:val="21"/>
                <w:szCs w:val="21"/>
              </w:rPr>
              <w:t>居民点</w:t>
            </w:r>
          </w:p>
        </w:tc>
        <w:tc>
          <w:tcPr>
            <w:tcW w:w="70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居住</w:t>
            </w:r>
          </w:p>
        </w:tc>
        <w:tc>
          <w:tcPr>
            <w:tcW w:w="169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南面，2750m</w:t>
            </w:r>
          </w:p>
        </w:tc>
        <w:tc>
          <w:tcPr>
            <w:tcW w:w="12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22户左右</w:t>
            </w:r>
          </w:p>
        </w:tc>
        <w:tc>
          <w:tcPr>
            <w:tcW w:w="98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29.4574</w:t>
            </w:r>
          </w:p>
        </w:tc>
        <w:tc>
          <w:tcPr>
            <w:tcW w:w="10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113.3109</w:t>
            </w:r>
          </w:p>
        </w:tc>
        <w:tc>
          <w:tcPr>
            <w:tcW w:w="118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trPr>
        <w:tc>
          <w:tcPr>
            <w:tcW w:w="638"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8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象形湾居民点</w:t>
            </w:r>
          </w:p>
        </w:tc>
        <w:tc>
          <w:tcPr>
            <w:tcW w:w="70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居住</w:t>
            </w:r>
          </w:p>
        </w:tc>
        <w:tc>
          <w:tcPr>
            <w:tcW w:w="169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东南面，2018m</w:t>
            </w:r>
          </w:p>
        </w:tc>
        <w:tc>
          <w:tcPr>
            <w:tcW w:w="12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15户左右</w:t>
            </w:r>
          </w:p>
        </w:tc>
        <w:tc>
          <w:tcPr>
            <w:tcW w:w="98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29.4698</w:t>
            </w:r>
          </w:p>
        </w:tc>
        <w:tc>
          <w:tcPr>
            <w:tcW w:w="10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113.3361</w:t>
            </w:r>
          </w:p>
        </w:tc>
        <w:tc>
          <w:tcPr>
            <w:tcW w:w="118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638"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18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云溪镇</w:t>
            </w:r>
            <w:r>
              <w:rPr>
                <w:rFonts w:hint="default" w:ascii="Times New Roman" w:hAnsi="Times New Roman" w:cs="Times New Roman"/>
                <w:color w:val="auto"/>
                <w:sz w:val="21"/>
                <w:szCs w:val="21"/>
              </w:rPr>
              <w:t>双花村居民点</w:t>
            </w:r>
          </w:p>
        </w:tc>
        <w:tc>
          <w:tcPr>
            <w:tcW w:w="70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居住</w:t>
            </w:r>
          </w:p>
        </w:tc>
        <w:tc>
          <w:tcPr>
            <w:tcW w:w="169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东南面，2700m</w:t>
            </w:r>
          </w:p>
        </w:tc>
        <w:tc>
          <w:tcPr>
            <w:tcW w:w="12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30户左右</w:t>
            </w:r>
          </w:p>
        </w:tc>
        <w:tc>
          <w:tcPr>
            <w:tcW w:w="98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29.4706</w:t>
            </w:r>
          </w:p>
        </w:tc>
        <w:tc>
          <w:tcPr>
            <w:tcW w:w="10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113.3355</w:t>
            </w:r>
          </w:p>
        </w:tc>
        <w:tc>
          <w:tcPr>
            <w:tcW w:w="118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p>
        </w:tc>
      </w:tr>
    </w:tbl>
    <w:p>
      <w:pPr>
        <w:spacing w:line="360" w:lineRule="auto"/>
        <w:ind w:right="-332" w:rightChars="-158"/>
        <w:rPr>
          <w:rFonts w:hint="default" w:ascii="Times New Roman" w:hAnsi="Times New Roman" w:cs="Times New Roman"/>
          <w:b/>
          <w:color w:val="auto"/>
          <w:sz w:val="28"/>
          <w:szCs w:val="32"/>
        </w:rPr>
      </w:pPr>
      <w:bookmarkStart w:id="225" w:name="_Toc15797"/>
      <w:bookmarkStart w:id="226" w:name="_Toc8450"/>
      <w:bookmarkStart w:id="227" w:name="_Toc25693"/>
      <w:bookmarkStart w:id="228" w:name="_Toc25066"/>
      <w:bookmarkStart w:id="229" w:name="_Toc16044"/>
      <w:bookmarkStart w:id="230" w:name="_Toc17529"/>
      <w:bookmarkStart w:id="231" w:name="_Toc30001"/>
      <w:bookmarkStart w:id="232" w:name="_Toc14375"/>
    </w:p>
    <w:p>
      <w:pPr>
        <w:spacing w:line="360" w:lineRule="auto"/>
        <w:ind w:right="-332" w:rightChars="-158"/>
        <w:rPr>
          <w:rFonts w:hint="default" w:ascii="Times New Roman" w:hAnsi="Times New Roman" w:cs="Times New Roman"/>
          <w:b/>
          <w:bCs/>
          <w:color w:val="auto"/>
          <w:sz w:val="28"/>
          <w:szCs w:val="28"/>
        </w:rPr>
      </w:pPr>
      <w:r>
        <w:rPr>
          <w:rFonts w:hint="default" w:ascii="Times New Roman" w:hAnsi="Times New Roman" w:cs="Times New Roman"/>
          <w:color w:val="auto"/>
        </w:rPr>
        <w:drawing>
          <wp:anchor distT="0" distB="0" distL="0" distR="0" simplePos="0" relativeHeight="251675648" behindDoc="1" locked="0" layoutInCell="1" allowOverlap="1">
            <wp:simplePos x="0" y="0"/>
            <wp:positionH relativeFrom="column">
              <wp:posOffset>193675</wp:posOffset>
            </wp:positionH>
            <wp:positionV relativeFrom="paragraph">
              <wp:posOffset>256540</wp:posOffset>
            </wp:positionV>
            <wp:extent cx="5356860" cy="4224655"/>
            <wp:effectExtent l="0" t="0" r="15240" b="4445"/>
            <wp:wrapTight wrapText="bothSides">
              <wp:wrapPolygon>
                <wp:start x="0" y="0"/>
                <wp:lineTo x="0" y="21525"/>
                <wp:lineTo x="21508" y="21525"/>
                <wp:lineTo x="21508" y="0"/>
                <wp:lineTo x="0" y="0"/>
              </wp:wrapPolygon>
            </wp:wrapTight>
            <wp:docPr id="14" name="图片 149" descr="C:\Users\Administrator\Desktop\图片2.jp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9" descr="C:\Users\Administrator\Desktop\图片2.jpg图片2"/>
                    <pic:cNvPicPr>
                      <a:picLocks noChangeAspect="1" noChangeArrowheads="1"/>
                    </pic:cNvPicPr>
                  </pic:nvPicPr>
                  <pic:blipFill>
                    <a:blip r:embed="rId30"/>
                    <a:srcRect/>
                    <a:stretch>
                      <a:fillRect/>
                    </a:stretch>
                  </pic:blipFill>
                  <pic:spPr>
                    <a:xfrm>
                      <a:off x="0" y="0"/>
                      <a:ext cx="5356860" cy="4224655"/>
                    </a:xfrm>
                    <a:prstGeom prst="rect">
                      <a:avLst/>
                    </a:prstGeom>
                    <a:noFill/>
                    <a:ln w="9525">
                      <a:noFill/>
                      <a:miter lim="800000"/>
                      <a:headEnd/>
                      <a:tailEnd/>
                    </a:ln>
                  </pic:spPr>
                </pic:pic>
              </a:graphicData>
            </a:graphic>
          </wp:anchor>
        </w:drawing>
      </w:r>
      <w:r>
        <w:rPr>
          <w:rFonts w:hint="default" w:ascii="Times New Roman" w:hAnsi="Times New Roman" w:cs="Times New Roman"/>
          <w:b/>
          <w:color w:val="auto"/>
          <w:sz w:val="28"/>
          <w:szCs w:val="32"/>
        </w:rPr>
        <w:t>二、</w:t>
      </w:r>
      <w:r>
        <w:rPr>
          <w:rFonts w:hint="default" w:ascii="Times New Roman" w:hAnsi="Times New Roman" w:cs="Times New Roman"/>
          <w:b/>
          <w:bCs/>
          <w:color w:val="auto"/>
          <w:sz w:val="28"/>
          <w:szCs w:val="28"/>
        </w:rPr>
        <w:t>环境保护目标及区域环境状况</w:t>
      </w:r>
    </w:p>
    <w:p>
      <w:pPr>
        <w:pStyle w:val="39"/>
        <w:bidi w:val="0"/>
        <w:ind w:left="0" w:leftChars="0" w:firstLine="0" w:firstLineChars="0"/>
        <w:jc w:val="center"/>
        <w:rPr>
          <w:rFonts w:hint="default" w:ascii="Times New Roman" w:hAnsi="Times New Roman" w:cs="Times New Roman"/>
          <w:color w:val="auto"/>
        </w:rPr>
      </w:pPr>
    </w:p>
    <w:bookmarkEnd w:id="225"/>
    <w:bookmarkEnd w:id="226"/>
    <w:bookmarkEnd w:id="227"/>
    <w:bookmarkEnd w:id="228"/>
    <w:bookmarkEnd w:id="229"/>
    <w:bookmarkEnd w:id="230"/>
    <w:bookmarkEnd w:id="231"/>
    <w:bookmarkEnd w:id="232"/>
    <w:p>
      <w:pPr>
        <w:pStyle w:val="39"/>
        <w:bidi w:val="0"/>
        <w:ind w:left="0" w:leftChars="0" w:firstLine="0" w:firstLineChars="0"/>
        <w:jc w:val="center"/>
        <w:rPr>
          <w:rFonts w:hint="default" w:ascii="Times New Roman" w:hAnsi="Times New Roman" w:cs="Times New Roman"/>
          <w:color w:val="auto"/>
        </w:rPr>
      </w:pPr>
    </w:p>
    <w:p>
      <w:pPr>
        <w:pStyle w:val="39"/>
        <w:bidi w:val="0"/>
        <w:jc w:val="center"/>
        <w:rPr>
          <w:rFonts w:hint="default" w:ascii="Times New Roman" w:hAnsi="Times New Roman" w:cs="Times New Roman"/>
          <w:b/>
          <w:bCs/>
          <w:color w:val="auto"/>
          <w:sz w:val="21"/>
          <w:szCs w:val="21"/>
        </w:rPr>
      </w:pPr>
    </w:p>
    <w:p>
      <w:pPr>
        <w:pStyle w:val="39"/>
        <w:bidi w:val="0"/>
        <w:jc w:val="center"/>
        <w:rPr>
          <w:rFonts w:hint="default" w:ascii="Times New Roman" w:hAnsi="Times New Roman" w:cs="Times New Roman"/>
          <w:b/>
          <w:bCs/>
          <w:color w:val="auto"/>
          <w:sz w:val="21"/>
          <w:szCs w:val="21"/>
        </w:rPr>
      </w:pPr>
    </w:p>
    <w:p>
      <w:pPr>
        <w:pStyle w:val="39"/>
        <w:bidi w:val="0"/>
        <w:jc w:val="center"/>
        <w:rPr>
          <w:rFonts w:hint="default" w:ascii="Times New Roman" w:hAnsi="Times New Roman" w:cs="Times New Roman"/>
          <w:b/>
          <w:bCs/>
          <w:color w:val="auto"/>
          <w:sz w:val="21"/>
          <w:szCs w:val="21"/>
        </w:rPr>
      </w:pPr>
    </w:p>
    <w:p>
      <w:pPr>
        <w:pStyle w:val="39"/>
        <w:bidi w:val="0"/>
        <w:jc w:val="center"/>
        <w:rPr>
          <w:rFonts w:hint="default" w:ascii="Times New Roman" w:hAnsi="Times New Roman" w:cs="Times New Roman"/>
          <w:b/>
          <w:bCs/>
          <w:color w:val="auto"/>
          <w:sz w:val="21"/>
          <w:szCs w:val="21"/>
        </w:rPr>
      </w:pPr>
    </w:p>
    <w:p>
      <w:pPr>
        <w:pStyle w:val="39"/>
        <w:bidi w:val="0"/>
        <w:jc w:val="center"/>
        <w:rPr>
          <w:rFonts w:hint="default" w:ascii="Times New Roman" w:hAnsi="Times New Roman" w:cs="Times New Roman"/>
          <w:b/>
          <w:bCs/>
          <w:color w:val="auto"/>
          <w:sz w:val="21"/>
          <w:szCs w:val="21"/>
        </w:rPr>
      </w:pPr>
    </w:p>
    <w:p>
      <w:pPr>
        <w:pStyle w:val="39"/>
        <w:bidi w:val="0"/>
        <w:jc w:val="center"/>
        <w:rPr>
          <w:rFonts w:hint="default" w:ascii="Times New Roman" w:hAnsi="Times New Roman" w:cs="Times New Roman"/>
          <w:b/>
          <w:bCs/>
          <w:color w:val="auto"/>
          <w:sz w:val="21"/>
          <w:szCs w:val="21"/>
        </w:rPr>
      </w:pPr>
    </w:p>
    <w:p>
      <w:pPr>
        <w:pStyle w:val="39"/>
        <w:bidi w:val="0"/>
        <w:jc w:val="center"/>
        <w:rPr>
          <w:rFonts w:hint="default" w:ascii="Times New Roman" w:hAnsi="Times New Roman" w:cs="Times New Roman"/>
          <w:b/>
          <w:bCs/>
          <w:color w:val="auto"/>
          <w:sz w:val="21"/>
          <w:szCs w:val="21"/>
        </w:rPr>
      </w:pPr>
    </w:p>
    <w:p>
      <w:pPr>
        <w:pStyle w:val="39"/>
        <w:bidi w:val="0"/>
        <w:jc w:val="center"/>
        <w:rPr>
          <w:rFonts w:hint="default" w:ascii="Times New Roman" w:hAnsi="Times New Roman" w:cs="Times New Roman"/>
          <w:b/>
          <w:bCs/>
          <w:color w:val="auto"/>
          <w:sz w:val="21"/>
          <w:szCs w:val="21"/>
        </w:rPr>
      </w:pPr>
    </w:p>
    <w:p>
      <w:pPr>
        <w:pStyle w:val="39"/>
        <w:bidi w:val="0"/>
        <w:jc w:val="center"/>
        <w:rPr>
          <w:rFonts w:hint="default" w:ascii="Times New Roman" w:hAnsi="Times New Roman" w:cs="Times New Roman"/>
          <w:b/>
          <w:bCs/>
          <w:color w:val="auto"/>
          <w:sz w:val="21"/>
          <w:szCs w:val="21"/>
        </w:rPr>
      </w:pPr>
    </w:p>
    <w:p>
      <w:pPr>
        <w:pStyle w:val="39"/>
        <w:bidi w:val="0"/>
        <w:jc w:val="center"/>
        <w:rPr>
          <w:rFonts w:hint="default" w:ascii="Times New Roman" w:hAnsi="Times New Roman" w:cs="Times New Roman"/>
          <w:b/>
          <w:bCs/>
          <w:color w:val="auto"/>
          <w:sz w:val="21"/>
          <w:szCs w:val="21"/>
        </w:rPr>
      </w:pPr>
    </w:p>
    <w:p>
      <w:pPr>
        <w:pStyle w:val="39"/>
        <w:bidi w:val="0"/>
        <w:jc w:val="center"/>
        <w:rPr>
          <w:rFonts w:hint="default" w:ascii="Times New Roman" w:hAnsi="Times New Roman" w:cs="Times New Roman"/>
          <w:b/>
          <w:bCs/>
          <w:color w:val="auto"/>
          <w:sz w:val="21"/>
          <w:szCs w:val="21"/>
        </w:rPr>
      </w:pPr>
    </w:p>
    <w:p>
      <w:pPr>
        <w:pStyle w:val="39"/>
        <w:bidi w:val="0"/>
        <w:jc w:val="center"/>
        <w:rPr>
          <w:rFonts w:hint="default" w:ascii="Times New Roman" w:hAnsi="Times New Roman" w:cs="Times New Roman"/>
          <w:b/>
          <w:bCs/>
          <w:color w:val="auto"/>
          <w:sz w:val="21"/>
          <w:szCs w:val="21"/>
        </w:rPr>
      </w:pPr>
    </w:p>
    <w:p>
      <w:pPr>
        <w:pStyle w:val="39"/>
        <w:bidi w:val="0"/>
        <w:jc w:val="center"/>
        <w:rPr>
          <w:rFonts w:hint="default" w:ascii="Times New Roman" w:hAnsi="Times New Roman" w:cs="Times New Roman"/>
          <w:b/>
          <w:bCs/>
          <w:color w:val="auto"/>
          <w:sz w:val="21"/>
          <w:szCs w:val="21"/>
        </w:rPr>
      </w:pPr>
    </w:p>
    <w:p>
      <w:pPr>
        <w:pStyle w:val="39"/>
        <w:bidi w:val="0"/>
        <w:jc w:val="center"/>
        <w:rPr>
          <w:rFonts w:hint="default" w:ascii="Times New Roman" w:hAnsi="Times New Roman" w:cs="Times New Roman"/>
          <w:b/>
          <w:bCs/>
          <w:color w:val="auto"/>
          <w:sz w:val="21"/>
          <w:szCs w:val="21"/>
        </w:rPr>
      </w:pPr>
    </w:p>
    <w:p>
      <w:pPr>
        <w:pStyle w:val="39"/>
        <w:bidi w:val="0"/>
        <w:jc w:val="center"/>
        <w:rPr>
          <w:rFonts w:hint="default" w:ascii="Times New Roman" w:hAnsi="Times New Roman" w:cs="Times New Roman"/>
          <w:b/>
          <w:bCs/>
          <w:color w:val="auto"/>
          <w:sz w:val="21"/>
          <w:szCs w:val="21"/>
        </w:rPr>
      </w:pPr>
    </w:p>
    <w:p>
      <w:pPr>
        <w:pStyle w:val="39"/>
        <w:bidi w:val="0"/>
        <w:jc w:val="center"/>
        <w:rPr>
          <w:rFonts w:hint="default" w:ascii="Times New Roman" w:hAnsi="Times New Roman" w:cs="Times New Roman"/>
          <w:b/>
          <w:bCs/>
          <w:color w:val="auto"/>
          <w:sz w:val="21"/>
          <w:szCs w:val="21"/>
        </w:rPr>
      </w:pPr>
    </w:p>
    <w:p>
      <w:pPr>
        <w:pStyle w:val="39"/>
        <w:bidi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图</w:t>
      </w:r>
      <w:r>
        <w:rPr>
          <w:rFonts w:hint="default" w:ascii="Times New Roman" w:hAnsi="Times New Roman" w:cs="Times New Roman"/>
          <w:b/>
          <w:bCs/>
          <w:color w:val="auto"/>
          <w:sz w:val="21"/>
          <w:szCs w:val="21"/>
          <w:lang w:val="en-US" w:eastAsia="zh-CN"/>
        </w:rPr>
        <w:t>2-1</w:t>
      </w:r>
      <w:r>
        <w:rPr>
          <w:rFonts w:hint="default" w:ascii="Times New Roman" w:hAnsi="Times New Roman" w:cs="Times New Roman"/>
          <w:b/>
          <w:bCs/>
          <w:color w:val="auto"/>
          <w:sz w:val="21"/>
          <w:szCs w:val="21"/>
        </w:rPr>
        <w:t xml:space="preserve">  项目周边环境保护目标图</w:t>
      </w:r>
    </w:p>
    <w:p>
      <w:pPr>
        <w:pStyle w:val="39"/>
        <w:bidi w:val="0"/>
        <w:rPr>
          <w:rFonts w:hint="default" w:ascii="Times New Roman" w:hAnsi="Times New Roman" w:cs="Times New Roman"/>
          <w:color w:val="auto"/>
        </w:rPr>
      </w:pPr>
      <w:r>
        <w:rPr>
          <w:rFonts w:hint="default" w:ascii="Times New Roman" w:hAnsi="Times New Roman" w:cs="Times New Roman"/>
          <w:color w:val="auto"/>
        </w:rPr>
        <w:br w:type="page"/>
      </w:r>
    </w:p>
    <w:p>
      <w:pPr>
        <w:pStyle w:val="3"/>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sz w:val="44"/>
          <w:szCs w:val="44"/>
          <w:highlight w:val="none"/>
        </w:rPr>
      </w:pPr>
      <w:bookmarkStart w:id="233" w:name="_Toc32597"/>
      <w:bookmarkStart w:id="234" w:name="_Toc25282"/>
      <w:r>
        <w:rPr>
          <w:rFonts w:hint="default" w:ascii="Times New Roman" w:hAnsi="Times New Roman" w:cs="Times New Roman"/>
          <w:color w:val="auto"/>
          <w:sz w:val="44"/>
          <w:szCs w:val="44"/>
          <w:highlight w:val="none"/>
        </w:rPr>
        <w:t>项目基本情况</w:t>
      </w:r>
      <w:bookmarkEnd w:id="233"/>
      <w:bookmarkEnd w:id="234"/>
    </w:p>
    <w:p>
      <w:pPr>
        <w:pStyle w:val="4"/>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highlight w:val="none"/>
        </w:rPr>
      </w:pPr>
      <w:bookmarkStart w:id="235" w:name="_Toc22430"/>
      <w:bookmarkStart w:id="236" w:name="_Toc12021"/>
      <w:r>
        <w:rPr>
          <w:rFonts w:hint="default" w:ascii="Times New Roman" w:hAnsi="Times New Roman" w:cs="Times New Roman"/>
          <w:color w:val="auto"/>
          <w:highlight w:val="none"/>
        </w:rPr>
        <w:t>现有工程概况</w:t>
      </w:r>
      <w:bookmarkEnd w:id="235"/>
      <w:bookmarkEnd w:id="236"/>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highlight w:val="none"/>
        </w:rPr>
      </w:pPr>
      <w:bookmarkStart w:id="237" w:name="_Toc1668"/>
      <w:r>
        <w:rPr>
          <w:rFonts w:hint="default" w:ascii="Times New Roman" w:hAnsi="Times New Roman" w:cs="Times New Roman"/>
          <w:color w:val="auto"/>
          <w:highlight w:val="none"/>
        </w:rPr>
        <w:t>现有工程基本情况</w:t>
      </w:r>
      <w:bookmarkEnd w:id="237"/>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highlight w:val="red"/>
          <w:lang w:eastAsia="zh-CN"/>
        </w:rPr>
      </w:pPr>
      <w:r>
        <w:rPr>
          <w:rFonts w:hint="default" w:ascii="Times New Roman" w:hAnsi="Times New Roman" w:cs="Times New Roman"/>
          <w:color w:val="auto"/>
        </w:rPr>
        <w:t>岳阳鑫达实业有限公司成立于2001年，由中国石化集团资产经营管理公司</w:t>
      </w:r>
      <w:r>
        <w:rPr>
          <w:rFonts w:hint="default" w:ascii="Times New Roman" w:hAnsi="Times New Roman" w:cs="Times New Roman"/>
          <w:color w:val="auto"/>
          <w:lang w:eastAsia="zh-CN"/>
        </w:rPr>
        <w:t>巴陵石化公司</w:t>
      </w:r>
      <w:r>
        <w:rPr>
          <w:rFonts w:hint="default" w:ascii="Times New Roman" w:hAnsi="Times New Roman" w:cs="Times New Roman"/>
          <w:color w:val="auto"/>
        </w:rPr>
        <w:t>（简称</w:t>
      </w:r>
      <w:r>
        <w:rPr>
          <w:rFonts w:hint="default" w:ascii="Times New Roman" w:hAnsi="Times New Roman" w:cs="Times New Roman"/>
          <w:color w:val="auto"/>
          <w:lang w:eastAsia="zh-CN"/>
        </w:rPr>
        <w:t>巴陵石化公司</w:t>
      </w:r>
      <w:r>
        <w:rPr>
          <w:rFonts w:hint="default" w:ascii="Times New Roman" w:hAnsi="Times New Roman" w:cs="Times New Roman"/>
          <w:color w:val="auto"/>
        </w:rPr>
        <w:t>）改制后组建而来，位于中国石化集团资产经营管理公司</w:t>
      </w:r>
      <w:r>
        <w:rPr>
          <w:rFonts w:hint="default" w:ascii="Times New Roman" w:hAnsi="Times New Roman" w:cs="Times New Roman"/>
          <w:color w:val="auto"/>
          <w:lang w:eastAsia="zh-CN"/>
        </w:rPr>
        <w:t>巴陵石化公司</w:t>
      </w:r>
      <w:r>
        <w:rPr>
          <w:rFonts w:hint="default" w:ascii="Times New Roman" w:hAnsi="Times New Roman" w:cs="Times New Roman"/>
          <w:color w:val="auto"/>
        </w:rPr>
        <w:t>厂区内，中心坐标北纬29.479529°，东经113.309017°。公司</w:t>
      </w:r>
      <w:r>
        <w:rPr>
          <w:rFonts w:hint="default" w:ascii="Times New Roman" w:hAnsi="Times New Roman" w:cs="Times New Roman"/>
          <w:color w:val="auto"/>
          <w:lang w:eastAsia="zh-CN"/>
        </w:rPr>
        <w:t>于</w:t>
      </w:r>
      <w:r>
        <w:rPr>
          <w:rFonts w:hint="default" w:ascii="Times New Roman" w:hAnsi="Times New Roman" w:cs="Times New Roman"/>
          <w:color w:val="auto"/>
        </w:rPr>
        <w:t>2018年8月委托广西博环环境咨询服务有限公司编制完成了《岳阳鑫达实业有限公司年产抗氧化剂TNP1000吨、氯化锂400吨、催化剂二氯二茂钛12吨项目环境影</w:t>
      </w:r>
      <w:r>
        <w:rPr>
          <w:rFonts w:hint="default" w:ascii="Times New Roman" w:hAnsi="Times New Roman" w:cs="Times New Roman"/>
          <w:color w:val="auto"/>
          <w:highlight w:val="none"/>
        </w:rPr>
        <w:t>响报告书》，岳阳市环境保护局于2018年9月5日对该项目环评进行了批复（详见附件</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w:t>
      </w:r>
      <w:r>
        <w:rPr>
          <w:rFonts w:hint="default" w:ascii="Times New Roman" w:hAnsi="Times New Roman" w:cs="Times New Roman"/>
          <w:color w:val="auto"/>
          <w:highlight w:val="none"/>
          <w:lang w:val="en-US" w:eastAsia="zh-CN"/>
        </w:rPr>
        <w:t>19</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10日</w:t>
      </w:r>
      <w:r>
        <w:rPr>
          <w:rFonts w:hint="default" w:ascii="Times New Roman" w:hAnsi="Times New Roman" w:cs="Times New Roman"/>
          <w:color w:val="auto"/>
          <w:highlight w:val="none"/>
        </w:rPr>
        <w:t>岳阳市环境</w:t>
      </w:r>
      <w:r>
        <w:rPr>
          <w:rFonts w:hint="default" w:ascii="Times New Roman" w:hAnsi="Times New Roman" w:cs="Times New Roman"/>
          <w:color w:val="auto"/>
          <w:highlight w:val="none"/>
          <w:lang w:eastAsia="zh-CN"/>
        </w:rPr>
        <w:t>监察支队</w:t>
      </w:r>
      <w:r>
        <w:rPr>
          <w:rFonts w:hint="default" w:ascii="Times New Roman" w:hAnsi="Times New Roman" w:cs="Times New Roman"/>
          <w:color w:val="auto"/>
          <w:highlight w:val="none"/>
        </w:rPr>
        <w:t>对岳阳鑫达实业有限公司年产抗氧化剂TNP1000吨、氯化锂400吨、催化剂二氯二茂钛12吨项目进行了竣工环保验收（详见附件</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238" w:name="_Toc3409"/>
      <w:r>
        <w:rPr>
          <w:rFonts w:hint="default" w:ascii="Times New Roman" w:hAnsi="Times New Roman" w:cs="Times New Roman"/>
          <w:color w:val="auto"/>
        </w:rPr>
        <w:t>现有工程项目组成</w:t>
      </w:r>
      <w:bookmarkEnd w:id="238"/>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lang w:eastAsia="zh-CN"/>
        </w:rPr>
        <w:t>现有工程</w:t>
      </w:r>
      <w:r>
        <w:rPr>
          <w:rFonts w:hint="default" w:ascii="Times New Roman" w:hAnsi="Times New Roman" w:cs="Times New Roman"/>
          <w:color w:val="auto"/>
        </w:rPr>
        <w:t>TNP、氯化锂、二氯二茂钛项目主要由主体工程（抗氧化剂TNP、氯化锂、催化剂二氯二茂钛生产装置）、辅助工程、公用工程、储运工程以及环保工程组成，主要工程内容详见</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REF _Ref19408 \h </w:instrText>
      </w:r>
      <w:r>
        <w:rPr>
          <w:rFonts w:hint="default" w:ascii="Times New Roman" w:hAnsi="Times New Roman" w:cs="Times New Roman"/>
          <w:color w:val="auto"/>
        </w:rPr>
        <w:fldChar w:fldCharType="separate"/>
      </w: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bookmarkStart w:id="239" w:name="_Ref19408"/>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bookmarkEnd w:id="239"/>
      <w:r>
        <w:rPr>
          <w:rFonts w:hint="default" w:ascii="Times New Roman" w:hAnsi="Times New Roman" w:cs="Times New Roman"/>
          <w:color w:val="auto"/>
        </w:rPr>
        <w:t>现有工程主要工程内容表</w:t>
      </w:r>
    </w:p>
    <w:tbl>
      <w:tblPr>
        <w:tblStyle w:val="24"/>
        <w:tblW w:w="92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057"/>
        <w:gridCol w:w="908"/>
        <w:gridCol w:w="63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94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类别</w:t>
            </w:r>
          </w:p>
        </w:tc>
        <w:tc>
          <w:tcPr>
            <w:tcW w:w="1965"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632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主要工程内容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946"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主体工程</w:t>
            </w:r>
          </w:p>
        </w:tc>
        <w:tc>
          <w:tcPr>
            <w:tcW w:w="1965"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氯化锂生产车间</w:t>
            </w:r>
          </w:p>
        </w:tc>
        <w:tc>
          <w:tcPr>
            <w:tcW w:w="632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vertAlign w:val="superscript"/>
              </w:rPr>
            </w:pPr>
            <w:r>
              <w:rPr>
                <w:rFonts w:hint="default" w:ascii="Times New Roman" w:hAnsi="Times New Roman" w:cs="Times New Roman"/>
                <w:color w:val="auto"/>
                <w:sz w:val="21"/>
                <w:szCs w:val="21"/>
              </w:rPr>
              <w:t>三层砖混结构，占地面积569m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，建筑面积1707m</w:t>
            </w:r>
            <w:r>
              <w:rPr>
                <w:rFonts w:hint="default" w:ascii="Times New Roman" w:hAnsi="Times New Roman" w:cs="Times New Roman"/>
                <w:color w:val="auto"/>
                <w:sz w:val="21"/>
                <w:szCs w:val="21"/>
                <w:vertAlign w:val="superscript"/>
              </w:rPr>
              <w:t>2</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（主要包括一套氯化锂生产设备）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946"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965"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TNP生产车间</w:t>
            </w:r>
          </w:p>
        </w:tc>
        <w:tc>
          <w:tcPr>
            <w:tcW w:w="632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单层砖混结构，占地面积43m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，建筑面积约43m</w:t>
            </w:r>
            <w:r>
              <w:rPr>
                <w:rFonts w:hint="default" w:ascii="Times New Roman" w:hAnsi="Times New Roman" w:cs="Times New Roman"/>
                <w:color w:val="auto"/>
                <w:sz w:val="21"/>
                <w:szCs w:val="21"/>
                <w:vertAlign w:val="superscript"/>
              </w:rPr>
              <w:t>2</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（主要包括一套TNP生产设备）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946"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965"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二氯二茂钛</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生产车间</w:t>
            </w:r>
          </w:p>
        </w:tc>
        <w:tc>
          <w:tcPr>
            <w:tcW w:w="632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1/3层砖混结构，占地面积162m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，建筑面积324m</w:t>
            </w:r>
            <w:r>
              <w:rPr>
                <w:rFonts w:hint="default" w:ascii="Times New Roman" w:hAnsi="Times New Roman" w:cs="Times New Roman"/>
                <w:color w:val="auto"/>
                <w:sz w:val="21"/>
                <w:szCs w:val="21"/>
                <w:vertAlign w:val="superscript"/>
              </w:rPr>
              <w:t>2</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（一套二氯二茂钛生产设备）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946"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辅助工程</w:t>
            </w:r>
          </w:p>
        </w:tc>
        <w:tc>
          <w:tcPr>
            <w:tcW w:w="1965"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办公楼</w:t>
            </w:r>
          </w:p>
        </w:tc>
        <w:tc>
          <w:tcPr>
            <w:tcW w:w="632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二层砖混结构，占地面积319m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，建筑面积624m</w:t>
            </w:r>
            <w:r>
              <w:rPr>
                <w:rFonts w:hint="default" w:ascii="Times New Roman" w:hAnsi="Times New Roman" w:cs="Times New Roman"/>
                <w:color w:val="auto"/>
                <w:sz w:val="21"/>
                <w:szCs w:val="21"/>
                <w:vertAlign w:val="superscript"/>
              </w:rPr>
              <w:t>2</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主要包括办公室、接待室、档案室、生产科发（安环）部、市场部、卫生间等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946"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965"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辅助楼</w:t>
            </w:r>
          </w:p>
        </w:tc>
        <w:tc>
          <w:tcPr>
            <w:tcW w:w="632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单层砖混结构，占地面积224m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，建筑面积224m</w:t>
            </w:r>
            <w:r>
              <w:rPr>
                <w:rFonts w:hint="default" w:ascii="Times New Roman" w:hAnsi="Times New Roman" w:cs="Times New Roman"/>
                <w:color w:val="auto"/>
                <w:sz w:val="21"/>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946"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965"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财务楼</w:t>
            </w:r>
          </w:p>
        </w:tc>
        <w:tc>
          <w:tcPr>
            <w:tcW w:w="632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双层砖混结构，占地面积71m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，建筑面积142m</w:t>
            </w:r>
            <w:r>
              <w:rPr>
                <w:rFonts w:hint="default" w:ascii="Times New Roman" w:hAnsi="Times New Roman" w:cs="Times New Roman"/>
                <w:color w:val="auto"/>
                <w:sz w:val="21"/>
                <w:szCs w:val="21"/>
                <w:vertAlign w:val="superscript"/>
              </w:rPr>
              <w:t>2</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主要为厂区财务室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946"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公用工程</w:t>
            </w:r>
          </w:p>
        </w:tc>
        <w:tc>
          <w:tcPr>
            <w:tcW w:w="1965"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供水</w:t>
            </w:r>
          </w:p>
        </w:tc>
        <w:tc>
          <w:tcPr>
            <w:tcW w:w="632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项目生产、生活及消防用水依托巴陵分公司供给，厂区内铺设完善的供水管网系统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946"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965"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排水</w:t>
            </w:r>
          </w:p>
        </w:tc>
        <w:tc>
          <w:tcPr>
            <w:tcW w:w="632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采用雨污分流排水方式，后期雨水排入厂区明沟；项目废水经厂区暗管收集后排入巴陵石化污水处理厂集中处理达标后排入长江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946"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965"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供电</w:t>
            </w:r>
          </w:p>
        </w:tc>
        <w:tc>
          <w:tcPr>
            <w:tcW w:w="6328" w:type="dxa"/>
            <w:tcBorders>
              <w:right w:val="single" w:color="auto"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依托园区变电站，生产区内设配电房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946"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965"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供热</w:t>
            </w:r>
          </w:p>
        </w:tc>
        <w:tc>
          <w:tcPr>
            <w:tcW w:w="632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蒸汽由巴陵分公司热电事业部提供，能满足需求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946"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965"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氮气</w:t>
            </w:r>
          </w:p>
        </w:tc>
        <w:tc>
          <w:tcPr>
            <w:tcW w:w="632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厂区内部设有完善氮气供气管道，氮气由</w:t>
            </w:r>
            <w:r>
              <w:rPr>
                <w:rFonts w:hint="default" w:ascii="Times New Roman" w:hAnsi="Times New Roman" w:cs="Times New Roman"/>
                <w:color w:val="auto"/>
                <w:sz w:val="21"/>
                <w:szCs w:val="21"/>
                <w:lang w:eastAsia="zh-CN"/>
              </w:rPr>
              <w:t>巴陵石化公司</w:t>
            </w:r>
            <w:r>
              <w:rPr>
                <w:rFonts w:hint="default" w:ascii="Times New Roman" w:hAnsi="Times New Roman" w:cs="Times New Roman"/>
                <w:color w:val="auto"/>
                <w:sz w:val="21"/>
                <w:szCs w:val="21"/>
              </w:rPr>
              <w:t>提供，能够满足需求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946"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储运工程</w:t>
            </w:r>
          </w:p>
        </w:tc>
        <w:tc>
          <w:tcPr>
            <w:tcW w:w="1057"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运输</w:t>
            </w:r>
          </w:p>
        </w:tc>
        <w:tc>
          <w:tcPr>
            <w:tcW w:w="90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厂外</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运输</w:t>
            </w:r>
          </w:p>
        </w:tc>
        <w:tc>
          <w:tcPr>
            <w:tcW w:w="632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生产原料密封桶装，由原料提供单位汽车运输，运输液体原料的专用保温槽车由液体原料供应单位供应或租赁，产品运出采用汽车外运，汽车运输利用社会运力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946"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057"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90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厂内</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运输</w:t>
            </w:r>
          </w:p>
        </w:tc>
        <w:tc>
          <w:tcPr>
            <w:tcW w:w="632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原材料货车通过物流出入口进入厂区内主要道路到达各个车间和仓库，各个车间和仓库间运输通过电瓶叉车运输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946"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965"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储存</w:t>
            </w:r>
          </w:p>
        </w:tc>
        <w:tc>
          <w:tcPr>
            <w:tcW w:w="632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项目三种产品拥有各自独立的原料仓库和成品仓库，全部为砖混结构，用于原料与成品的储存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946"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环保工程</w:t>
            </w:r>
          </w:p>
        </w:tc>
        <w:tc>
          <w:tcPr>
            <w:tcW w:w="1965"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632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配套气体收集系统，生产废气进入巴陵石化放空总管，排至</w:t>
            </w:r>
            <w:r>
              <w:rPr>
                <w:rFonts w:hint="default" w:ascii="Times New Roman" w:hAnsi="Times New Roman" w:cs="Times New Roman"/>
                <w:color w:val="auto"/>
                <w:sz w:val="21"/>
                <w:szCs w:val="21"/>
                <w:lang w:eastAsia="zh-CN"/>
              </w:rPr>
              <w:t>巴陵石化公司</w:t>
            </w:r>
            <w:r>
              <w:rPr>
                <w:rFonts w:hint="default" w:ascii="Times New Roman" w:hAnsi="Times New Roman" w:cs="Times New Roman"/>
                <w:color w:val="auto"/>
                <w:sz w:val="21"/>
                <w:szCs w:val="21"/>
              </w:rPr>
              <w:t>火炬台进行燃烧处理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946"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965"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632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按照雨污分流要求，生活污水进化粪池处理，生产废水进行酸碱中和，初期雨水经厂内雨水收集池（20m3）沉淀处理，处理后的废水经厂区污水管道进入巴陵石化污水处理厂处理达标后外排至长江；后期雨水排入明沟内排入厂区外小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946"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965"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632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选择低噪声设备，合理布设各类生产设备，在生产厂区四周设有围墙降噪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946"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965"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632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厂区设有空桶房，生产原料空桶放置在空桶房中，定期有运料提供厂家回收；生产危废储存在危废暂存间中，定期交由资质单位处理，厂区内设有垃圾收集点，定期委托环卫部门清理</w:t>
            </w:r>
          </w:p>
        </w:tc>
      </w:tr>
    </w:tbl>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color w:val="auto"/>
        </w:rPr>
      </w:pPr>
      <w:r>
        <w:rPr>
          <w:rFonts w:hint="default" w:ascii="Times New Roman" w:hAnsi="Times New Roman" w:cs="Times New Roman"/>
          <w:color w:val="auto"/>
        </w:rPr>
        <w:t>现有工程占地面积9231m</w:t>
      </w:r>
      <w:r>
        <w:rPr>
          <w:rFonts w:hint="default" w:ascii="Times New Roman" w:hAnsi="Times New Roman" w:cs="Times New Roman"/>
          <w:color w:val="auto"/>
          <w:vertAlign w:val="superscript"/>
        </w:rPr>
        <w:t>2</w:t>
      </w:r>
      <w:r>
        <w:rPr>
          <w:rFonts w:hint="default" w:ascii="Times New Roman" w:hAnsi="Times New Roman" w:cs="Times New Roman"/>
          <w:color w:val="auto"/>
        </w:rPr>
        <w:t>，建筑面积4343m</w:t>
      </w:r>
      <w:r>
        <w:rPr>
          <w:rFonts w:hint="default" w:ascii="Times New Roman" w:hAnsi="Times New Roman" w:cs="Times New Roman"/>
          <w:color w:val="auto"/>
          <w:vertAlign w:val="superscript"/>
        </w:rPr>
        <w:t>2</w:t>
      </w:r>
      <w:r>
        <w:rPr>
          <w:rFonts w:hint="default" w:ascii="Times New Roman" w:hAnsi="Times New Roman" w:cs="Times New Roman"/>
          <w:color w:val="auto"/>
        </w:rPr>
        <w:t xml:space="preserve">，主要建筑物包括办公楼、三条生产线的生产车间、原料仓库、成品仓库等，主要建筑物见表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w:t>
      </w:r>
    </w:p>
    <w:p>
      <w:pPr>
        <w:pStyle w:val="14"/>
        <w:bidi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项目主要建筑物一览表</w:t>
      </w:r>
    </w:p>
    <w:tbl>
      <w:tblPr>
        <w:tblStyle w:val="24"/>
        <w:tblW w:w="9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652"/>
        <w:gridCol w:w="796"/>
        <w:gridCol w:w="703"/>
        <w:gridCol w:w="1077"/>
        <w:gridCol w:w="1075"/>
        <w:gridCol w:w="907"/>
        <w:gridCol w:w="1247"/>
        <w:gridCol w:w="10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tblHeader/>
          <w:jc w:val="center"/>
        </w:trPr>
        <w:tc>
          <w:tcPr>
            <w:tcW w:w="76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652"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79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耐火等级</w:t>
            </w:r>
          </w:p>
        </w:tc>
        <w:tc>
          <w:tcPr>
            <w:tcW w:w="703"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层数</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占地面积（m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p>
        </w:tc>
        <w:tc>
          <w:tcPr>
            <w:tcW w:w="107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建筑面积（m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p>
        </w:tc>
        <w:tc>
          <w:tcPr>
            <w:tcW w:w="90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w:t>
            </w:r>
          </w:p>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结构</w:t>
            </w:r>
          </w:p>
        </w:tc>
        <w:tc>
          <w:tcPr>
            <w:tcW w:w="124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火灾危险性分类</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652"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办公楼</w:t>
            </w:r>
          </w:p>
        </w:tc>
        <w:tc>
          <w:tcPr>
            <w:tcW w:w="79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703"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319</w:t>
            </w:r>
          </w:p>
        </w:tc>
        <w:tc>
          <w:tcPr>
            <w:tcW w:w="107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624</w:t>
            </w:r>
          </w:p>
        </w:tc>
        <w:tc>
          <w:tcPr>
            <w:tcW w:w="90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砖混</w:t>
            </w:r>
          </w:p>
        </w:tc>
        <w:tc>
          <w:tcPr>
            <w:tcW w:w="124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戊类</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652"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辅助用房</w:t>
            </w:r>
          </w:p>
        </w:tc>
        <w:tc>
          <w:tcPr>
            <w:tcW w:w="79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703"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224</w:t>
            </w:r>
          </w:p>
        </w:tc>
        <w:tc>
          <w:tcPr>
            <w:tcW w:w="107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224</w:t>
            </w:r>
          </w:p>
        </w:tc>
        <w:tc>
          <w:tcPr>
            <w:tcW w:w="90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砖混</w:t>
            </w:r>
          </w:p>
        </w:tc>
        <w:tc>
          <w:tcPr>
            <w:tcW w:w="124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丁类</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652"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财务楼</w:t>
            </w:r>
          </w:p>
        </w:tc>
        <w:tc>
          <w:tcPr>
            <w:tcW w:w="79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703"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71</w:t>
            </w:r>
          </w:p>
        </w:tc>
        <w:tc>
          <w:tcPr>
            <w:tcW w:w="107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142</w:t>
            </w:r>
          </w:p>
        </w:tc>
        <w:tc>
          <w:tcPr>
            <w:tcW w:w="90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砖混</w:t>
            </w:r>
          </w:p>
        </w:tc>
        <w:tc>
          <w:tcPr>
            <w:tcW w:w="124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戊类</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652"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卫生间</w:t>
            </w:r>
          </w:p>
        </w:tc>
        <w:tc>
          <w:tcPr>
            <w:tcW w:w="79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703"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107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90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砖混</w:t>
            </w:r>
          </w:p>
        </w:tc>
        <w:tc>
          <w:tcPr>
            <w:tcW w:w="124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戊类</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652"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二氯二茂钛</w:t>
            </w:r>
          </w:p>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w:t>
            </w:r>
          </w:p>
        </w:tc>
        <w:tc>
          <w:tcPr>
            <w:tcW w:w="79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703"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162</w:t>
            </w:r>
          </w:p>
        </w:tc>
        <w:tc>
          <w:tcPr>
            <w:tcW w:w="107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324</w:t>
            </w:r>
          </w:p>
        </w:tc>
        <w:tc>
          <w:tcPr>
            <w:tcW w:w="90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砖混</w:t>
            </w:r>
          </w:p>
        </w:tc>
        <w:tc>
          <w:tcPr>
            <w:tcW w:w="124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甲类</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局部防火墙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1652"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二氯二茂钛原料仓库</w:t>
            </w:r>
          </w:p>
        </w:tc>
        <w:tc>
          <w:tcPr>
            <w:tcW w:w="79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703"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w:t>
            </w:r>
          </w:p>
        </w:tc>
        <w:tc>
          <w:tcPr>
            <w:tcW w:w="107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w:t>
            </w:r>
          </w:p>
        </w:tc>
        <w:tc>
          <w:tcPr>
            <w:tcW w:w="90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砖混</w:t>
            </w:r>
          </w:p>
        </w:tc>
        <w:tc>
          <w:tcPr>
            <w:tcW w:w="124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甲类</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局部防火墙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1652"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二氯二茂钛材料仓库</w:t>
            </w:r>
          </w:p>
        </w:tc>
        <w:tc>
          <w:tcPr>
            <w:tcW w:w="79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703"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76</w:t>
            </w:r>
          </w:p>
        </w:tc>
        <w:tc>
          <w:tcPr>
            <w:tcW w:w="107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76</w:t>
            </w:r>
          </w:p>
        </w:tc>
        <w:tc>
          <w:tcPr>
            <w:tcW w:w="90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砖混</w:t>
            </w:r>
          </w:p>
        </w:tc>
        <w:tc>
          <w:tcPr>
            <w:tcW w:w="124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乙类</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1652"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二氯二茂钛成品仓库</w:t>
            </w:r>
          </w:p>
        </w:tc>
        <w:tc>
          <w:tcPr>
            <w:tcW w:w="79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703"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w:t>
            </w:r>
          </w:p>
        </w:tc>
        <w:tc>
          <w:tcPr>
            <w:tcW w:w="107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w:t>
            </w:r>
          </w:p>
        </w:tc>
        <w:tc>
          <w:tcPr>
            <w:tcW w:w="90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砖混</w:t>
            </w:r>
          </w:p>
        </w:tc>
        <w:tc>
          <w:tcPr>
            <w:tcW w:w="124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丁类</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1652"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TNP生产</w:t>
            </w:r>
          </w:p>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w:t>
            </w:r>
          </w:p>
        </w:tc>
        <w:tc>
          <w:tcPr>
            <w:tcW w:w="79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703"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w:t>
            </w:r>
          </w:p>
        </w:tc>
        <w:tc>
          <w:tcPr>
            <w:tcW w:w="107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w:t>
            </w:r>
          </w:p>
        </w:tc>
        <w:tc>
          <w:tcPr>
            <w:tcW w:w="90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砖混</w:t>
            </w:r>
          </w:p>
        </w:tc>
        <w:tc>
          <w:tcPr>
            <w:tcW w:w="124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戊类</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652"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壬其酚仓库</w:t>
            </w:r>
          </w:p>
        </w:tc>
        <w:tc>
          <w:tcPr>
            <w:tcW w:w="79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703"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170</w:t>
            </w:r>
          </w:p>
        </w:tc>
        <w:tc>
          <w:tcPr>
            <w:tcW w:w="107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170</w:t>
            </w:r>
          </w:p>
        </w:tc>
        <w:tc>
          <w:tcPr>
            <w:tcW w:w="90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砖混</w:t>
            </w:r>
          </w:p>
        </w:tc>
        <w:tc>
          <w:tcPr>
            <w:tcW w:w="124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戊类</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1652"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三氯化磷</w:t>
            </w:r>
          </w:p>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仓库</w:t>
            </w:r>
          </w:p>
        </w:tc>
        <w:tc>
          <w:tcPr>
            <w:tcW w:w="79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703"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57</w:t>
            </w:r>
          </w:p>
        </w:tc>
        <w:tc>
          <w:tcPr>
            <w:tcW w:w="107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57</w:t>
            </w:r>
          </w:p>
        </w:tc>
        <w:tc>
          <w:tcPr>
            <w:tcW w:w="90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砖混</w:t>
            </w:r>
          </w:p>
        </w:tc>
        <w:tc>
          <w:tcPr>
            <w:tcW w:w="124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戊类</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1652"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TNP仓库</w:t>
            </w:r>
          </w:p>
        </w:tc>
        <w:tc>
          <w:tcPr>
            <w:tcW w:w="79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703"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w:t>
            </w:r>
          </w:p>
        </w:tc>
        <w:tc>
          <w:tcPr>
            <w:tcW w:w="107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w:t>
            </w:r>
          </w:p>
        </w:tc>
        <w:tc>
          <w:tcPr>
            <w:tcW w:w="90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砖混</w:t>
            </w:r>
          </w:p>
        </w:tc>
        <w:tc>
          <w:tcPr>
            <w:tcW w:w="124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戊类</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1652"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TNP操作室</w:t>
            </w:r>
          </w:p>
        </w:tc>
        <w:tc>
          <w:tcPr>
            <w:tcW w:w="79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703"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c>
          <w:tcPr>
            <w:tcW w:w="107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c>
          <w:tcPr>
            <w:tcW w:w="90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砖混</w:t>
            </w:r>
          </w:p>
        </w:tc>
        <w:tc>
          <w:tcPr>
            <w:tcW w:w="124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戊类</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1652"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氯化锂生产车间</w:t>
            </w:r>
          </w:p>
        </w:tc>
        <w:tc>
          <w:tcPr>
            <w:tcW w:w="79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703"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569</w:t>
            </w:r>
          </w:p>
        </w:tc>
        <w:tc>
          <w:tcPr>
            <w:tcW w:w="107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1707</w:t>
            </w:r>
          </w:p>
        </w:tc>
        <w:tc>
          <w:tcPr>
            <w:tcW w:w="90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砖混</w:t>
            </w:r>
          </w:p>
        </w:tc>
        <w:tc>
          <w:tcPr>
            <w:tcW w:w="124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戊类</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1652"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氯化锂仓库</w:t>
            </w:r>
          </w:p>
        </w:tc>
        <w:tc>
          <w:tcPr>
            <w:tcW w:w="79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703"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57</w:t>
            </w:r>
          </w:p>
        </w:tc>
        <w:tc>
          <w:tcPr>
            <w:tcW w:w="107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57</w:t>
            </w:r>
          </w:p>
        </w:tc>
        <w:tc>
          <w:tcPr>
            <w:tcW w:w="90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砖混</w:t>
            </w:r>
          </w:p>
        </w:tc>
        <w:tc>
          <w:tcPr>
            <w:tcW w:w="124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戊类</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1652"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烘干间</w:t>
            </w:r>
          </w:p>
        </w:tc>
        <w:tc>
          <w:tcPr>
            <w:tcW w:w="79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703"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c>
          <w:tcPr>
            <w:tcW w:w="107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c>
          <w:tcPr>
            <w:tcW w:w="90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砖混</w:t>
            </w:r>
          </w:p>
        </w:tc>
        <w:tc>
          <w:tcPr>
            <w:tcW w:w="124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戊类</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1652"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配电机</w:t>
            </w:r>
          </w:p>
        </w:tc>
        <w:tc>
          <w:tcPr>
            <w:tcW w:w="79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703"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c>
          <w:tcPr>
            <w:tcW w:w="107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c>
          <w:tcPr>
            <w:tcW w:w="90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砖混</w:t>
            </w:r>
          </w:p>
        </w:tc>
        <w:tc>
          <w:tcPr>
            <w:tcW w:w="124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戊类</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w:t>
            </w:r>
          </w:p>
        </w:tc>
        <w:tc>
          <w:tcPr>
            <w:tcW w:w="1652"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空桶房</w:t>
            </w:r>
          </w:p>
        </w:tc>
        <w:tc>
          <w:tcPr>
            <w:tcW w:w="79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703"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36</w:t>
            </w:r>
          </w:p>
        </w:tc>
        <w:tc>
          <w:tcPr>
            <w:tcW w:w="107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36</w:t>
            </w:r>
          </w:p>
        </w:tc>
        <w:tc>
          <w:tcPr>
            <w:tcW w:w="90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砖混</w:t>
            </w:r>
          </w:p>
        </w:tc>
        <w:tc>
          <w:tcPr>
            <w:tcW w:w="124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戊类</w:t>
            </w: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6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1652"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79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703"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2667</w:t>
            </w:r>
          </w:p>
        </w:tc>
        <w:tc>
          <w:tcPr>
            <w:tcW w:w="107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4343</w:t>
            </w:r>
          </w:p>
        </w:tc>
        <w:tc>
          <w:tcPr>
            <w:tcW w:w="90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124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107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r>
    </w:tbl>
    <w:p>
      <w:pPr>
        <w:pStyle w:val="5"/>
        <w:keepNext/>
        <w:keepLines/>
        <w:pageBreakBefore w:val="0"/>
        <w:widowControl w:val="0"/>
        <w:kinsoku/>
        <w:wordWrap/>
        <w:overflowPunct/>
        <w:topLinePunct w:val="0"/>
        <w:autoSpaceDE/>
        <w:autoSpaceDN/>
        <w:bidi w:val="0"/>
        <w:adjustRightInd/>
        <w:snapToGrid/>
        <w:spacing w:before="157" w:beforeLines="50"/>
        <w:jc w:val="left"/>
        <w:textAlignment w:val="auto"/>
        <w:outlineLvl w:val="2"/>
        <w:rPr>
          <w:rFonts w:hint="default" w:ascii="Times New Roman" w:hAnsi="Times New Roman" w:cs="Times New Roman"/>
          <w:color w:val="auto"/>
        </w:rPr>
      </w:pPr>
      <w:bookmarkStart w:id="240" w:name="_Toc18331"/>
      <w:bookmarkStart w:id="241" w:name="_Toc23189"/>
      <w:bookmarkStart w:id="242" w:name="_Toc284"/>
      <w:bookmarkStart w:id="243" w:name="_Toc21654"/>
      <w:bookmarkStart w:id="244" w:name="_Toc15381"/>
      <w:bookmarkStart w:id="245" w:name="_Toc21587"/>
      <w:bookmarkStart w:id="246" w:name="_Toc29313"/>
      <w:bookmarkStart w:id="247" w:name="_Toc2009"/>
      <w:bookmarkStart w:id="248" w:name="_Toc19119"/>
      <w:r>
        <w:rPr>
          <w:rFonts w:hint="default" w:ascii="Times New Roman" w:hAnsi="Times New Roman" w:cs="Times New Roman"/>
          <w:color w:val="auto"/>
        </w:rPr>
        <w:t>现有工程生产规模</w:t>
      </w:r>
      <w:r>
        <w:rPr>
          <w:rFonts w:hint="default" w:ascii="Times New Roman" w:hAnsi="Times New Roman" w:cs="Times New Roman"/>
          <w:color w:val="auto"/>
          <w:lang w:eastAsia="zh-CN"/>
        </w:rPr>
        <w:t>及</w:t>
      </w:r>
      <w:r>
        <w:rPr>
          <w:rFonts w:hint="default" w:ascii="Times New Roman" w:hAnsi="Times New Roman" w:cs="Times New Roman"/>
          <w:color w:val="auto"/>
        </w:rPr>
        <w:t>产品方案</w:t>
      </w:r>
      <w:bookmarkEnd w:id="240"/>
      <w:bookmarkEnd w:id="241"/>
      <w:bookmarkEnd w:id="242"/>
      <w:bookmarkEnd w:id="243"/>
      <w:bookmarkEnd w:id="244"/>
      <w:bookmarkEnd w:id="245"/>
      <w:bookmarkEnd w:id="246"/>
      <w:bookmarkEnd w:id="247"/>
      <w:bookmarkEnd w:id="248"/>
    </w:p>
    <w:p>
      <w:pPr>
        <w:pStyle w:val="39"/>
        <w:bidi w:val="0"/>
        <w:rPr>
          <w:rFonts w:hint="default" w:ascii="Times New Roman" w:hAnsi="Times New Roman" w:cs="Times New Roman"/>
          <w:color w:val="auto"/>
        </w:rPr>
      </w:pPr>
      <w:r>
        <w:rPr>
          <w:rFonts w:hint="default" w:ascii="Times New Roman" w:hAnsi="Times New Roman" w:cs="Times New Roman"/>
          <w:color w:val="auto"/>
          <w:lang w:eastAsia="zh-CN"/>
        </w:rPr>
        <w:t>现有工程</w:t>
      </w:r>
      <w:r>
        <w:rPr>
          <w:rFonts w:hint="default" w:ascii="Times New Roman" w:hAnsi="Times New Roman" w:cs="Times New Roman"/>
          <w:color w:val="auto"/>
        </w:rPr>
        <w:t>TNP、氯化锂、二氯二茂钛项目</w:t>
      </w:r>
      <w:r>
        <w:rPr>
          <w:rFonts w:hint="default" w:ascii="Times New Roman" w:hAnsi="Times New Roman" w:cs="Times New Roman"/>
          <w:color w:val="auto"/>
          <w:lang w:eastAsia="zh-CN"/>
        </w:rPr>
        <w:t>生产规模为</w:t>
      </w:r>
      <w:r>
        <w:rPr>
          <w:rFonts w:hint="default" w:ascii="Times New Roman" w:hAnsi="Times New Roman" w:cs="Times New Roman"/>
          <w:color w:val="auto"/>
        </w:rPr>
        <w:t>年产抗氧化剂TNP1000吨、氯化锂400吨、催化剂二氯二茂钛12吨</w:t>
      </w:r>
      <w:r>
        <w:rPr>
          <w:rFonts w:hint="default" w:ascii="Times New Roman" w:hAnsi="Times New Roman" w:cs="Times New Roman"/>
          <w:color w:val="auto"/>
          <w:lang w:eastAsia="zh-CN"/>
        </w:rPr>
        <w:t>。</w:t>
      </w:r>
      <w:r>
        <w:rPr>
          <w:rFonts w:hint="default" w:ascii="Times New Roman" w:hAnsi="Times New Roman" w:cs="Times New Roman"/>
          <w:color w:val="auto"/>
        </w:rPr>
        <w:t>其产品方案具体情况见表</w:t>
      </w:r>
      <w:r>
        <w:rPr>
          <w:rFonts w:hint="default" w:ascii="Times New Roman" w:hAnsi="Times New Roman" w:cs="Times New Roman"/>
          <w:color w:val="auto"/>
          <w:lang w:val="en-US" w:eastAsia="zh-CN"/>
        </w:rPr>
        <w:t xml:space="preserve"> 3-3</w:t>
      </w:r>
      <w:r>
        <w:rPr>
          <w:rFonts w:hint="default" w:ascii="Times New Roman" w:hAnsi="Times New Roman" w:cs="Times New Roman"/>
          <w:color w:val="auto"/>
        </w:rPr>
        <w:t>。</w:t>
      </w:r>
    </w:p>
    <w:p>
      <w:pPr>
        <w:pStyle w:val="14"/>
        <w:bidi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项目产品方案</w:t>
      </w:r>
    </w:p>
    <w:tbl>
      <w:tblPr>
        <w:tblStyle w:val="24"/>
        <w:tblW w:w="94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461"/>
        <w:gridCol w:w="1730"/>
        <w:gridCol w:w="54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8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46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173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产量（吨/年）</w:t>
            </w:r>
          </w:p>
        </w:tc>
        <w:tc>
          <w:tcPr>
            <w:tcW w:w="549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去向或用途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8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46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TNP</w:t>
            </w:r>
          </w:p>
        </w:tc>
        <w:tc>
          <w:tcPr>
            <w:tcW w:w="173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1000</w:t>
            </w:r>
          </w:p>
        </w:tc>
        <w:tc>
          <w:tcPr>
            <w:tcW w:w="549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合成橡胶非污染防老剂，也可用作天然橡胶、合成橡胶及其胶乳的稳定剂，作为合成橡胶稳定剂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8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46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氯化锂</w:t>
            </w:r>
          </w:p>
        </w:tc>
        <w:tc>
          <w:tcPr>
            <w:tcW w:w="173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549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氯化锂常用于金属和合金焊接的焊剂中，氯化锂溶液还用于空调系统中作除湿剂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78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46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二氯二茂钛</w:t>
            </w:r>
          </w:p>
        </w:tc>
        <w:tc>
          <w:tcPr>
            <w:tcW w:w="173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549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高效均相反应催化剂，主要作为烯烃共聚及均聚催化剂、共轭二烯烃选择性氢化催化剂</w:t>
            </w:r>
          </w:p>
        </w:tc>
      </w:tr>
    </w:tbl>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outlineLvl w:val="2"/>
        <w:rPr>
          <w:rFonts w:hint="default" w:ascii="Times New Roman" w:hAnsi="Times New Roman" w:cs="Times New Roman"/>
          <w:color w:val="auto"/>
        </w:rPr>
      </w:pPr>
      <w:bookmarkStart w:id="249" w:name="_Toc28340"/>
      <w:r>
        <w:rPr>
          <w:rFonts w:hint="default" w:ascii="Times New Roman" w:hAnsi="Times New Roman" w:cs="Times New Roman"/>
          <w:color w:val="auto"/>
        </w:rPr>
        <w:t>现有工程原辅用料</w:t>
      </w:r>
      <w:bookmarkEnd w:id="249"/>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lang w:eastAsia="zh-CN"/>
        </w:rPr>
        <w:t>现有工程</w:t>
      </w:r>
      <w:r>
        <w:rPr>
          <w:rFonts w:hint="default" w:ascii="Times New Roman" w:hAnsi="Times New Roman" w:cs="Times New Roman"/>
          <w:color w:val="auto"/>
        </w:rPr>
        <w:t>TNP、氯化锂、二氯二茂钛项目主要生产原料为壬基酚、三氯化磷、碱液，氯化锂的主要生产原料为盐酸、锂水，催化剂二氯二茂钛的主要生产原料为双环戊二烯、四氯化钛、二乙胺、四氢呋喃、甲醇和甲苯。根据建设单位提供的项目三种产品的原辅材料及公用工程具体消耗如下表</w:t>
      </w:r>
      <w:r>
        <w:rPr>
          <w:rFonts w:hint="default" w:ascii="Times New Roman" w:hAnsi="Times New Roman" w:cs="Times New Roman"/>
          <w:color w:val="auto"/>
          <w:lang w:val="en-US" w:eastAsia="zh-CN"/>
        </w:rPr>
        <w:t xml:space="preserve"> 3-4</w:t>
      </w:r>
      <w:r>
        <w:rPr>
          <w:rFonts w:hint="default" w:ascii="Times New Roman" w:hAnsi="Times New Roman" w:cs="Times New Roman"/>
          <w:color w:val="auto"/>
        </w:rPr>
        <w:t>所示。</w:t>
      </w:r>
    </w:p>
    <w:p>
      <w:pPr>
        <w:pStyle w:val="14"/>
        <w:bidi w:val="0"/>
        <w:rPr>
          <w:rFonts w:hint="default" w:ascii="Times New Roman" w:hAnsi="Times New Roman" w:cs="Times New Roman"/>
          <w:color w:val="auto"/>
          <w:u w:val="wave"/>
        </w:rPr>
      </w:pPr>
      <w:r>
        <w:rPr>
          <w:rFonts w:hint="default" w:ascii="Times New Roman" w:hAnsi="Times New Roman" w:cs="Times New Roman"/>
          <w:color w:val="auto"/>
          <w:u w:val="wave"/>
        </w:rPr>
        <w:t xml:space="preserve">表 </w:t>
      </w:r>
      <w:r>
        <w:rPr>
          <w:rFonts w:hint="default" w:ascii="Times New Roman" w:hAnsi="Times New Roman" w:cs="Times New Roman"/>
          <w:color w:val="auto"/>
          <w:u w:val="wave"/>
        </w:rPr>
        <w:fldChar w:fldCharType="begin"/>
      </w:r>
      <w:r>
        <w:rPr>
          <w:rFonts w:hint="default" w:ascii="Times New Roman" w:hAnsi="Times New Roman" w:cs="Times New Roman"/>
          <w:color w:val="auto"/>
          <w:u w:val="wave"/>
        </w:rPr>
        <w:instrText xml:space="preserve"> STYLEREF 1 \s </w:instrText>
      </w:r>
      <w:r>
        <w:rPr>
          <w:rFonts w:hint="default" w:ascii="Times New Roman" w:hAnsi="Times New Roman" w:cs="Times New Roman"/>
          <w:color w:val="auto"/>
          <w:u w:val="wave"/>
        </w:rPr>
        <w:fldChar w:fldCharType="separate"/>
      </w:r>
      <w:r>
        <w:rPr>
          <w:rFonts w:hint="default" w:ascii="Times New Roman" w:hAnsi="Times New Roman" w:cs="Times New Roman"/>
          <w:color w:val="auto"/>
          <w:u w:val="wave"/>
        </w:rPr>
        <w:t>3</w:t>
      </w:r>
      <w:r>
        <w:rPr>
          <w:rFonts w:hint="default" w:ascii="Times New Roman" w:hAnsi="Times New Roman" w:cs="Times New Roman"/>
          <w:color w:val="auto"/>
          <w:u w:val="wave"/>
        </w:rPr>
        <w:fldChar w:fldCharType="end"/>
      </w:r>
      <w:r>
        <w:rPr>
          <w:rFonts w:hint="default" w:ascii="Times New Roman" w:hAnsi="Times New Roman" w:cs="Times New Roman"/>
          <w:color w:val="auto"/>
          <w:u w:val="wave"/>
          <w:lang w:eastAsia="zh-CN"/>
        </w:rPr>
        <w:t>-</w:t>
      </w:r>
      <w:r>
        <w:rPr>
          <w:rFonts w:hint="default" w:ascii="Times New Roman" w:hAnsi="Times New Roman" w:cs="Times New Roman"/>
          <w:color w:val="auto"/>
          <w:u w:val="wave"/>
        </w:rPr>
        <w:fldChar w:fldCharType="begin"/>
      </w:r>
      <w:r>
        <w:rPr>
          <w:rFonts w:hint="default" w:ascii="Times New Roman" w:hAnsi="Times New Roman" w:cs="Times New Roman"/>
          <w:color w:val="auto"/>
          <w:u w:val="wave"/>
        </w:rPr>
        <w:instrText xml:space="preserve"> SEQ 表 \* ARABIC \s 1 </w:instrText>
      </w:r>
      <w:r>
        <w:rPr>
          <w:rFonts w:hint="default" w:ascii="Times New Roman" w:hAnsi="Times New Roman" w:cs="Times New Roman"/>
          <w:color w:val="auto"/>
          <w:u w:val="wave"/>
        </w:rPr>
        <w:fldChar w:fldCharType="separate"/>
      </w:r>
      <w:r>
        <w:rPr>
          <w:rFonts w:hint="default" w:ascii="Times New Roman" w:hAnsi="Times New Roman" w:cs="Times New Roman"/>
          <w:color w:val="auto"/>
          <w:u w:val="wave"/>
        </w:rPr>
        <w:t>4</w:t>
      </w:r>
      <w:r>
        <w:rPr>
          <w:rFonts w:hint="default" w:ascii="Times New Roman" w:hAnsi="Times New Roman" w:cs="Times New Roman"/>
          <w:color w:val="auto"/>
          <w:u w:val="wave"/>
        </w:rPr>
        <w:fldChar w:fldCharType="end"/>
      </w:r>
      <w:r>
        <w:rPr>
          <w:rFonts w:hint="default" w:ascii="Times New Roman" w:hAnsi="Times New Roman" w:cs="Times New Roman"/>
          <w:color w:val="auto"/>
          <w:u w:val="wave"/>
        </w:rPr>
        <w:t>主要原辅料与公用工程消耗及规格</w:t>
      </w:r>
    </w:p>
    <w:tbl>
      <w:tblPr>
        <w:tblStyle w:val="24"/>
        <w:tblW w:w="967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6"/>
        <w:gridCol w:w="1513"/>
        <w:gridCol w:w="1078"/>
        <w:gridCol w:w="717"/>
        <w:gridCol w:w="1205"/>
        <w:gridCol w:w="2155"/>
        <w:gridCol w:w="22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51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107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规格</w:t>
            </w:r>
          </w:p>
        </w:tc>
        <w:tc>
          <w:tcPr>
            <w:tcW w:w="71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w:t>
            </w:r>
          </w:p>
        </w:tc>
        <w:tc>
          <w:tcPr>
            <w:tcW w:w="120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年消耗量</w:t>
            </w:r>
          </w:p>
        </w:tc>
        <w:tc>
          <w:tcPr>
            <w:tcW w:w="21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来源</w:t>
            </w:r>
          </w:p>
        </w:tc>
        <w:tc>
          <w:tcPr>
            <w:tcW w:w="22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673" w:type="dxa"/>
            <w:gridSpan w:val="7"/>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原辅材料用量及规格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51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壬其酚</w:t>
            </w:r>
          </w:p>
        </w:tc>
        <w:tc>
          <w:tcPr>
            <w:tcW w:w="107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98.5%</w:t>
            </w:r>
          </w:p>
        </w:tc>
        <w:tc>
          <w:tcPr>
            <w:tcW w:w="71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120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959.42</w:t>
            </w:r>
          </w:p>
        </w:tc>
        <w:tc>
          <w:tcPr>
            <w:tcW w:w="21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外界购买、汽车</w:t>
            </w:r>
          </w:p>
        </w:tc>
        <w:tc>
          <w:tcPr>
            <w:tcW w:w="22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51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三氯化磷</w:t>
            </w:r>
          </w:p>
        </w:tc>
        <w:tc>
          <w:tcPr>
            <w:tcW w:w="107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98%</w:t>
            </w:r>
          </w:p>
        </w:tc>
        <w:tc>
          <w:tcPr>
            <w:tcW w:w="71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120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199.29</w:t>
            </w:r>
          </w:p>
        </w:tc>
        <w:tc>
          <w:tcPr>
            <w:tcW w:w="21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外界购买、汽车</w:t>
            </w:r>
          </w:p>
        </w:tc>
        <w:tc>
          <w:tcPr>
            <w:tcW w:w="22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51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碱液</w:t>
            </w:r>
          </w:p>
        </w:tc>
        <w:tc>
          <w:tcPr>
            <w:tcW w:w="107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30%</w:t>
            </w:r>
          </w:p>
        </w:tc>
        <w:tc>
          <w:tcPr>
            <w:tcW w:w="71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120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250</w:t>
            </w:r>
          </w:p>
        </w:tc>
        <w:tc>
          <w:tcPr>
            <w:tcW w:w="21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向巴陵石化公司购买、槽车</w:t>
            </w:r>
          </w:p>
        </w:tc>
        <w:tc>
          <w:tcPr>
            <w:tcW w:w="22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51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盐酸</w:t>
            </w:r>
          </w:p>
        </w:tc>
        <w:tc>
          <w:tcPr>
            <w:tcW w:w="107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30%</w:t>
            </w:r>
          </w:p>
        </w:tc>
        <w:tc>
          <w:tcPr>
            <w:tcW w:w="71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120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134</w:t>
            </w:r>
          </w:p>
        </w:tc>
        <w:tc>
          <w:tcPr>
            <w:tcW w:w="21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向巴陵石化公司购买、槽车</w:t>
            </w:r>
          </w:p>
        </w:tc>
        <w:tc>
          <w:tcPr>
            <w:tcW w:w="22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51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锂水</w:t>
            </w:r>
          </w:p>
        </w:tc>
        <w:tc>
          <w:tcPr>
            <w:tcW w:w="107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20%</w:t>
            </w:r>
          </w:p>
        </w:tc>
        <w:tc>
          <w:tcPr>
            <w:tcW w:w="71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120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w:t>
            </w:r>
          </w:p>
        </w:tc>
        <w:tc>
          <w:tcPr>
            <w:tcW w:w="21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巴陵石化管道运输</w:t>
            </w:r>
          </w:p>
        </w:tc>
        <w:tc>
          <w:tcPr>
            <w:tcW w:w="22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橡胶事业部提供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51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双环戊二烯</w:t>
            </w:r>
          </w:p>
        </w:tc>
        <w:tc>
          <w:tcPr>
            <w:tcW w:w="107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95%</w:t>
            </w:r>
          </w:p>
        </w:tc>
        <w:tc>
          <w:tcPr>
            <w:tcW w:w="71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120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21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外界购买、汽车</w:t>
            </w:r>
          </w:p>
        </w:tc>
        <w:tc>
          <w:tcPr>
            <w:tcW w:w="22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51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四氯化钛</w:t>
            </w:r>
          </w:p>
        </w:tc>
        <w:tc>
          <w:tcPr>
            <w:tcW w:w="107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99.9%</w:t>
            </w:r>
          </w:p>
        </w:tc>
        <w:tc>
          <w:tcPr>
            <w:tcW w:w="71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120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21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外界购买、汽车</w:t>
            </w:r>
          </w:p>
        </w:tc>
        <w:tc>
          <w:tcPr>
            <w:tcW w:w="22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151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二乙胺</w:t>
            </w:r>
          </w:p>
        </w:tc>
        <w:tc>
          <w:tcPr>
            <w:tcW w:w="107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98%</w:t>
            </w:r>
          </w:p>
        </w:tc>
        <w:tc>
          <w:tcPr>
            <w:tcW w:w="71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120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9.8</w:t>
            </w:r>
          </w:p>
        </w:tc>
        <w:tc>
          <w:tcPr>
            <w:tcW w:w="21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外界购买、汽车</w:t>
            </w:r>
          </w:p>
        </w:tc>
        <w:tc>
          <w:tcPr>
            <w:tcW w:w="22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151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四氢呋喃</w:t>
            </w:r>
          </w:p>
        </w:tc>
        <w:tc>
          <w:tcPr>
            <w:tcW w:w="107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99.5%</w:t>
            </w:r>
          </w:p>
        </w:tc>
        <w:tc>
          <w:tcPr>
            <w:tcW w:w="71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120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21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外界购买、汽车</w:t>
            </w:r>
          </w:p>
        </w:tc>
        <w:tc>
          <w:tcPr>
            <w:tcW w:w="22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151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甲醇</w:t>
            </w:r>
          </w:p>
        </w:tc>
        <w:tc>
          <w:tcPr>
            <w:tcW w:w="107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98.5%</w:t>
            </w:r>
          </w:p>
        </w:tc>
        <w:tc>
          <w:tcPr>
            <w:tcW w:w="71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120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21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外界购买、汽车</w:t>
            </w:r>
          </w:p>
        </w:tc>
        <w:tc>
          <w:tcPr>
            <w:tcW w:w="22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151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甲苯</w:t>
            </w:r>
          </w:p>
        </w:tc>
        <w:tc>
          <w:tcPr>
            <w:tcW w:w="107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99.5%</w:t>
            </w:r>
          </w:p>
        </w:tc>
        <w:tc>
          <w:tcPr>
            <w:tcW w:w="71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120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21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外界购买、汽车</w:t>
            </w:r>
          </w:p>
        </w:tc>
        <w:tc>
          <w:tcPr>
            <w:tcW w:w="22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673" w:type="dxa"/>
            <w:gridSpan w:val="7"/>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公用工程用量及规格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51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新鲜水</w:t>
            </w:r>
          </w:p>
        </w:tc>
        <w:tc>
          <w:tcPr>
            <w:tcW w:w="107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1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120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20229.6</w:t>
            </w:r>
          </w:p>
        </w:tc>
        <w:tc>
          <w:tcPr>
            <w:tcW w:w="21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供水事业部</w:t>
            </w:r>
          </w:p>
        </w:tc>
        <w:tc>
          <w:tcPr>
            <w:tcW w:w="22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液态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51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w:t>
            </w:r>
          </w:p>
        </w:tc>
        <w:tc>
          <w:tcPr>
            <w:tcW w:w="107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1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度/a</w:t>
            </w:r>
          </w:p>
        </w:tc>
        <w:tc>
          <w:tcPr>
            <w:tcW w:w="120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280000</w:t>
            </w:r>
          </w:p>
        </w:tc>
        <w:tc>
          <w:tcPr>
            <w:tcW w:w="21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热电事业部</w:t>
            </w:r>
          </w:p>
        </w:tc>
        <w:tc>
          <w:tcPr>
            <w:tcW w:w="22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51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蒸气供热</w:t>
            </w:r>
          </w:p>
        </w:tc>
        <w:tc>
          <w:tcPr>
            <w:tcW w:w="107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0.8MPa</w:t>
            </w:r>
          </w:p>
        </w:tc>
        <w:tc>
          <w:tcPr>
            <w:tcW w:w="71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120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21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热电事业部</w:t>
            </w:r>
          </w:p>
        </w:tc>
        <w:tc>
          <w:tcPr>
            <w:tcW w:w="22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气态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51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氮气</w:t>
            </w:r>
          </w:p>
        </w:tc>
        <w:tc>
          <w:tcPr>
            <w:tcW w:w="107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99.8%/</w:t>
            </w:r>
          </w:p>
        </w:tc>
        <w:tc>
          <w:tcPr>
            <w:tcW w:w="71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120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21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巴陵石化管道运输</w:t>
            </w:r>
          </w:p>
        </w:tc>
        <w:tc>
          <w:tcPr>
            <w:tcW w:w="22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巴陵石化统一提供</w:t>
            </w:r>
          </w:p>
        </w:tc>
      </w:tr>
    </w:tbl>
    <w:p>
      <w:pPr>
        <w:pStyle w:val="5"/>
        <w:keepNext/>
        <w:keepLines/>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outlineLvl w:val="2"/>
        <w:rPr>
          <w:rFonts w:hint="default" w:ascii="Times New Roman" w:hAnsi="Times New Roman" w:cs="Times New Roman"/>
          <w:color w:val="auto"/>
        </w:rPr>
      </w:pPr>
      <w:bookmarkStart w:id="250" w:name="_Toc29872"/>
      <w:bookmarkStart w:id="251" w:name="_Toc31881"/>
      <w:bookmarkStart w:id="252" w:name="_Toc8961"/>
      <w:bookmarkStart w:id="253" w:name="_Toc26086"/>
      <w:bookmarkStart w:id="254" w:name="_Toc9621"/>
      <w:bookmarkStart w:id="255" w:name="_Toc1174"/>
      <w:bookmarkStart w:id="256" w:name="_Toc23403"/>
      <w:bookmarkStart w:id="257" w:name="_Toc23784"/>
      <w:bookmarkStart w:id="258" w:name="_Toc24103"/>
      <w:bookmarkStart w:id="259" w:name="_Toc10611"/>
      <w:bookmarkStart w:id="260" w:name="_Toc20892"/>
      <w:bookmarkStart w:id="261" w:name="_Toc19710"/>
      <w:bookmarkStart w:id="262" w:name="_Toc3873"/>
      <w:r>
        <w:rPr>
          <w:rFonts w:hint="default" w:ascii="Times New Roman" w:hAnsi="Times New Roman" w:cs="Times New Roman"/>
          <w:color w:val="auto"/>
        </w:rPr>
        <w:t>现有工程总平面布置</w:t>
      </w:r>
      <w:bookmarkEnd w:id="250"/>
      <w:bookmarkEnd w:id="251"/>
      <w:bookmarkEnd w:id="252"/>
      <w:bookmarkEnd w:id="253"/>
      <w:bookmarkEnd w:id="254"/>
      <w:bookmarkEnd w:id="255"/>
      <w:bookmarkEnd w:id="256"/>
      <w:bookmarkEnd w:id="257"/>
      <w:bookmarkEnd w:id="258"/>
      <w:bookmarkEnd w:id="259"/>
      <w:bookmarkEnd w:id="260"/>
      <w:bookmarkEnd w:id="261"/>
      <w:bookmarkEnd w:id="262"/>
    </w:p>
    <w:p>
      <w:pPr>
        <w:pStyle w:val="39"/>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抗氧化剂TNP与氯化锂生产装置区域呈规则的长方形布置，抗氧剂TNP车间为二层敞开式钢结构，氯化锂车间为三层敞开式混凝土框架，原料仓库及成品仓库等均为单层砖混结构。均按工艺流程功能分区布置，装置区域内设置回车场地，装置区的北侧和南侧布置有回车场地，厂区范围内无居民区。东侧为巴陵石化橡胶事业部，西侧为荒山林地，南侧为岳阳云电检维修有限责任公司，北侧为公司催化剂工区及行政区。项目内的各个建筑物与外部的安全距离满足要求。</w:t>
      </w:r>
    </w:p>
    <w:p>
      <w:pPr>
        <w:pStyle w:val="39"/>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项目生产装置区域主要分为两个区域，分别是厂区西面的抗氧化剂TNP、氯化锂生产装置区东北面的二氯二茂钛生产装置区；按产品工艺功能分区布置，厂区内设置有尽头式回车场，办公区与生产装置区用围墙分开设置。西北边6米外为橡胶事业部科研中试车间，东南面边为橡胶事业部SIS车间，西南面边为科研所应用组楼，围墙与橡胶事业部SIS车间中间为岳化大道，北面距围墙15米外为雅达公司。</w:t>
      </w:r>
    </w:p>
    <w:p>
      <w:pPr>
        <w:pStyle w:val="39"/>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highlight w:val="none"/>
        </w:rPr>
        <w:t>项目厂区占地面积约9231m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，总建构筑物筑面积4343m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。具体布置详见</w:t>
      </w:r>
      <w:r>
        <w:rPr>
          <w:rFonts w:hint="default" w:ascii="Times New Roman" w:hAnsi="Times New Roman" w:cs="Times New Roman"/>
          <w:color w:val="auto"/>
          <w:highlight w:val="none"/>
          <w:lang w:eastAsia="zh-CN"/>
        </w:rPr>
        <w:t>鑫达公司现状</w:t>
      </w:r>
      <w:r>
        <w:rPr>
          <w:rFonts w:hint="default" w:ascii="Times New Roman" w:hAnsi="Times New Roman" w:cs="Times New Roman"/>
          <w:color w:val="auto"/>
          <w:highlight w:val="none"/>
        </w:rPr>
        <w:t>平面布置图（附图2）</w:t>
      </w:r>
      <w:r>
        <w:rPr>
          <w:rFonts w:hint="default" w:ascii="Times New Roman" w:hAnsi="Times New Roman" w:cs="Times New Roman"/>
          <w:color w:val="auto"/>
        </w:rPr>
        <w:t>。</w:t>
      </w:r>
    </w:p>
    <w:p>
      <w:pPr>
        <w:pStyle w:val="5"/>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263" w:name="_Toc972"/>
      <w:bookmarkStart w:id="264" w:name="_Toc6553"/>
      <w:bookmarkStart w:id="265" w:name="_Toc2496"/>
      <w:bookmarkStart w:id="266" w:name="_Toc17733"/>
      <w:bookmarkStart w:id="267" w:name="_Toc3825"/>
      <w:bookmarkStart w:id="268" w:name="_Toc7418"/>
      <w:bookmarkStart w:id="269" w:name="_Toc19278"/>
      <w:bookmarkStart w:id="270" w:name="_Toc26252"/>
      <w:r>
        <w:rPr>
          <w:rFonts w:hint="default" w:ascii="Times New Roman" w:hAnsi="Times New Roman" w:cs="Times New Roman"/>
          <w:color w:val="auto"/>
          <w:lang w:val="en-US" w:eastAsia="zh-CN"/>
        </w:rPr>
        <w:t xml:space="preserve"> </w:t>
      </w:r>
      <w:bookmarkStart w:id="271" w:name="_Toc5103"/>
      <w:r>
        <w:rPr>
          <w:rFonts w:hint="default" w:ascii="Times New Roman" w:hAnsi="Times New Roman" w:cs="Times New Roman"/>
          <w:color w:val="auto"/>
        </w:rPr>
        <w:t>现有工程主要生产设备</w:t>
      </w:r>
      <w:bookmarkEnd w:id="263"/>
      <w:bookmarkEnd w:id="264"/>
      <w:bookmarkEnd w:id="265"/>
      <w:bookmarkEnd w:id="266"/>
      <w:bookmarkEnd w:id="267"/>
      <w:bookmarkEnd w:id="268"/>
      <w:bookmarkEnd w:id="269"/>
      <w:bookmarkEnd w:id="270"/>
      <w:bookmarkEnd w:id="271"/>
    </w:p>
    <w:p>
      <w:pPr>
        <w:pStyle w:val="39"/>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现有工程主要工艺设备详见表</w:t>
      </w:r>
      <w:r>
        <w:rPr>
          <w:rFonts w:hint="default" w:ascii="Times New Roman" w:hAnsi="Times New Roman" w:cs="Times New Roman"/>
          <w:color w:val="auto"/>
          <w:lang w:val="en-US" w:eastAsia="zh-CN"/>
        </w:rPr>
        <w:t>3-5。</w:t>
      </w:r>
    </w:p>
    <w:p>
      <w:pPr>
        <w:pStyle w:val="14"/>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5</w:t>
      </w:r>
      <w:r>
        <w:rPr>
          <w:rFonts w:hint="default" w:ascii="Times New Roman" w:hAnsi="Times New Roman" w:cs="Times New Roman"/>
          <w:color w:val="auto"/>
        </w:rPr>
        <w:fldChar w:fldCharType="end"/>
      </w:r>
      <w:r>
        <w:rPr>
          <w:rFonts w:hint="default" w:ascii="Times New Roman" w:hAnsi="Times New Roman" w:cs="Times New Roman"/>
          <w:color w:val="auto"/>
        </w:rPr>
        <w:t>现有工程主要工艺设备一览表</w:t>
      </w:r>
    </w:p>
    <w:tbl>
      <w:tblPr>
        <w:tblStyle w:val="24"/>
        <w:tblW w:w="1011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756"/>
        <w:gridCol w:w="1292"/>
        <w:gridCol w:w="1651"/>
        <w:gridCol w:w="1983"/>
        <w:gridCol w:w="1451"/>
        <w:gridCol w:w="505"/>
        <w:gridCol w:w="450"/>
        <w:gridCol w:w="20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blHeader/>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设备位号</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设备名称</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规格型式</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材质</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数量</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工艺条件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1" w:type="dxa"/>
            <w:gridSpan w:val="8"/>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TNP主要工艺设备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F-101至F-104</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搪玻璃</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反应釜</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容积：3000L</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搅拌形式：框式</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搅拌转速：63rpm</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减速机型号BCD13-23-5.5</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反应釜及各管口均采用夹四氟石棉垫</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2023" w:type="dxa"/>
            <w:shd w:val="clear" w:color="auto" w:fill="FFFFFF"/>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0.3MPa</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最高为160℃</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原料和产品均不易燃易爆</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釜需用精磨搅拌和机械密封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B-101至</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B-105</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FP节能耐腐离心泵</w:t>
            </w:r>
          </w:p>
        </w:tc>
        <w:tc>
          <w:tcPr>
            <w:tcW w:w="1983" w:type="dxa"/>
            <w:shd w:val="clear" w:color="auto" w:fill="FFFFFF"/>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型号：S80*65-32</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流量：50m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功率: 7.5KW</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玻纤增强PP</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配套电机：Y132S2-2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bookmarkStart w:id="272" w:name="OLE_LINK3"/>
            <w:r>
              <w:rPr>
                <w:rFonts w:hint="default" w:ascii="Times New Roman" w:hAnsi="Times New Roman" w:cs="Times New Roman"/>
                <w:color w:val="auto"/>
                <w:sz w:val="21"/>
                <w:szCs w:val="21"/>
              </w:rPr>
              <w:t>P201</w:t>
            </w:r>
            <w:bookmarkEnd w:id="272"/>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真空泵</w:t>
            </w:r>
          </w:p>
        </w:tc>
        <w:tc>
          <w:tcPr>
            <w:tcW w:w="1983" w:type="dxa"/>
            <w:shd w:val="clear" w:color="auto" w:fill="FFFFFF"/>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型号: 80JN-30</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流量: 50m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水压：0.3MPa</w:t>
            </w:r>
            <w:r>
              <w:rPr>
                <w:rFonts w:hint="default" w:ascii="Times New Roman" w:hAnsi="Times New Roman" w:cs="Times New Roman"/>
                <w:color w:val="auto"/>
                <w:sz w:val="21"/>
                <w:szCs w:val="21"/>
              </w:rPr>
              <w:tab/>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玻纤增强PP</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真空缓冲罐</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0.04m</w:t>
            </w:r>
            <w:r>
              <w:rPr>
                <w:rFonts w:hint="default" w:ascii="Times New Roman" w:hAnsi="Times New Roman" w:cs="Times New Roman"/>
                <w:color w:val="auto"/>
                <w:sz w:val="21"/>
                <w:szCs w:val="21"/>
                <w:vertAlign w:val="superscript"/>
              </w:rPr>
              <w:t>3</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玻纤增强PP</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充氮分配器</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自制特有设备</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过滤器</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自制特有设备</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过滤网：100目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防腐循环</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水池</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2000×4000×1200</w:t>
            </w:r>
            <w:r>
              <w:rPr>
                <w:rFonts w:hint="default" w:ascii="Times New Roman" w:hAnsi="Times New Roman" w:cs="Times New Roman"/>
                <w:color w:val="auto"/>
                <w:sz w:val="21"/>
                <w:szCs w:val="21"/>
                <w:lang w:val="en-US" w:eastAsia="zh-CN"/>
              </w:rPr>
              <w:t>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玻纤环氧树脂防腐</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R-101</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液碱罐</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不锈钢罐</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6kg耐压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1" w:type="dxa"/>
            <w:gridSpan w:val="8"/>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氯化锂主要工艺设备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R-201</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锂水贮罐</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40m</w:t>
            </w:r>
            <w:r>
              <w:rPr>
                <w:rFonts w:hint="default" w:ascii="Times New Roman" w:hAnsi="Times New Roman" w:cs="Times New Roman"/>
                <w:color w:val="auto"/>
                <w:sz w:val="21"/>
                <w:szCs w:val="21"/>
                <w:vertAlign w:val="superscript"/>
              </w:rPr>
              <w:t>3</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玻纤增强树脂</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常温常压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R-202</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盐酸计量罐</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0.8m</w:t>
            </w:r>
            <w:r>
              <w:rPr>
                <w:rFonts w:hint="default" w:ascii="Times New Roman" w:hAnsi="Times New Roman" w:cs="Times New Roman"/>
                <w:color w:val="auto"/>
                <w:sz w:val="21"/>
                <w:szCs w:val="21"/>
                <w:vertAlign w:val="superscript"/>
              </w:rPr>
              <w:t>3</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增强聚丙烯</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常温常压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R-206</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盐酸贮罐</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15m</w:t>
            </w:r>
            <w:r>
              <w:rPr>
                <w:rFonts w:hint="default" w:ascii="Times New Roman" w:hAnsi="Times New Roman" w:cs="Times New Roman"/>
                <w:color w:val="auto"/>
                <w:sz w:val="21"/>
                <w:szCs w:val="21"/>
                <w:vertAlign w:val="superscript"/>
              </w:rPr>
              <w:t>3</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玻纤增强树脂</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常温常压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R-203、R-204</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锂水中间罐</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20m</w:t>
            </w:r>
            <w:r>
              <w:rPr>
                <w:rFonts w:hint="default" w:ascii="Times New Roman" w:hAnsi="Times New Roman" w:cs="Times New Roman"/>
                <w:color w:val="auto"/>
                <w:sz w:val="21"/>
                <w:szCs w:val="21"/>
                <w:vertAlign w:val="superscript"/>
              </w:rPr>
              <w:t>3</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常温常压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R-205</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锂水中间罐</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12m</w:t>
            </w:r>
            <w:r>
              <w:rPr>
                <w:rFonts w:hint="default" w:ascii="Times New Roman" w:hAnsi="Times New Roman" w:cs="Times New Roman"/>
                <w:color w:val="auto"/>
                <w:sz w:val="21"/>
                <w:szCs w:val="21"/>
                <w:vertAlign w:val="superscript"/>
              </w:rPr>
              <w:t>3</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碳钢内衬PE树脂</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常温常压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F-201至F-203</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配制釜</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3.0m</w:t>
            </w:r>
            <w:r>
              <w:rPr>
                <w:rFonts w:hint="default" w:ascii="Times New Roman" w:hAnsi="Times New Roman" w:cs="Times New Roman"/>
                <w:color w:val="auto"/>
                <w:sz w:val="21"/>
                <w:szCs w:val="21"/>
                <w:vertAlign w:val="superscript"/>
              </w:rPr>
              <w:t>3</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搪瓷不带夹套</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60℃</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F-204、F-205</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结晶釜</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3.0m</w:t>
            </w:r>
            <w:r>
              <w:rPr>
                <w:rFonts w:hint="default" w:ascii="Times New Roman" w:hAnsi="Times New Roman" w:cs="Times New Roman"/>
                <w:color w:val="auto"/>
                <w:sz w:val="21"/>
                <w:szCs w:val="21"/>
                <w:vertAlign w:val="superscript"/>
              </w:rPr>
              <w:t>3</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搪瓷不带夹套</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160℃</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S-201、S-202</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回转真空</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干燥机</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2.0m</w:t>
            </w:r>
            <w:r>
              <w:rPr>
                <w:rFonts w:hint="default" w:ascii="Times New Roman" w:hAnsi="Times New Roman" w:cs="Times New Roman"/>
                <w:color w:val="auto"/>
                <w:sz w:val="21"/>
                <w:szCs w:val="21"/>
                <w:vertAlign w:val="superscript"/>
              </w:rPr>
              <w:t>3</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钛材内胆</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140℃</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L-201</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离心机</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内径800mm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钛材</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常温常压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E-201</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凉水塔</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玻纤增强</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树脂</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常温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E-202</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收集池</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6m</w:t>
            </w:r>
            <w:r>
              <w:rPr>
                <w:rFonts w:hint="default" w:ascii="Times New Roman" w:hAnsi="Times New Roman" w:cs="Times New Roman"/>
                <w:color w:val="auto"/>
                <w:sz w:val="21"/>
                <w:szCs w:val="21"/>
                <w:vertAlign w:val="superscript"/>
              </w:rPr>
              <w:t>3</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滤液、冷凝液收集用</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1" w:type="dxa"/>
            <w:gridSpan w:val="8"/>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二氯二茂钛主要工艺设备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R101</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双环戊二烯</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裂解釜</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Ø800×1300×8</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搪瓷</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170℃、常压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V104</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环戊二烯</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冷却罐</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Ø800×1300×8</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70℃、0.1Mpa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R109</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甲苯蒸馏釜</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Ø900×1610×12</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110℃、0.1Mpa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R107</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四氢呋喃</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蒸馏釜</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Ø900×1610×12</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70℃、0.1Mpa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R108</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甲醇蒸馏釜</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Ø900×1610×12</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110℃、0.1Mpa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V101A</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甲苯贮罐</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Ø1450×5700×10mm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常温、常压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V101B</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甲苯贮罐</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Ø1450×5700×10mm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常温、常压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R104</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甲苯加热釜</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Ø1450×2655×12mm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100℃、0.1Mpa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V112</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甲苯回收</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贮罐</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Ø2000×3500×8</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常温、常压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V110</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甲醇回收</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贮罐</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Ø1050×1800×6</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常温、常压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V111</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四氢呋喃</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回收贮罐</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Ø1450×2465×8mm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常温、常压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V102</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四氢呋喃</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贮罐</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Ø1450×2465×8mm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常温、常压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V109</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甲醇贮罐</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Ø1450×2465×8mm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常温、常压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V103</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四氯化钛</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贮罐</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Ø1000×1790×12mm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常温、常压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X101</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过滤器</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Ø500×700×8mm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常温、常压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V107</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四氢呋喃</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计量罐</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Ø650×2100×8</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常温、常压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V108</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四氯化钛</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计量罐</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Ø600×900×8mm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常温、常压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V105</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环戊二烯</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计量罐</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Ø700×1415×8</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常温、常压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V106</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二乙胺</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计量罐</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Ø600×900×8mm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常温、常压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V113</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增强聚丙烯水槽</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1000×1000×8mm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聚丙烯</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常温、常压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E105</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甲苯蒸馏</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冷凝器</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Ø200×2000×8</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碳钢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110℃、0.1Mpa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E103</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四氢呋喃</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蒸馏冷凝器</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Ø200×2000×8</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碳钢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70℃、0.1Mpa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E101</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双环戊二烯</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冷凝器</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Ø100×2000×8</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碳钢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常温、常压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E102</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反应釜</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冷凝器</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Ø100×2000×12</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rPr>
              <w:t>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碳钢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65℃、0.1Mpa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E105</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甲醇蒸馏</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冷凝器</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Ø200×2000×8</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碳钢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110℃、0.1Mpa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R102</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反应釜</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Ø1200×1285×12mm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65℃、0.1Mpa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27</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R103</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结晶釜</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Ø1200×1285×12mm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5℃、0.1Mpa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R106</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重结晶釜</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Ø1600×1925×12mm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5℃、0.1Mpa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R105</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洗涤釜</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Ø1050×1700×8</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30℃、0.1Mpa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R102</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反应釜</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搅拌机</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1500r/min</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组合件</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R103</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结晶釜</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搅拌机</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1500r/min</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组合件</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R106</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重结晶釜</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搅拌机</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1500r/min</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组合件</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33</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R105</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洗涤釜</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搅拌机</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1500r/min</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组合件</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P101A</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甲苯泵</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H50-25</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组合件</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常温、0.4Mpa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P101B</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甲苯泵</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H50-25</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组合件</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常温、0.4Mpa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36</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P102</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真空水泵</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SZB-8</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组合件</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常温、0.4Mpa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37</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R102</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反应釜</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Ø1200×1285×12mm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65℃、0.1Mpa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R108</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甲苯蒸馏釜</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Ø900×1610×12</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110℃、0.1Mpa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39</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R107</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四氢呋喃</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蒸馏釜</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Ø900×1610×12</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70℃、0.1Mpa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R104</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甲苯加热釜</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Ø1450×2655×12mm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100℃、0.1Mpa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6"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w:t>
            </w:r>
          </w:p>
        </w:tc>
        <w:tc>
          <w:tcPr>
            <w:tcW w:w="1292"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V104</w:t>
            </w:r>
          </w:p>
        </w:tc>
        <w:tc>
          <w:tcPr>
            <w:tcW w:w="16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环戊二烯</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冷却罐</w:t>
            </w:r>
          </w:p>
        </w:tc>
        <w:tc>
          <w:tcPr>
            <w:tcW w:w="198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Ø800×1300×8</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mm</w:t>
            </w:r>
          </w:p>
        </w:tc>
        <w:tc>
          <w:tcPr>
            <w:tcW w:w="1451"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不锈钢</w:t>
            </w:r>
          </w:p>
        </w:tc>
        <w:tc>
          <w:tcPr>
            <w:tcW w:w="505"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450"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23" w:type="dxa"/>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70℃、0.1Mpa</w:t>
            </w:r>
          </w:p>
        </w:tc>
      </w:tr>
    </w:tbl>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outlineLvl w:val="2"/>
        <w:rPr>
          <w:rFonts w:hint="default" w:ascii="Times New Roman" w:hAnsi="Times New Roman" w:cs="Times New Roman"/>
          <w:color w:val="auto"/>
        </w:rPr>
      </w:pPr>
      <w:bookmarkStart w:id="273" w:name="_Toc15651"/>
      <w:bookmarkStart w:id="274" w:name="_Toc17943"/>
      <w:bookmarkStart w:id="275" w:name="_Toc6670"/>
      <w:bookmarkStart w:id="276" w:name="_Toc12471"/>
      <w:bookmarkStart w:id="277" w:name="_Toc9576"/>
      <w:bookmarkStart w:id="278" w:name="_Toc4654"/>
      <w:bookmarkStart w:id="279" w:name="_Toc1712"/>
      <w:bookmarkStart w:id="280" w:name="_Toc9630"/>
      <w:bookmarkStart w:id="281" w:name="_Toc32433"/>
      <w:bookmarkStart w:id="282" w:name="_Toc25393"/>
      <w:bookmarkStart w:id="283" w:name="_Toc25454"/>
      <w:r>
        <w:rPr>
          <w:rFonts w:hint="default" w:ascii="Times New Roman" w:hAnsi="Times New Roman" w:cs="Times New Roman"/>
          <w:color w:val="auto"/>
        </w:rPr>
        <w:t>现有工程主要环保措施</w:t>
      </w:r>
      <w:bookmarkEnd w:id="273"/>
      <w:bookmarkEnd w:id="274"/>
      <w:bookmarkEnd w:id="275"/>
      <w:bookmarkEnd w:id="276"/>
      <w:bookmarkEnd w:id="277"/>
      <w:bookmarkEnd w:id="278"/>
      <w:bookmarkEnd w:id="279"/>
      <w:bookmarkEnd w:id="280"/>
      <w:bookmarkEnd w:id="281"/>
      <w:bookmarkEnd w:id="282"/>
      <w:bookmarkEnd w:id="283"/>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u w:val="single"/>
          <w:lang w:eastAsia="zh-CN"/>
        </w:rPr>
      </w:pPr>
      <w:bookmarkStart w:id="284" w:name="_Toc17970"/>
      <w:r>
        <w:rPr>
          <w:rFonts w:hint="default" w:ascii="Times New Roman" w:hAnsi="Times New Roman" w:cs="Times New Roman"/>
          <w:color w:val="auto"/>
        </w:rPr>
        <w:t>现有工程</w:t>
      </w:r>
      <w:r>
        <w:rPr>
          <w:rFonts w:hint="default" w:ascii="Times New Roman" w:hAnsi="Times New Roman" w:cs="Times New Roman"/>
          <w:color w:val="auto"/>
          <w:lang w:eastAsia="zh-CN"/>
        </w:rPr>
        <w:t>生产</w:t>
      </w:r>
      <w:r>
        <w:rPr>
          <w:rFonts w:hint="default" w:ascii="Times New Roman" w:hAnsi="Times New Roman" w:cs="Times New Roman"/>
          <w:color w:val="auto"/>
        </w:rPr>
        <w:t>抗氧化剂TNP、氯化锂</w:t>
      </w:r>
      <w:r>
        <w:rPr>
          <w:rFonts w:hint="default" w:ascii="Times New Roman" w:hAnsi="Times New Roman" w:cs="Times New Roman"/>
          <w:color w:val="auto"/>
          <w:lang w:eastAsia="zh-CN"/>
        </w:rPr>
        <w:t>和</w:t>
      </w:r>
      <w:r>
        <w:rPr>
          <w:rFonts w:hint="default" w:ascii="Times New Roman" w:hAnsi="Times New Roman" w:cs="Times New Roman"/>
          <w:color w:val="auto"/>
        </w:rPr>
        <w:t>催化剂二氯二茂钛</w:t>
      </w:r>
      <w:r>
        <w:rPr>
          <w:rFonts w:hint="default" w:ascii="Times New Roman" w:hAnsi="Times New Roman" w:cs="Times New Roman"/>
          <w:color w:val="auto"/>
          <w:u w:val="single"/>
          <w:lang w:eastAsia="zh-CN"/>
        </w:rPr>
        <w:t>。目前</w:t>
      </w:r>
      <w:r>
        <w:rPr>
          <w:rFonts w:hint="default" w:ascii="Times New Roman" w:hAnsi="Times New Roman" w:cs="Times New Roman"/>
          <w:color w:val="auto"/>
          <w:u w:val="single"/>
        </w:rPr>
        <w:t>抗氧化剂TNP与氯化锂生产线生产正常，由于市场原因催化剂二氯二茂钛暂停生产</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二氯二茂钛生产时产生废气</w:t>
      </w:r>
      <w:r>
        <w:rPr>
          <w:rFonts w:hint="default" w:ascii="Times New Roman" w:hAnsi="Times New Roman" w:cs="Times New Roman"/>
          <w:color w:val="auto"/>
          <w:u w:val="single"/>
          <w:lang w:eastAsia="zh-CN"/>
        </w:rPr>
        <w:t>VOCs</w:t>
      </w:r>
      <w:r>
        <w:rPr>
          <w:rFonts w:hint="default" w:ascii="Times New Roman" w:hAnsi="Times New Roman" w:cs="Times New Roman"/>
          <w:color w:val="auto"/>
          <w:u w:val="single"/>
        </w:rPr>
        <w:t>，其中包含特征污染物甲苯</w:t>
      </w:r>
      <w:r>
        <w:rPr>
          <w:rFonts w:hint="default" w:ascii="Times New Roman" w:hAnsi="Times New Roman" w:cs="Times New Roman"/>
          <w:color w:val="auto"/>
          <w:lang w:eastAsia="zh-CN"/>
        </w:rPr>
        <w:t>，</w:t>
      </w:r>
      <w:r>
        <w:rPr>
          <w:rFonts w:hint="default" w:ascii="Times New Roman" w:hAnsi="Times New Roman" w:cs="Times New Roman"/>
          <w:color w:val="auto"/>
          <w:u w:val="single"/>
        </w:rPr>
        <w:t>无废水外排</w:t>
      </w:r>
      <w:r>
        <w:rPr>
          <w:rFonts w:hint="default" w:ascii="Times New Roman" w:hAnsi="Times New Roman" w:cs="Times New Roman"/>
          <w:color w:val="auto"/>
          <w:u w:val="single"/>
          <w:lang w:eastAsia="zh-CN"/>
        </w:rPr>
        <w:t>）。</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eastAsia="zh-CN"/>
        </w:rPr>
        <w:t>岳阳市衡润检测公司</w:t>
      </w:r>
      <w:r>
        <w:rPr>
          <w:rFonts w:hint="default" w:ascii="Times New Roman" w:hAnsi="Times New Roman" w:cs="Times New Roman"/>
          <w:color w:val="auto"/>
          <w:u w:val="single"/>
          <w:lang w:val="en-US" w:eastAsia="zh-CN"/>
        </w:rPr>
        <w:t xml:space="preserve"> </w:t>
      </w:r>
      <w:r>
        <w:rPr>
          <w:rFonts w:hint="default" w:ascii="Times New Roman" w:hAnsi="Times New Roman" w:cs="Times New Roman"/>
          <w:color w:val="auto"/>
          <w:u w:val="single"/>
          <w:lang w:eastAsia="zh-CN"/>
        </w:rPr>
        <w:t>岳衡检字【</w:t>
      </w:r>
      <w:r>
        <w:rPr>
          <w:rFonts w:hint="default" w:ascii="Times New Roman" w:hAnsi="Times New Roman" w:cs="Times New Roman"/>
          <w:color w:val="auto"/>
          <w:u w:val="single"/>
          <w:lang w:val="en-US" w:eastAsia="zh-CN"/>
        </w:rPr>
        <w:t>2019】第232号 验收监测报告表明，鑫达公司生活废水排放口和生产废水排放口废水达标排放，无组织废气中颗粒物、甲苯、VOCs符合厂界排放限值，厂界噪声达标。现有工程验收达标，没有“以新带老”问题。</w:t>
      </w:r>
    </w:p>
    <w:p>
      <w:pPr>
        <w:pStyle w:val="7"/>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r>
        <w:rPr>
          <w:rFonts w:hint="default" w:ascii="Times New Roman" w:hAnsi="Times New Roman" w:cs="Times New Roman"/>
          <w:color w:val="auto"/>
        </w:rPr>
        <w:t>废气</w:t>
      </w:r>
      <w:bookmarkEnd w:id="284"/>
      <w:r>
        <w:rPr>
          <w:rFonts w:hint="default" w:ascii="Times New Roman" w:hAnsi="Times New Roman" w:cs="Times New Roman"/>
          <w:color w:val="auto"/>
        </w:rPr>
        <w:t>防治措施</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现有工程建有年产抗氧化剂TNP1000吨、氯化锂400吨、催化剂二氯二茂钛12吨三套生产装置，都配套有相应气体收集系统，生产过程中产生的废气随着密闭管道进入巴陵石化放空总管，再排至</w:t>
      </w:r>
      <w:r>
        <w:rPr>
          <w:rFonts w:hint="default" w:ascii="Times New Roman" w:hAnsi="Times New Roman" w:cs="Times New Roman"/>
          <w:color w:val="auto"/>
          <w:lang w:eastAsia="zh-CN"/>
        </w:rPr>
        <w:t>巴陵石化公司</w:t>
      </w:r>
      <w:r>
        <w:rPr>
          <w:rFonts w:hint="default" w:ascii="Times New Roman" w:hAnsi="Times New Roman" w:cs="Times New Roman"/>
          <w:color w:val="auto"/>
        </w:rPr>
        <w:t>火炬台进行燃烧处理。项目生产过程中产生的挥发性有机废气经放空总管收集后进入巴陵石化</w:t>
      </w:r>
      <w:r>
        <w:rPr>
          <w:rFonts w:hint="default" w:ascii="Times New Roman" w:hAnsi="Times New Roman" w:cs="Times New Roman"/>
          <w:color w:val="auto"/>
          <w:lang w:eastAsia="zh-CN"/>
        </w:rPr>
        <w:t>大型</w:t>
      </w:r>
      <w:r>
        <w:rPr>
          <w:rFonts w:hint="default" w:ascii="Times New Roman" w:hAnsi="Times New Roman" w:cs="Times New Roman"/>
          <w:color w:val="auto"/>
        </w:rPr>
        <w:t>气柜（事业部原有公共设施），对进入气柜的尾气继续采取低温冷凝+压缩冷凝回收工艺回收碳三、碳四等烃类组份综合利用，无法压缩冷凝回收的尾气排放火炬系统燃烧处理。火炬排放的烟气为装置反应尾气排放气、放空气、紧急事故排放气等可燃性气体，经火炬系统燃烧后的废气。排放的烟气成分主要为二氧化碳和水，实现清洁生产，改善环境质量。厂区废气监测结果如下：</w:t>
      </w:r>
    </w:p>
    <w:p>
      <w:pPr>
        <w:pStyle w:val="14"/>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vertAlign w:val="superscript"/>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cs="Times New Roman"/>
          <w:color w:val="auto"/>
        </w:rPr>
        <w:t>厂区废气监测情况  mg/m</w:t>
      </w:r>
      <w:r>
        <w:rPr>
          <w:rFonts w:hint="default" w:ascii="Times New Roman" w:hAnsi="Times New Roman" w:cs="Times New Roman"/>
          <w:color w:val="auto"/>
          <w:vertAlign w:val="superscript"/>
        </w:rPr>
        <w:t>3</w:t>
      </w:r>
    </w:p>
    <w:tbl>
      <w:tblPr>
        <w:tblStyle w:val="24"/>
        <w:tblW w:w="993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55"/>
        <w:gridCol w:w="966"/>
        <w:gridCol w:w="960"/>
        <w:gridCol w:w="990"/>
        <w:gridCol w:w="1020"/>
        <w:gridCol w:w="960"/>
        <w:gridCol w:w="945"/>
        <w:gridCol w:w="1452"/>
        <w:gridCol w:w="7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855" w:type="dxa"/>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pPr>
              <w:pStyle w:val="40"/>
              <w:keepNext w:val="0"/>
              <w:keepLines w:val="0"/>
              <w:suppressLineNumbers w:val="0"/>
              <w:bidi w:val="0"/>
              <w:snapToGrid w:val="0"/>
              <w:spacing w:before="0" w:beforeAutospacing="0" w:after="0" w:afterAutospacing="0"/>
              <w:ind w:left="0" w:right="0"/>
              <w:jc w:val="left"/>
              <mc:AlternateContent>
                <mc:Choice Requires="wpsCustomData">
                  <wpsCustomData:diagonalParaType/>
                </mc:Choice>
              </mc:AlternateContent>
              <w:rPr>
                <w:rFonts w:hint="default" w:ascii="Times New Roman" w:hAnsi="Times New Roman" w:eastAsia="宋体" w:cs="Times New Roman"/>
                <w:color w:val="auto"/>
                <w:sz w:val="21"/>
                <w:szCs w:val="21"/>
                <w:lang w:eastAsia="zh-CN"/>
              </w:rPr>
            </w:pPr>
            <w:bookmarkStart w:id="285" w:name="_Toc15070"/>
            <w:r>
              <w:rPr>
                <w:rFonts w:hint="default" w:ascii="Times New Roman" w:hAnsi="Times New Roman" w:cs="Times New Roman"/>
                <w:color w:val="auto"/>
                <w:sz w:val="21"/>
                <w:szCs w:val="21"/>
                <w:lang w:eastAsia="zh-CN"/>
              </w:rPr>
              <w:t>监测因子</w:t>
            </w:r>
          </w:p>
          <w:p>
            <w:pPr>
              <w:pStyle w:val="40"/>
              <w:keepNext w:val="0"/>
              <w:keepLines w:val="0"/>
              <w:suppressLineNumbers w:val="0"/>
              <w:bidi w:val="0"/>
              <w:spacing w:before="0" w:beforeAutospacing="0" w:after="0" w:afterAutospacing="0"/>
              <w:ind w:left="0" w:right="0"/>
              <w:jc w:val="right"/>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监测点</w:t>
            </w:r>
          </w:p>
        </w:tc>
        <w:tc>
          <w:tcPr>
            <w:tcW w:w="966"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厂界北</w:t>
            </w:r>
          </w:p>
        </w:tc>
        <w:tc>
          <w:tcPr>
            <w:tcW w:w="96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厂界南</w:t>
            </w:r>
          </w:p>
        </w:tc>
        <w:tc>
          <w:tcPr>
            <w:tcW w:w="99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厂界西</w:t>
            </w:r>
          </w:p>
        </w:tc>
        <w:tc>
          <w:tcPr>
            <w:tcW w:w="102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厂界东</w:t>
            </w:r>
          </w:p>
        </w:tc>
        <w:tc>
          <w:tcPr>
            <w:tcW w:w="96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w:t>
            </w:r>
          </w:p>
        </w:tc>
        <w:tc>
          <w:tcPr>
            <w:tcW w:w="945"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贮存库</w:t>
            </w:r>
          </w:p>
        </w:tc>
        <w:tc>
          <w:tcPr>
            <w:tcW w:w="1452"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浓度限值标准（厂界）</w:t>
            </w:r>
          </w:p>
        </w:tc>
        <w:tc>
          <w:tcPr>
            <w:tcW w:w="78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5"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966"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0.35</w:t>
            </w:r>
          </w:p>
        </w:tc>
        <w:tc>
          <w:tcPr>
            <w:tcW w:w="96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0.18</w:t>
            </w:r>
          </w:p>
        </w:tc>
        <w:tc>
          <w:tcPr>
            <w:tcW w:w="99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0.28</w:t>
            </w:r>
          </w:p>
        </w:tc>
        <w:tc>
          <w:tcPr>
            <w:tcW w:w="102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0.26</w:t>
            </w:r>
          </w:p>
        </w:tc>
        <w:tc>
          <w:tcPr>
            <w:tcW w:w="96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0.74</w:t>
            </w:r>
          </w:p>
        </w:tc>
        <w:tc>
          <w:tcPr>
            <w:tcW w:w="945"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0.72</w:t>
            </w:r>
          </w:p>
        </w:tc>
        <w:tc>
          <w:tcPr>
            <w:tcW w:w="1452"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78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5"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二氧化硫</w:t>
            </w:r>
          </w:p>
        </w:tc>
        <w:tc>
          <w:tcPr>
            <w:tcW w:w="966"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0.026</w:t>
            </w:r>
          </w:p>
        </w:tc>
        <w:tc>
          <w:tcPr>
            <w:tcW w:w="96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0.016</w:t>
            </w:r>
          </w:p>
        </w:tc>
        <w:tc>
          <w:tcPr>
            <w:tcW w:w="99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0.022</w:t>
            </w:r>
          </w:p>
        </w:tc>
        <w:tc>
          <w:tcPr>
            <w:tcW w:w="102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0.023</w:t>
            </w:r>
          </w:p>
        </w:tc>
        <w:tc>
          <w:tcPr>
            <w:tcW w:w="96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0.066</w:t>
            </w:r>
          </w:p>
        </w:tc>
        <w:tc>
          <w:tcPr>
            <w:tcW w:w="945"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0.068</w:t>
            </w:r>
          </w:p>
        </w:tc>
        <w:tc>
          <w:tcPr>
            <w:tcW w:w="1452"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c>
          <w:tcPr>
            <w:tcW w:w="78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5"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氮氧化物</w:t>
            </w:r>
          </w:p>
        </w:tc>
        <w:tc>
          <w:tcPr>
            <w:tcW w:w="966"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0.018</w:t>
            </w:r>
          </w:p>
        </w:tc>
        <w:tc>
          <w:tcPr>
            <w:tcW w:w="96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0.008</w:t>
            </w:r>
          </w:p>
        </w:tc>
        <w:tc>
          <w:tcPr>
            <w:tcW w:w="99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0.015</w:t>
            </w:r>
          </w:p>
        </w:tc>
        <w:tc>
          <w:tcPr>
            <w:tcW w:w="102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0.013</w:t>
            </w:r>
          </w:p>
        </w:tc>
        <w:tc>
          <w:tcPr>
            <w:tcW w:w="96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0.044</w:t>
            </w:r>
          </w:p>
        </w:tc>
        <w:tc>
          <w:tcPr>
            <w:tcW w:w="945"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0.042</w:t>
            </w:r>
          </w:p>
        </w:tc>
        <w:tc>
          <w:tcPr>
            <w:tcW w:w="1452"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0.15</w:t>
            </w:r>
          </w:p>
        </w:tc>
        <w:tc>
          <w:tcPr>
            <w:tcW w:w="78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5"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非甲烷总烃</w:t>
            </w:r>
          </w:p>
        </w:tc>
        <w:tc>
          <w:tcPr>
            <w:tcW w:w="966"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0.25</w:t>
            </w:r>
          </w:p>
        </w:tc>
        <w:tc>
          <w:tcPr>
            <w:tcW w:w="96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0.17</w:t>
            </w:r>
          </w:p>
        </w:tc>
        <w:tc>
          <w:tcPr>
            <w:tcW w:w="99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0.22</w:t>
            </w:r>
          </w:p>
        </w:tc>
        <w:tc>
          <w:tcPr>
            <w:tcW w:w="102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w:t>
            </w:r>
          </w:p>
        </w:tc>
        <w:tc>
          <w:tcPr>
            <w:tcW w:w="96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0.48</w:t>
            </w:r>
          </w:p>
        </w:tc>
        <w:tc>
          <w:tcPr>
            <w:tcW w:w="945"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0.42</w:t>
            </w:r>
          </w:p>
        </w:tc>
        <w:tc>
          <w:tcPr>
            <w:tcW w:w="1452"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78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1" w:type="dxa"/>
            <w:gridSpan w:val="9"/>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厂区废气补充监测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855" w:type="dxa"/>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pPr>
              <w:pStyle w:val="40"/>
              <w:keepNext w:val="0"/>
              <w:keepLines w:val="0"/>
              <w:suppressLineNumbers w:val="0"/>
              <w:bidi w:val="0"/>
              <w:snapToGrid w:val="0"/>
              <w:spacing w:before="0" w:beforeAutospacing="0" w:after="0" w:afterAutospacing="0"/>
              <w:ind w:left="0" w:right="0"/>
              <w:jc w:val="left"/>
              <mc:AlternateContent>
                <mc:Choice Requires="wpsCustomData">
                  <wpsCustomData:diagonalParaType/>
                </mc:Choice>
              </mc:AlternateContent>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监测因子</w:t>
            </w:r>
          </w:p>
          <w:p>
            <w:pPr>
              <w:pStyle w:val="40"/>
              <w:keepNext w:val="0"/>
              <w:keepLines w:val="0"/>
              <w:suppressLineNumbers w:val="0"/>
              <w:bidi w:val="0"/>
              <w:spacing w:before="0" w:beforeAutospacing="0" w:after="0" w:afterAutospacing="0"/>
              <w:ind w:left="0" w:right="0" w:firstLine="0" w:firstLineChars="0"/>
              <w:jc w:val="righ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监测点</w:t>
            </w:r>
          </w:p>
        </w:tc>
        <w:tc>
          <w:tcPr>
            <w:tcW w:w="966"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厂界北</w:t>
            </w:r>
          </w:p>
        </w:tc>
        <w:tc>
          <w:tcPr>
            <w:tcW w:w="96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厂界南</w:t>
            </w:r>
          </w:p>
        </w:tc>
        <w:tc>
          <w:tcPr>
            <w:tcW w:w="99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厂界西</w:t>
            </w:r>
          </w:p>
        </w:tc>
        <w:tc>
          <w:tcPr>
            <w:tcW w:w="102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厂界东</w:t>
            </w:r>
          </w:p>
        </w:tc>
        <w:tc>
          <w:tcPr>
            <w:tcW w:w="96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w:t>
            </w:r>
          </w:p>
        </w:tc>
        <w:tc>
          <w:tcPr>
            <w:tcW w:w="945"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贮存库</w:t>
            </w:r>
          </w:p>
        </w:tc>
        <w:tc>
          <w:tcPr>
            <w:tcW w:w="1452"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浓度限值标准（厂界）</w:t>
            </w:r>
          </w:p>
        </w:tc>
        <w:tc>
          <w:tcPr>
            <w:tcW w:w="78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5"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氯化氢</w:t>
            </w:r>
          </w:p>
        </w:tc>
        <w:tc>
          <w:tcPr>
            <w:tcW w:w="966"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&lt;0.05</w:t>
            </w:r>
          </w:p>
        </w:tc>
        <w:tc>
          <w:tcPr>
            <w:tcW w:w="96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&lt;0.05</w:t>
            </w:r>
          </w:p>
        </w:tc>
        <w:tc>
          <w:tcPr>
            <w:tcW w:w="99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&lt;0.05</w:t>
            </w:r>
          </w:p>
        </w:tc>
        <w:tc>
          <w:tcPr>
            <w:tcW w:w="102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&lt;0.05</w:t>
            </w:r>
          </w:p>
        </w:tc>
        <w:tc>
          <w:tcPr>
            <w:tcW w:w="96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0.085</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0.096</w:t>
            </w:r>
          </w:p>
        </w:tc>
        <w:tc>
          <w:tcPr>
            <w:tcW w:w="945"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452"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2</w:t>
            </w:r>
          </w:p>
        </w:tc>
        <w:tc>
          <w:tcPr>
            <w:tcW w:w="783"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5"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966"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&lt;0.05</w:t>
            </w:r>
          </w:p>
        </w:tc>
        <w:tc>
          <w:tcPr>
            <w:tcW w:w="96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&lt;0.05</w:t>
            </w:r>
          </w:p>
        </w:tc>
        <w:tc>
          <w:tcPr>
            <w:tcW w:w="99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&lt;0.05</w:t>
            </w:r>
          </w:p>
        </w:tc>
        <w:tc>
          <w:tcPr>
            <w:tcW w:w="102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&lt;0.05</w:t>
            </w:r>
          </w:p>
        </w:tc>
        <w:tc>
          <w:tcPr>
            <w:tcW w:w="96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0.085</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0.092</w:t>
            </w:r>
          </w:p>
        </w:tc>
        <w:tc>
          <w:tcPr>
            <w:tcW w:w="945"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452"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p>
        </w:tc>
        <w:tc>
          <w:tcPr>
            <w:tcW w:w="783"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5"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VOCs</w:t>
            </w:r>
          </w:p>
        </w:tc>
        <w:tc>
          <w:tcPr>
            <w:tcW w:w="966"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1.45</w:t>
            </w:r>
          </w:p>
        </w:tc>
        <w:tc>
          <w:tcPr>
            <w:tcW w:w="96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1.48</w:t>
            </w:r>
          </w:p>
        </w:tc>
        <w:tc>
          <w:tcPr>
            <w:tcW w:w="99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w:t>
            </w:r>
          </w:p>
        </w:tc>
        <w:tc>
          <w:tcPr>
            <w:tcW w:w="102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1.55</w:t>
            </w:r>
          </w:p>
        </w:tc>
        <w:tc>
          <w:tcPr>
            <w:tcW w:w="96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45"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452"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.0</w:t>
            </w:r>
          </w:p>
        </w:tc>
        <w:tc>
          <w:tcPr>
            <w:tcW w:w="783"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5"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966"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1.53</w:t>
            </w:r>
          </w:p>
        </w:tc>
        <w:tc>
          <w:tcPr>
            <w:tcW w:w="96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1.68</w:t>
            </w:r>
          </w:p>
        </w:tc>
        <w:tc>
          <w:tcPr>
            <w:tcW w:w="99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1.62</w:t>
            </w:r>
          </w:p>
        </w:tc>
        <w:tc>
          <w:tcPr>
            <w:tcW w:w="102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1.51</w:t>
            </w:r>
          </w:p>
        </w:tc>
        <w:tc>
          <w:tcPr>
            <w:tcW w:w="96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45"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452"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783"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5"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966"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1.59</w:t>
            </w:r>
          </w:p>
        </w:tc>
        <w:tc>
          <w:tcPr>
            <w:tcW w:w="96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1.36</w:t>
            </w:r>
          </w:p>
        </w:tc>
        <w:tc>
          <w:tcPr>
            <w:tcW w:w="99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1.45</w:t>
            </w:r>
          </w:p>
        </w:tc>
        <w:tc>
          <w:tcPr>
            <w:tcW w:w="102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1.42</w:t>
            </w:r>
          </w:p>
        </w:tc>
        <w:tc>
          <w:tcPr>
            <w:tcW w:w="96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45"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452"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783"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5"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甲苯</w:t>
            </w:r>
          </w:p>
        </w:tc>
        <w:tc>
          <w:tcPr>
            <w:tcW w:w="966"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0.57</w:t>
            </w:r>
          </w:p>
        </w:tc>
        <w:tc>
          <w:tcPr>
            <w:tcW w:w="96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0.62</w:t>
            </w:r>
          </w:p>
        </w:tc>
        <w:tc>
          <w:tcPr>
            <w:tcW w:w="99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0.74</w:t>
            </w:r>
          </w:p>
        </w:tc>
        <w:tc>
          <w:tcPr>
            <w:tcW w:w="102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0.71</w:t>
            </w:r>
          </w:p>
        </w:tc>
        <w:tc>
          <w:tcPr>
            <w:tcW w:w="96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45"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452"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w:t>
            </w:r>
          </w:p>
        </w:tc>
        <w:tc>
          <w:tcPr>
            <w:tcW w:w="783"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5"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966"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0.64</w:t>
            </w:r>
          </w:p>
        </w:tc>
        <w:tc>
          <w:tcPr>
            <w:tcW w:w="96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0.73</w:t>
            </w:r>
          </w:p>
        </w:tc>
        <w:tc>
          <w:tcPr>
            <w:tcW w:w="99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0.75</w:t>
            </w:r>
          </w:p>
        </w:tc>
        <w:tc>
          <w:tcPr>
            <w:tcW w:w="102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0.68</w:t>
            </w:r>
          </w:p>
        </w:tc>
        <w:tc>
          <w:tcPr>
            <w:tcW w:w="96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45"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452"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783"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5"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966"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0.75</w:t>
            </w:r>
          </w:p>
        </w:tc>
        <w:tc>
          <w:tcPr>
            <w:tcW w:w="96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0.51</w:t>
            </w:r>
          </w:p>
        </w:tc>
        <w:tc>
          <w:tcPr>
            <w:tcW w:w="99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0.67</w:t>
            </w:r>
          </w:p>
        </w:tc>
        <w:tc>
          <w:tcPr>
            <w:tcW w:w="102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0.64</w:t>
            </w:r>
          </w:p>
        </w:tc>
        <w:tc>
          <w:tcPr>
            <w:tcW w:w="96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45"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452"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783"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bl>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color w:val="auto"/>
        </w:rPr>
      </w:pPr>
      <w:r>
        <w:rPr>
          <w:rFonts w:hint="default" w:ascii="Times New Roman" w:hAnsi="Times New Roman" w:cs="Times New Roman"/>
          <w:color w:val="auto"/>
          <w:lang w:eastAsia="zh-CN"/>
        </w:rPr>
        <w:t>由上表可知</w:t>
      </w:r>
      <w:r>
        <w:rPr>
          <w:rFonts w:hint="default" w:ascii="Times New Roman" w:hAnsi="Times New Roman" w:cs="Times New Roman"/>
          <w:color w:val="auto"/>
        </w:rPr>
        <w:t>，项目厂界无组织排放监控点中污染物浓度符合《石油化学工业污染物排放标准》（GB31571-2015）排放限值要求和《无机化学工业污染物排放标准》（GB31573-2015）中大气污染物排放限值。</w:t>
      </w:r>
    </w:p>
    <w:bookmarkEnd w:id="285"/>
    <w:p>
      <w:pPr>
        <w:pStyle w:val="7"/>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r>
        <w:rPr>
          <w:rFonts w:hint="default" w:ascii="Times New Roman" w:hAnsi="Times New Roman" w:cs="Times New Roman"/>
          <w:color w:val="auto"/>
        </w:rPr>
        <w:t>废水防治措施</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现有工程废水主要为生产废水、生活废水和初期雨水，通过实际排水量和计算得知废水总量约为1956.983t/a，其中降雨前30min的初期雨水约6.3m</w:t>
      </w:r>
      <w:r>
        <w:rPr>
          <w:rFonts w:hint="default" w:ascii="Times New Roman" w:hAnsi="Times New Roman" w:cs="Times New Roman"/>
          <w:color w:val="auto"/>
          <w:vertAlign w:val="superscript"/>
        </w:rPr>
        <w:t>3</w:t>
      </w:r>
      <w:r>
        <w:rPr>
          <w:rFonts w:hint="default" w:ascii="Times New Roman" w:hAnsi="Times New Roman" w:cs="Times New Roman"/>
          <w:color w:val="auto"/>
        </w:rPr>
        <w:t>/次，则年初期雨水量约为489m</w:t>
      </w:r>
      <w:r>
        <w:rPr>
          <w:rFonts w:hint="default" w:ascii="Times New Roman" w:hAnsi="Times New Roman" w:cs="Times New Roman"/>
          <w:color w:val="auto"/>
          <w:vertAlign w:val="superscript"/>
        </w:rPr>
        <w:t>3</w:t>
      </w:r>
      <w:r>
        <w:rPr>
          <w:rFonts w:hint="default" w:ascii="Times New Roman" w:hAnsi="Times New Roman" w:cs="Times New Roman"/>
          <w:color w:val="auto"/>
        </w:rPr>
        <w:t>/a，生产废水1076.303t/a，生活废水391.68t/a，生活废水进化粪池进行处理，生产废水中TNP生产废水进入防腐水池进行酸碱中和处理，氯化锂生产废水进入废水收集池进行浓度测定，处理后的废水通过管道进入巴陵石化污水厂进行深度处理。</w:t>
      </w: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鑫达公司</w:t>
      </w:r>
      <w:r>
        <w:rPr>
          <w:rFonts w:hint="default" w:ascii="Times New Roman" w:hAnsi="Times New Roman" w:cs="Times New Roman"/>
          <w:color w:val="auto"/>
        </w:rPr>
        <w:t>厂区废水监测结果  mg/L</w:t>
      </w:r>
    </w:p>
    <w:tbl>
      <w:tblPr>
        <w:tblStyle w:val="24"/>
        <w:tblW w:w="911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2324"/>
        <w:gridCol w:w="907"/>
        <w:gridCol w:w="907"/>
        <w:gridCol w:w="907"/>
        <w:gridCol w:w="907"/>
        <w:gridCol w:w="907"/>
        <w:gridCol w:w="9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290"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采样时间</w:t>
            </w:r>
          </w:p>
        </w:tc>
        <w:tc>
          <w:tcPr>
            <w:tcW w:w="2324" w:type="dxa"/>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pPr>
              <w:pStyle w:val="40"/>
              <w:keepNext w:val="0"/>
              <w:keepLines w:val="0"/>
              <w:suppressLineNumbers w:val="0"/>
              <w:bidi w:val="0"/>
              <w:snapToGrid w:val="0"/>
              <w:spacing w:before="0" w:beforeAutospacing="0" w:after="0" w:afterAutospacing="0" w:line="240" w:lineRule="auto"/>
              <w:ind w:left="0" w:right="0"/>
              <w:jc w:val="left"/>
              <w:rPr>
                <w:rFonts w:hint="default" w:ascii="Times New Roman" w:hAnsi="Times New Roman" w:cs="Times New Roman"/>
                <w:color w:val="auto"/>
                <w:sz w:val="21"/>
                <w:szCs w:val="21"/>
                <w:lang w:eastAsia="zh-CN"/>
              </w:rPr>
            </w:pPr>
          </w:p>
          <w:p>
            <w:pPr>
              <w:pStyle w:val="40"/>
              <w:keepNext w:val="0"/>
              <w:keepLines w:val="0"/>
              <w:suppressLineNumbers w:val="0"/>
              <w:bidi w:val="0"/>
              <w:snapToGrid w:val="0"/>
              <w:spacing w:before="0" w:beforeAutospacing="0" w:after="0" w:afterAutospacing="0" w:line="240" w:lineRule="auto"/>
              <w:ind w:left="0" w:right="0"/>
              <w:jc w:val="left"/>
              <mc:AlternateContent>
                <mc:Choice Requires="wpsCustomData">
                  <wpsCustomData:diagonalParaType/>
                </mc:Choice>
              </mc:AlternateContent>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监测点</w:t>
            </w:r>
          </w:p>
          <w:p>
            <w:pPr>
              <w:pStyle w:val="40"/>
              <w:keepNext w:val="0"/>
              <w:keepLines w:val="0"/>
              <w:suppressLineNumbers w:val="0"/>
              <w:bidi w:val="0"/>
              <w:spacing w:before="0" w:beforeAutospacing="0" w:after="0" w:afterAutospacing="0" w:line="240" w:lineRule="auto"/>
              <w:ind w:left="0" w:right="0" w:firstLine="0" w:firstLineChars="0"/>
              <w:jc w:val="righ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监测因子</w:t>
            </w:r>
          </w:p>
        </w:tc>
        <w:tc>
          <w:tcPr>
            <w:tcW w:w="907"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w:t>
            </w:r>
          </w:p>
        </w:tc>
        <w:tc>
          <w:tcPr>
            <w:tcW w:w="907"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r>
              <w:rPr>
                <w:rFonts w:hint="default" w:ascii="Times New Roman" w:hAnsi="Times New Roman" w:cs="Times New Roman"/>
                <w:color w:val="auto"/>
                <w:sz w:val="21"/>
                <w:szCs w:val="21"/>
                <w:vertAlign w:val="subscript"/>
              </w:rPr>
              <w:t>cr</w:t>
            </w:r>
          </w:p>
        </w:tc>
        <w:tc>
          <w:tcPr>
            <w:tcW w:w="907"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907"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氨氮</w:t>
            </w:r>
          </w:p>
        </w:tc>
        <w:tc>
          <w:tcPr>
            <w:tcW w:w="907"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964"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石油类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0" w:type="dxa"/>
            <w:vMerge w:val="restart"/>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年</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月</w:t>
            </w:r>
            <w:r>
              <w:rPr>
                <w:rFonts w:hint="default" w:ascii="Times New Roman" w:hAnsi="Times New Roman" w:cs="Times New Roman"/>
                <w:color w:val="auto"/>
                <w:sz w:val="21"/>
                <w:szCs w:val="21"/>
                <w:lang w:val="en-US" w:eastAsia="zh-CN"/>
              </w:rPr>
              <w:t>28</w:t>
            </w:r>
            <w:r>
              <w:rPr>
                <w:rFonts w:hint="default" w:ascii="Times New Roman" w:hAnsi="Times New Roman" w:cs="Times New Roman"/>
                <w:color w:val="auto"/>
                <w:sz w:val="21"/>
                <w:szCs w:val="21"/>
              </w:rPr>
              <w:t>日</w:t>
            </w:r>
          </w:p>
        </w:tc>
        <w:tc>
          <w:tcPr>
            <w:tcW w:w="2324"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厂区总排口</w:t>
            </w:r>
          </w:p>
        </w:tc>
        <w:tc>
          <w:tcPr>
            <w:tcW w:w="907"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baseline"/>
                <w:lang w:val="en-US" w:eastAsia="zh-CN"/>
              </w:rPr>
              <w:t>7.71</w:t>
            </w:r>
          </w:p>
        </w:tc>
        <w:tc>
          <w:tcPr>
            <w:tcW w:w="907"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136</w:t>
            </w:r>
          </w:p>
        </w:tc>
        <w:tc>
          <w:tcPr>
            <w:tcW w:w="907"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81</w:t>
            </w:r>
          </w:p>
        </w:tc>
        <w:tc>
          <w:tcPr>
            <w:tcW w:w="907"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8.31</w:t>
            </w:r>
          </w:p>
        </w:tc>
        <w:tc>
          <w:tcPr>
            <w:tcW w:w="907"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11</w:t>
            </w:r>
          </w:p>
        </w:tc>
        <w:tc>
          <w:tcPr>
            <w:tcW w:w="964"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0" w:type="dxa"/>
            <w:vMerge w:val="continue"/>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p>
        </w:tc>
        <w:tc>
          <w:tcPr>
            <w:tcW w:w="2324"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生活废水排口</w:t>
            </w:r>
          </w:p>
        </w:tc>
        <w:tc>
          <w:tcPr>
            <w:tcW w:w="907"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baseline"/>
                <w:lang w:val="en-US" w:eastAsia="zh-CN"/>
              </w:rPr>
              <w:t>6.88</w:t>
            </w:r>
          </w:p>
        </w:tc>
        <w:tc>
          <w:tcPr>
            <w:tcW w:w="907"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166</w:t>
            </w:r>
          </w:p>
        </w:tc>
        <w:tc>
          <w:tcPr>
            <w:tcW w:w="907"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57.6</w:t>
            </w:r>
          </w:p>
        </w:tc>
        <w:tc>
          <w:tcPr>
            <w:tcW w:w="907"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26.3</w:t>
            </w:r>
          </w:p>
        </w:tc>
        <w:tc>
          <w:tcPr>
            <w:tcW w:w="907"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36</w:t>
            </w:r>
          </w:p>
        </w:tc>
        <w:tc>
          <w:tcPr>
            <w:tcW w:w="964"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0" w:type="dxa"/>
            <w:vMerge w:val="restart"/>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浓度限值</w:t>
            </w:r>
          </w:p>
        </w:tc>
        <w:tc>
          <w:tcPr>
            <w:tcW w:w="2324"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（GB31573-2015）表1中间接排放限值</w:t>
            </w:r>
          </w:p>
        </w:tc>
        <w:tc>
          <w:tcPr>
            <w:tcW w:w="907"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c>
          <w:tcPr>
            <w:tcW w:w="907"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c>
          <w:tcPr>
            <w:tcW w:w="907"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07"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907"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964"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0" w:type="dxa"/>
            <w:vMerge w:val="continue"/>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p>
        </w:tc>
        <w:tc>
          <w:tcPr>
            <w:tcW w:w="2324"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巴陵石化污水厂</w:t>
            </w:r>
          </w:p>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接管标准</w:t>
            </w:r>
          </w:p>
        </w:tc>
        <w:tc>
          <w:tcPr>
            <w:tcW w:w="907"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c>
          <w:tcPr>
            <w:tcW w:w="907"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1500</w:t>
            </w:r>
          </w:p>
        </w:tc>
        <w:tc>
          <w:tcPr>
            <w:tcW w:w="907" w:type="dxa"/>
            <w:tcBorders>
              <w:tl2br w:val="nil"/>
              <w:tr2bl w:val="nil"/>
            </w:tcBorders>
            <w:vAlign w:val="center"/>
          </w:tcPr>
          <w:p>
            <w:pPr>
              <w:keepNext w:val="0"/>
              <w:keepLines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color w:val="auto"/>
                <w:kern w:val="2"/>
                <w:sz w:val="21"/>
                <w:szCs w:val="21"/>
                <w:vertAlign w:val="baseline"/>
                <w:lang w:val="en-US" w:eastAsia="zh-CN" w:bidi="ar-SA"/>
              </w:rPr>
            </w:pPr>
          </w:p>
        </w:tc>
        <w:tc>
          <w:tcPr>
            <w:tcW w:w="907" w:type="dxa"/>
            <w:tcBorders>
              <w:tl2br w:val="nil"/>
              <w:tr2bl w:val="nil"/>
            </w:tcBorders>
            <w:vAlign w:val="center"/>
          </w:tcPr>
          <w:p>
            <w:pPr>
              <w:keepNext w:val="0"/>
              <w:keepLines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color w:val="auto"/>
                <w:kern w:val="2"/>
                <w:sz w:val="21"/>
                <w:szCs w:val="21"/>
                <w:vertAlign w:val="baseline"/>
                <w:lang w:val="en-US" w:eastAsia="zh-CN" w:bidi="ar-SA"/>
              </w:rPr>
            </w:pPr>
          </w:p>
        </w:tc>
        <w:tc>
          <w:tcPr>
            <w:tcW w:w="907"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64"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14" w:type="dxa"/>
            <w:gridSpan w:val="2"/>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是否达标</w:t>
            </w:r>
          </w:p>
        </w:tc>
        <w:tc>
          <w:tcPr>
            <w:tcW w:w="907"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c>
          <w:tcPr>
            <w:tcW w:w="907"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c>
          <w:tcPr>
            <w:tcW w:w="907"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07"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c>
          <w:tcPr>
            <w:tcW w:w="907"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c>
          <w:tcPr>
            <w:tcW w:w="964" w:type="dxa"/>
            <w:tcBorders>
              <w:tl2br w:val="nil"/>
              <w:tr2bl w:val="nil"/>
            </w:tcBorders>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r>
    </w:tbl>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color w:val="auto"/>
        </w:rPr>
      </w:pPr>
      <w:r>
        <w:rPr>
          <w:rFonts w:hint="default" w:ascii="Times New Roman" w:hAnsi="Times New Roman" w:cs="Times New Roman"/>
          <w:color w:val="auto"/>
        </w:rPr>
        <w:t>由上表可知，</w:t>
      </w:r>
      <w:r>
        <w:rPr>
          <w:rFonts w:hint="default" w:ascii="Times New Roman" w:hAnsi="Times New Roman" w:cs="Times New Roman"/>
          <w:color w:val="auto"/>
          <w:lang w:eastAsia="zh-CN"/>
        </w:rPr>
        <w:t>现有</w:t>
      </w:r>
      <w:r>
        <w:rPr>
          <w:rFonts w:hint="default" w:ascii="Times New Roman" w:hAnsi="Times New Roman" w:cs="Times New Roman"/>
          <w:color w:val="auto"/>
        </w:rPr>
        <w:t>项目厂区废水由生产废水和生活污水</w:t>
      </w:r>
      <w:r>
        <w:rPr>
          <w:rFonts w:hint="default" w:ascii="Times New Roman" w:hAnsi="Times New Roman" w:cs="Times New Roman"/>
          <w:color w:val="auto"/>
          <w:lang w:eastAsia="zh-CN"/>
        </w:rPr>
        <w:t>组成</w:t>
      </w:r>
      <w:r>
        <w:rPr>
          <w:rFonts w:hint="default" w:ascii="Times New Roman" w:hAnsi="Times New Roman" w:cs="Times New Roman"/>
          <w:color w:val="auto"/>
        </w:rPr>
        <w:t>，废水</w:t>
      </w:r>
      <w:r>
        <w:rPr>
          <w:rFonts w:hint="default" w:ascii="Times New Roman" w:hAnsi="Times New Roman" w:cs="Times New Roman"/>
          <w:color w:val="auto"/>
          <w:lang w:eastAsia="zh-CN"/>
        </w:rPr>
        <w:t>同时</w:t>
      </w:r>
      <w:r>
        <w:rPr>
          <w:rFonts w:hint="default" w:ascii="Times New Roman" w:hAnsi="Times New Roman" w:cs="Times New Roman"/>
          <w:color w:val="auto"/>
        </w:rPr>
        <w:t>满足《石油化学工业污染物排放标准》（GB31571-2015）表1中间排放限值和巴陵石化污水厂进水水质标准，做到</w:t>
      </w:r>
      <w:r>
        <w:rPr>
          <w:rFonts w:hint="default" w:ascii="Times New Roman" w:hAnsi="Times New Roman" w:cs="Times New Roman"/>
          <w:color w:val="auto"/>
          <w:lang w:eastAsia="zh-CN"/>
        </w:rPr>
        <w:t>了</w:t>
      </w:r>
      <w:r>
        <w:rPr>
          <w:rFonts w:hint="default" w:ascii="Times New Roman" w:hAnsi="Times New Roman" w:cs="Times New Roman"/>
          <w:color w:val="auto"/>
        </w:rPr>
        <w:t>达标排放。</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lang w:eastAsia="zh-CN"/>
        </w:rPr>
        <w:t>鑫达公司</w:t>
      </w:r>
      <w:r>
        <w:rPr>
          <w:rFonts w:hint="default" w:ascii="Times New Roman" w:hAnsi="Times New Roman" w:cs="Times New Roman"/>
          <w:color w:val="auto"/>
        </w:rPr>
        <w:t>厂区废水通过巴陵石化污水管道，进入</w:t>
      </w:r>
      <w:r>
        <w:rPr>
          <w:rFonts w:hint="default" w:ascii="Times New Roman" w:hAnsi="Times New Roman" w:cs="Times New Roman"/>
          <w:color w:val="auto"/>
          <w:lang w:val="en-US" w:eastAsia="zh-CN"/>
        </w:rPr>
        <w:t>巴陵石化公司水务部污水处理厂</w:t>
      </w:r>
      <w:r>
        <w:rPr>
          <w:rFonts w:hint="default" w:ascii="Times New Roman" w:hAnsi="Times New Roman" w:cs="Times New Roman"/>
          <w:color w:val="auto"/>
          <w:lang w:eastAsia="zh-CN"/>
        </w:rPr>
        <w:t>。巴陵石化</w:t>
      </w:r>
      <w:r>
        <w:rPr>
          <w:rFonts w:hint="default" w:ascii="Times New Roman" w:hAnsi="Times New Roman" w:cs="Times New Roman"/>
          <w:color w:val="auto"/>
          <w:highlight w:val="none"/>
        </w:rPr>
        <w:t>污</w:t>
      </w:r>
      <w:r>
        <w:rPr>
          <w:rFonts w:hint="default" w:ascii="Times New Roman" w:hAnsi="Times New Roman" w:cs="Times New Roman"/>
          <w:color w:val="auto"/>
        </w:rPr>
        <w:t>水处理厂现有2套生化处理装置和1套环氧污水处理设施，</w:t>
      </w:r>
      <w:r>
        <w:rPr>
          <w:rFonts w:hint="default" w:ascii="Times New Roman" w:hAnsi="Times New Roman" w:cs="Times New Roman"/>
          <w:color w:val="auto"/>
          <w:lang w:eastAsia="zh-CN"/>
        </w:rPr>
        <w:t>处理</w:t>
      </w:r>
      <w:r>
        <w:rPr>
          <w:rFonts w:hint="default" w:ascii="Times New Roman" w:hAnsi="Times New Roman" w:cs="Times New Roman"/>
          <w:color w:val="auto"/>
        </w:rPr>
        <w:t>总规模1200m</w:t>
      </w:r>
      <w:r>
        <w:rPr>
          <w:rFonts w:hint="default" w:ascii="Times New Roman" w:hAnsi="Times New Roman" w:cs="Times New Roman"/>
          <w:color w:val="auto"/>
          <w:vertAlign w:val="superscript"/>
        </w:rPr>
        <w:t>3</w:t>
      </w:r>
      <w:r>
        <w:rPr>
          <w:rFonts w:hint="default" w:ascii="Times New Roman" w:hAnsi="Times New Roman" w:cs="Times New Roman"/>
          <w:color w:val="auto"/>
        </w:rPr>
        <w:t>/h，目前实际处理880m</w:t>
      </w:r>
      <w:r>
        <w:rPr>
          <w:rFonts w:hint="default" w:ascii="Times New Roman" w:hAnsi="Times New Roman" w:cs="Times New Roman"/>
          <w:color w:val="auto"/>
          <w:vertAlign w:val="superscript"/>
        </w:rPr>
        <w:t>3</w:t>
      </w:r>
      <w:r>
        <w:rPr>
          <w:rFonts w:hint="default" w:ascii="Times New Roman" w:hAnsi="Times New Roman" w:cs="Times New Roman"/>
          <w:color w:val="auto"/>
        </w:rPr>
        <w:t>/h。其中生化污水处理系统设计规模700m</w:t>
      </w:r>
      <w:r>
        <w:rPr>
          <w:rFonts w:hint="default" w:ascii="Times New Roman" w:hAnsi="Times New Roman" w:cs="Times New Roman"/>
          <w:color w:val="auto"/>
          <w:vertAlign w:val="superscript"/>
        </w:rPr>
        <w:t>3</w:t>
      </w:r>
      <w:r>
        <w:rPr>
          <w:rFonts w:hint="default" w:ascii="Times New Roman" w:hAnsi="Times New Roman" w:cs="Times New Roman"/>
          <w:color w:val="auto"/>
        </w:rPr>
        <w:t>/h</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2017年</w:t>
      </w:r>
      <w:r>
        <w:rPr>
          <w:rFonts w:hint="default" w:ascii="Times New Roman" w:hAnsi="Times New Roman" w:cs="Times New Roman"/>
          <w:color w:val="auto"/>
        </w:rPr>
        <w:t>实际处理量为520m</w:t>
      </w:r>
      <w:r>
        <w:rPr>
          <w:rFonts w:hint="default" w:ascii="Times New Roman" w:hAnsi="Times New Roman" w:cs="Times New Roman"/>
          <w:color w:val="auto"/>
          <w:vertAlign w:val="superscript"/>
        </w:rPr>
        <w:t>3</w:t>
      </w:r>
      <w:r>
        <w:rPr>
          <w:rFonts w:hint="default" w:ascii="Times New Roman" w:hAnsi="Times New Roman" w:cs="Times New Roman"/>
          <w:color w:val="auto"/>
        </w:rPr>
        <w:t>/h。</w:t>
      </w:r>
      <w:r>
        <w:rPr>
          <w:rFonts w:hint="default" w:ascii="Times New Roman" w:hAnsi="Times New Roman" w:cs="Times New Roman"/>
          <w:color w:val="auto"/>
          <w:lang w:val="en-US" w:eastAsia="zh-CN"/>
        </w:rPr>
        <w:t>2020年8月20日巴陵石化公司污水处理厂出水在线监测流量为141.48 m3/h，处理能力充足，富余较多。详见附件。巴陵石化公司污水处理厂出水</w:t>
      </w:r>
      <w:r>
        <w:rPr>
          <w:rFonts w:hint="default" w:ascii="Times New Roman" w:hAnsi="Times New Roman" w:cs="Times New Roman"/>
          <w:color w:val="auto"/>
          <w:lang w:eastAsia="zh-CN"/>
        </w:rPr>
        <w:t>达到石油化工工业污染物排放标准（GB31571-2015）表1限值</w:t>
      </w:r>
      <w:r>
        <w:rPr>
          <w:rFonts w:hint="default" w:ascii="Times New Roman" w:hAnsi="Times New Roman" w:cs="Times New Roman"/>
          <w:color w:val="auto"/>
        </w:rPr>
        <w:t>后，通过管道外排至长江</w:t>
      </w:r>
      <w:r>
        <w:rPr>
          <w:rFonts w:hint="default" w:ascii="Times New Roman" w:hAnsi="Times New Roman" w:cs="Times New Roman"/>
          <w:color w:val="auto"/>
          <w:lang w:eastAsia="zh-CN"/>
        </w:rPr>
        <w:t>。</w:t>
      </w:r>
      <w:r>
        <w:rPr>
          <w:rFonts w:hint="default" w:ascii="Times New Roman" w:hAnsi="Times New Roman" w:cs="Times New Roman"/>
          <w:color w:val="auto"/>
        </w:rPr>
        <w:t>项目具体排水路径</w:t>
      </w:r>
      <w:r>
        <w:rPr>
          <w:rFonts w:hint="default" w:ascii="Times New Roman" w:hAnsi="Times New Roman" w:cs="Times New Roman"/>
          <w:color w:val="auto"/>
          <w:highlight w:val="none"/>
        </w:rPr>
        <w:t>见附图</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第一套污水处理装置采用O/O处理工艺，设计处理水量400m</w:t>
      </w:r>
      <w:r>
        <w:rPr>
          <w:rFonts w:hint="default" w:ascii="Times New Roman" w:hAnsi="Times New Roman" w:cs="Times New Roman"/>
          <w:color w:val="auto"/>
          <w:vertAlign w:val="superscript"/>
        </w:rPr>
        <w:t>3</w:t>
      </w:r>
      <w:r>
        <w:rPr>
          <w:rFonts w:hint="default" w:ascii="Times New Roman" w:hAnsi="Times New Roman" w:cs="Times New Roman"/>
          <w:color w:val="auto"/>
        </w:rPr>
        <w:t>/h。</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第二套为A/O/O装置，即缺氧－好氧-好氧组合工艺，设计处理水量300m</w:t>
      </w:r>
      <w:r>
        <w:rPr>
          <w:rFonts w:hint="default" w:ascii="Times New Roman" w:hAnsi="Times New Roman" w:cs="Times New Roman"/>
          <w:color w:val="auto"/>
          <w:vertAlign w:val="superscript"/>
        </w:rPr>
        <w:t>3</w:t>
      </w:r>
      <w:r>
        <w:rPr>
          <w:rFonts w:hint="default" w:ascii="Times New Roman" w:hAnsi="Times New Roman" w:cs="Times New Roman"/>
          <w:color w:val="auto"/>
        </w:rPr>
        <w:t>/h。</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第三套为HO/O装置，采用高浓度活性污泥法＋二段接触氧化工艺，设计处理水量500m</w:t>
      </w:r>
      <w:r>
        <w:rPr>
          <w:rFonts w:hint="default" w:ascii="Times New Roman" w:hAnsi="Times New Roman" w:cs="Times New Roman"/>
          <w:color w:val="auto"/>
          <w:vertAlign w:val="superscript"/>
        </w:rPr>
        <w:t>3</w:t>
      </w:r>
      <w:r>
        <w:rPr>
          <w:rFonts w:hint="default" w:ascii="Times New Roman" w:hAnsi="Times New Roman" w:cs="Times New Roman"/>
          <w:color w:val="auto"/>
        </w:rPr>
        <w:t>/h，单独处理环氧树脂事业部环氧污水。</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污水处理厂工程设计进水水质COD</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1500mg/L，出水COD</w:t>
      </w:r>
      <w:r>
        <w:rPr>
          <w:rFonts w:hint="default" w:ascii="Times New Roman" w:hAnsi="Times New Roman" w:cs="Times New Roman"/>
          <w:color w:val="auto"/>
          <w:lang w:eastAsia="zh-CN"/>
        </w:rPr>
        <w:t>≦</w:t>
      </w:r>
      <w:r>
        <w:rPr>
          <w:rFonts w:hint="default" w:ascii="Times New Roman" w:hAnsi="Times New Roman" w:cs="Times New Roman"/>
          <w:color w:val="auto"/>
        </w:rPr>
        <w:t>60mg/L。</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根据中国石化集团资产经营管理有限公司</w:t>
      </w:r>
      <w:r>
        <w:rPr>
          <w:rFonts w:hint="default" w:ascii="Times New Roman" w:hAnsi="Times New Roman" w:cs="Times New Roman"/>
          <w:color w:val="auto"/>
          <w:lang w:eastAsia="zh-CN"/>
        </w:rPr>
        <w:t>巴陵石化公司</w:t>
      </w:r>
      <w:r>
        <w:rPr>
          <w:rFonts w:hint="default" w:ascii="Times New Roman" w:hAnsi="Times New Roman" w:cs="Times New Roman"/>
          <w:color w:val="auto"/>
        </w:rPr>
        <w:t>2017年全年监督性监测数据可知（详见下表），</w:t>
      </w:r>
      <w:r>
        <w:rPr>
          <w:rFonts w:hint="default" w:ascii="Times New Roman" w:hAnsi="Times New Roman" w:cs="Times New Roman"/>
          <w:color w:val="auto"/>
          <w:lang w:eastAsia="zh-CN"/>
        </w:rPr>
        <w:t>巴陵石化公司</w:t>
      </w:r>
      <w:r>
        <w:rPr>
          <w:rFonts w:hint="default" w:ascii="Times New Roman" w:hAnsi="Times New Roman" w:cs="Times New Roman"/>
          <w:color w:val="auto"/>
        </w:rPr>
        <w:t>废水经生化处理后满足2017年7月1日起执行《石油化学工业污染物排放标准》（GB31571-2015）表1限值要求。</w:t>
      </w: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lang w:eastAsia="zh-CN"/>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8</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eastAsia="zh-CN"/>
        </w:rPr>
        <w:t>巴陵石化公司</w:t>
      </w:r>
      <w:r>
        <w:rPr>
          <w:rFonts w:hint="default" w:ascii="Times New Roman" w:hAnsi="Times New Roman" w:cs="Times New Roman"/>
          <w:color w:val="auto"/>
        </w:rPr>
        <w:t>污水处理厂水质监测结果表  单位：mg/L</w:t>
      </w:r>
      <w:r>
        <w:rPr>
          <w:rFonts w:hint="default" w:ascii="Times New Roman" w:hAnsi="Times New Roman" w:cs="Times New Roman"/>
          <w:color w:val="auto"/>
          <w:lang w:eastAsia="zh-CN"/>
        </w:rPr>
        <w:t>（</w:t>
      </w:r>
      <w:r>
        <w:rPr>
          <w:rFonts w:hint="default" w:ascii="Times New Roman" w:hAnsi="Times New Roman" w:cs="Times New Roman"/>
          <w:color w:val="auto"/>
        </w:rPr>
        <w:t>pH除外</w:t>
      </w:r>
      <w:r>
        <w:rPr>
          <w:rFonts w:hint="default" w:ascii="Times New Roman" w:hAnsi="Times New Roman" w:cs="Times New Roman"/>
          <w:color w:val="auto"/>
          <w:lang w:eastAsia="zh-CN"/>
        </w:rPr>
        <w:t>）</w:t>
      </w:r>
    </w:p>
    <w:tbl>
      <w:tblPr>
        <w:tblStyle w:val="24"/>
        <w:tblpPr w:leftFromText="180" w:rightFromText="180" w:vertAnchor="text" w:horzAnchor="page" w:tblpX="1485" w:tblpY="213"/>
        <w:tblOverlap w:val="never"/>
        <w:tblW w:w="951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973"/>
        <w:gridCol w:w="903"/>
        <w:gridCol w:w="818"/>
        <w:gridCol w:w="730"/>
        <w:gridCol w:w="758"/>
        <w:gridCol w:w="910"/>
        <w:gridCol w:w="859"/>
        <w:gridCol w:w="900"/>
        <w:gridCol w:w="8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764" w:type="dxa"/>
            <w:gridSpan w:val="2"/>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监测点位及时间</w:t>
            </w:r>
          </w:p>
        </w:tc>
        <w:tc>
          <w:tcPr>
            <w:tcW w:w="90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流量</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w:t>
            </w:r>
          </w:p>
        </w:tc>
        <w:tc>
          <w:tcPr>
            <w:tcW w:w="81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w:t>
            </w:r>
          </w:p>
        </w:tc>
        <w:tc>
          <w:tcPr>
            <w:tcW w:w="7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75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91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85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石油类</w:t>
            </w:r>
          </w:p>
        </w:tc>
        <w:tc>
          <w:tcPr>
            <w:tcW w:w="9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悬浮物</w:t>
            </w:r>
          </w:p>
        </w:tc>
        <w:tc>
          <w:tcPr>
            <w:tcW w:w="87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挥发酚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91" w:type="dxa"/>
            <w:vMerge w:val="restart"/>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处理设施总排口</w:t>
            </w:r>
          </w:p>
        </w:tc>
        <w:tc>
          <w:tcPr>
            <w:tcW w:w="197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2020年8月20日</w:t>
            </w:r>
          </w:p>
        </w:tc>
        <w:tc>
          <w:tcPr>
            <w:tcW w:w="90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141.48</w:t>
            </w:r>
          </w:p>
        </w:tc>
        <w:tc>
          <w:tcPr>
            <w:tcW w:w="81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7.71</w:t>
            </w:r>
          </w:p>
        </w:tc>
        <w:tc>
          <w:tcPr>
            <w:tcW w:w="7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35.1</w:t>
            </w:r>
          </w:p>
        </w:tc>
        <w:tc>
          <w:tcPr>
            <w:tcW w:w="75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91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0.22</w:t>
            </w:r>
          </w:p>
        </w:tc>
        <w:tc>
          <w:tcPr>
            <w:tcW w:w="85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9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87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791"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197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2017年</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季度</w:t>
            </w:r>
          </w:p>
        </w:tc>
        <w:tc>
          <w:tcPr>
            <w:tcW w:w="90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sz w:val="21"/>
                <w:szCs w:val="21"/>
              </w:rPr>
            </w:pPr>
          </w:p>
        </w:tc>
        <w:tc>
          <w:tcPr>
            <w:tcW w:w="81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7.63</w:t>
            </w:r>
          </w:p>
        </w:tc>
        <w:tc>
          <w:tcPr>
            <w:tcW w:w="7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44.2</w:t>
            </w:r>
          </w:p>
        </w:tc>
        <w:tc>
          <w:tcPr>
            <w:tcW w:w="75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91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0.507</w:t>
            </w:r>
          </w:p>
        </w:tc>
        <w:tc>
          <w:tcPr>
            <w:tcW w:w="85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0.09</w:t>
            </w:r>
          </w:p>
        </w:tc>
        <w:tc>
          <w:tcPr>
            <w:tcW w:w="9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14</w:t>
            </w:r>
          </w:p>
        </w:tc>
        <w:tc>
          <w:tcPr>
            <w:tcW w:w="87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1"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197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2017年</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季度</w:t>
            </w:r>
          </w:p>
        </w:tc>
        <w:tc>
          <w:tcPr>
            <w:tcW w:w="90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bookmarkStart w:id="286" w:name="OLE_LINK7"/>
          </w:p>
        </w:tc>
        <w:tc>
          <w:tcPr>
            <w:tcW w:w="81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bookmarkEnd w:id="286"/>
          </w:p>
        </w:tc>
        <w:tc>
          <w:tcPr>
            <w:tcW w:w="7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w:t>
            </w:r>
          </w:p>
        </w:tc>
        <w:tc>
          <w:tcPr>
            <w:tcW w:w="75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1.49</w:t>
            </w:r>
          </w:p>
        </w:tc>
        <w:tc>
          <w:tcPr>
            <w:tcW w:w="85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1"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197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2017年</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季度</w:t>
            </w:r>
          </w:p>
        </w:tc>
        <w:tc>
          <w:tcPr>
            <w:tcW w:w="90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81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7.30</w:t>
            </w:r>
          </w:p>
        </w:tc>
        <w:tc>
          <w:tcPr>
            <w:tcW w:w="7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75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w:t>
            </w:r>
          </w:p>
        </w:tc>
        <w:tc>
          <w:tcPr>
            <w:tcW w:w="91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2.12</w:t>
            </w:r>
          </w:p>
        </w:tc>
        <w:tc>
          <w:tcPr>
            <w:tcW w:w="85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0.08</w:t>
            </w:r>
          </w:p>
        </w:tc>
        <w:tc>
          <w:tcPr>
            <w:tcW w:w="9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87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1"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197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2017年</w:t>
            </w: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季度</w:t>
            </w:r>
          </w:p>
        </w:tc>
        <w:tc>
          <w:tcPr>
            <w:tcW w:w="90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81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41.5</w:t>
            </w:r>
          </w:p>
        </w:tc>
        <w:tc>
          <w:tcPr>
            <w:tcW w:w="75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1.76</w:t>
            </w:r>
          </w:p>
        </w:tc>
        <w:tc>
          <w:tcPr>
            <w:tcW w:w="85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4" w:type="dxa"/>
            <w:gridSpan w:val="2"/>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石油化工污染物排放标准</w:t>
            </w:r>
            <w:r>
              <w:rPr>
                <w:rFonts w:hint="default" w:ascii="Times New Roman" w:hAnsi="Times New Roman" w:cs="Times New Roman"/>
                <w:color w:val="auto"/>
                <w:sz w:val="21"/>
                <w:szCs w:val="21"/>
              </w:rPr>
              <w:t>（GB31571-2015）表1限值</w:t>
            </w:r>
          </w:p>
        </w:tc>
        <w:tc>
          <w:tcPr>
            <w:tcW w:w="90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81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9</w:t>
            </w:r>
          </w:p>
        </w:tc>
        <w:tc>
          <w:tcPr>
            <w:tcW w:w="7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75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91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85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9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87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4" w:type="dxa"/>
            <w:gridSpan w:val="2"/>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是否达标</w:t>
            </w:r>
          </w:p>
        </w:tc>
        <w:tc>
          <w:tcPr>
            <w:tcW w:w="90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81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c>
          <w:tcPr>
            <w:tcW w:w="7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c>
          <w:tcPr>
            <w:tcW w:w="75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c>
          <w:tcPr>
            <w:tcW w:w="91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c>
          <w:tcPr>
            <w:tcW w:w="85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c>
          <w:tcPr>
            <w:tcW w:w="9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c>
          <w:tcPr>
            <w:tcW w:w="87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764" w:type="dxa"/>
            <w:gridSpan w:val="2"/>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备注</w:t>
            </w:r>
          </w:p>
        </w:tc>
        <w:tc>
          <w:tcPr>
            <w:tcW w:w="6749" w:type="dxa"/>
            <w:gridSpan w:val="8"/>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1、2020年8月20日巴陵石化公司水务部</w:t>
            </w:r>
            <w:r>
              <w:rPr>
                <w:rFonts w:hint="eastAsia" w:cs="Times New Roman"/>
                <w:color w:val="auto"/>
                <w:sz w:val="21"/>
                <w:szCs w:val="21"/>
                <w:lang w:val="en-US" w:eastAsia="zh-CN"/>
              </w:rPr>
              <w:t>污水处理厂</w:t>
            </w:r>
            <w:r>
              <w:rPr>
                <w:rFonts w:hint="default" w:ascii="Times New Roman" w:hAnsi="Times New Roman" w:cs="Times New Roman"/>
                <w:color w:val="auto"/>
                <w:sz w:val="21"/>
                <w:szCs w:val="21"/>
                <w:lang w:val="en-US" w:eastAsia="zh-CN"/>
              </w:rPr>
              <w:t>云溪生化装置出水质量检测报告详见附件；</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ND表示未检出。</w:t>
            </w:r>
          </w:p>
        </w:tc>
      </w:tr>
    </w:tbl>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color w:val="auto"/>
        </w:rPr>
      </w:pP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color w:val="auto"/>
        </w:rPr>
      </w:pPr>
      <w:r>
        <w:rPr>
          <w:rFonts w:hint="default" w:ascii="Times New Roman" w:hAnsi="Times New Roman" w:cs="Times New Roman"/>
          <w:color w:val="auto"/>
        </w:rPr>
        <w:t>岳阳鑫达实业有限公司废水均通过暗沟输送至巴陵石化污水处理厂处理。目前，巴陵石化污水处理厂的废水经处理后均能实现达标排放，而且处理水量有一定富余。本项目废水一直纳入巴陵石化污水处理厂进行处理的，因此其依托可行。</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lang w:eastAsia="zh-CN"/>
        </w:rPr>
        <w:t>巴陵石化公司</w:t>
      </w:r>
      <w:r>
        <w:rPr>
          <w:rFonts w:hint="default" w:ascii="Times New Roman" w:hAnsi="Times New Roman" w:cs="Times New Roman"/>
          <w:color w:val="auto"/>
        </w:rPr>
        <w:t>已有一座环境监测站，负责巴陵石化各个事业部和装置的环保监测工作，项目的环境监测工作依托巴陵石化的监测站。</w:t>
      </w:r>
    </w:p>
    <w:p>
      <w:pPr>
        <w:pStyle w:val="7"/>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r>
        <w:rPr>
          <w:rFonts w:hint="default" w:ascii="Times New Roman" w:hAnsi="Times New Roman" w:cs="Times New Roman"/>
          <w:color w:val="auto"/>
        </w:rPr>
        <w:t>噪声防治措施</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本项目生产抗氧化剂TNP、氯化锂和催化剂二氯二茂钛生产设备较为简单，主要噪声源主要为各反应过程中的反应釜搅拌电机、泵的电机等的转动部件产生的噪声等，主要噪声源状况及治理措施见表</w:t>
      </w:r>
      <w:r>
        <w:rPr>
          <w:rFonts w:hint="default" w:ascii="Times New Roman" w:hAnsi="Times New Roman" w:cs="Times New Roman"/>
          <w:color w:val="auto"/>
          <w:lang w:val="en-US" w:eastAsia="zh-CN"/>
        </w:rPr>
        <w:t>3-9</w:t>
      </w:r>
      <w:r>
        <w:rPr>
          <w:rFonts w:hint="default" w:ascii="Times New Roman" w:hAnsi="Times New Roman" w:cs="Times New Roman"/>
          <w:color w:val="auto"/>
        </w:rPr>
        <w:t>。</w:t>
      </w: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9</w:t>
      </w:r>
      <w:r>
        <w:rPr>
          <w:rFonts w:hint="default" w:ascii="Times New Roman" w:hAnsi="Times New Roman" w:cs="Times New Roman"/>
          <w:color w:val="auto"/>
        </w:rPr>
        <w:fldChar w:fldCharType="end"/>
      </w:r>
      <w:r>
        <w:rPr>
          <w:rFonts w:hint="default" w:ascii="Times New Roman" w:hAnsi="Times New Roman" w:cs="Times New Roman"/>
          <w:color w:val="auto"/>
        </w:rPr>
        <w:t>主要噪声设备一览表</w:t>
      </w:r>
    </w:p>
    <w:tbl>
      <w:tblPr>
        <w:tblStyle w:val="24"/>
        <w:tblW w:w="92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7"/>
        <w:gridCol w:w="1891"/>
        <w:gridCol w:w="1306"/>
        <w:gridCol w:w="1935"/>
        <w:gridCol w:w="33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89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设备名称</w:t>
            </w:r>
          </w:p>
        </w:tc>
        <w:tc>
          <w:tcPr>
            <w:tcW w:w="130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运行规律</w:t>
            </w:r>
          </w:p>
        </w:tc>
        <w:tc>
          <w:tcPr>
            <w:tcW w:w="193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声源强度dB（A）</w:t>
            </w:r>
          </w:p>
        </w:tc>
        <w:tc>
          <w:tcPr>
            <w:tcW w:w="331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89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反应釜搅拌电机</w:t>
            </w:r>
          </w:p>
        </w:tc>
        <w:tc>
          <w:tcPr>
            <w:tcW w:w="130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间歇</w:t>
            </w:r>
          </w:p>
        </w:tc>
        <w:tc>
          <w:tcPr>
            <w:tcW w:w="193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c>
          <w:tcPr>
            <w:tcW w:w="331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选用低噪声设备、隔声、减震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89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泵类</w:t>
            </w:r>
          </w:p>
        </w:tc>
        <w:tc>
          <w:tcPr>
            <w:tcW w:w="130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间歇</w:t>
            </w:r>
          </w:p>
        </w:tc>
        <w:tc>
          <w:tcPr>
            <w:tcW w:w="193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85</w:t>
            </w:r>
          </w:p>
        </w:tc>
        <w:tc>
          <w:tcPr>
            <w:tcW w:w="331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选用低噪声设备、隔声、减震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89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冷凝器</w:t>
            </w:r>
          </w:p>
        </w:tc>
        <w:tc>
          <w:tcPr>
            <w:tcW w:w="130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间歇</w:t>
            </w:r>
          </w:p>
        </w:tc>
        <w:tc>
          <w:tcPr>
            <w:tcW w:w="193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c>
          <w:tcPr>
            <w:tcW w:w="331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选用低噪声设备、隔声、减震</w:t>
            </w:r>
          </w:p>
        </w:tc>
      </w:tr>
    </w:tbl>
    <w:p>
      <w:pPr>
        <w:pStyle w:val="39"/>
        <w:bidi w:val="0"/>
        <w:rPr>
          <w:rFonts w:hint="default" w:ascii="Times New Roman" w:hAnsi="Times New Roman" w:cs="Times New Roman"/>
          <w:color w:val="auto"/>
        </w:rPr>
      </w:pPr>
    </w:p>
    <w:p>
      <w:pPr>
        <w:pStyle w:val="39"/>
        <w:bidi w:val="0"/>
        <w:rPr>
          <w:rFonts w:hint="default" w:ascii="Times New Roman" w:hAnsi="Times New Roman" w:cs="Times New Roman"/>
          <w:color w:val="auto"/>
        </w:rPr>
      </w:pPr>
      <w:r>
        <w:rPr>
          <w:rFonts w:hint="default" w:ascii="Times New Roman" w:hAnsi="Times New Roman" w:cs="Times New Roman"/>
          <w:color w:val="auto"/>
        </w:rPr>
        <w:t>湖南宏润检测有限公司2019年9月28日对</w:t>
      </w:r>
      <w:r>
        <w:rPr>
          <w:rFonts w:hint="default" w:ascii="Times New Roman" w:hAnsi="Times New Roman" w:cs="Times New Roman"/>
          <w:color w:val="auto"/>
          <w:lang w:eastAsia="zh-CN"/>
        </w:rPr>
        <w:t>厂界</w:t>
      </w:r>
      <w:r>
        <w:rPr>
          <w:rFonts w:hint="default" w:ascii="Times New Roman" w:hAnsi="Times New Roman" w:cs="Times New Roman"/>
          <w:color w:val="auto"/>
        </w:rPr>
        <w:t>声环境质量现状监测结果见表</w:t>
      </w:r>
      <w:r>
        <w:rPr>
          <w:rFonts w:hint="default" w:ascii="Times New Roman" w:hAnsi="Times New Roman" w:cs="Times New Roman"/>
          <w:color w:val="auto"/>
          <w:lang w:val="en-US" w:eastAsia="zh-CN"/>
        </w:rPr>
        <w:t>3-10</w:t>
      </w:r>
      <w:r>
        <w:rPr>
          <w:rFonts w:hint="default" w:ascii="Times New Roman" w:hAnsi="Times New Roman" w:cs="Times New Roman"/>
          <w:color w:val="auto"/>
        </w:rPr>
        <w:t>。</w:t>
      </w:r>
    </w:p>
    <w:p>
      <w:pPr>
        <w:pStyle w:val="14"/>
        <w:bidi w:val="0"/>
        <w:rPr>
          <w:rFonts w:hint="default" w:ascii="Times New Roman" w:hAnsi="Times New Roman" w:cs="Times New Roman"/>
          <w:color w:val="auto"/>
        </w:rPr>
      </w:pPr>
    </w:p>
    <w:p>
      <w:pPr>
        <w:pStyle w:val="14"/>
        <w:bidi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lang w:val="en-US" w:eastAsia="zh-CN"/>
        </w:rPr>
        <w:t>3-10</w:t>
      </w:r>
      <w:r>
        <w:rPr>
          <w:rFonts w:hint="default" w:ascii="Times New Roman" w:hAnsi="Times New Roman" w:cs="Times New Roman"/>
          <w:color w:val="auto"/>
        </w:rPr>
        <w:t>声环境现状监测统计结果</w:t>
      </w:r>
      <w:r>
        <w:rPr>
          <w:rFonts w:hint="default" w:ascii="Times New Roman" w:hAnsi="Times New Roman" w:cs="Times New Roman"/>
          <w:color w:val="auto"/>
        </w:rPr>
        <w:tab/>
      </w:r>
      <w:r>
        <w:rPr>
          <w:rFonts w:hint="default" w:ascii="Times New Roman" w:hAnsi="Times New Roman" w:cs="Times New Roman"/>
          <w:color w:val="auto"/>
        </w:rPr>
        <w:t>单位：dB(A)</w:t>
      </w:r>
    </w:p>
    <w:tbl>
      <w:tblPr>
        <w:tblStyle w:val="24"/>
        <w:tblW w:w="953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099"/>
        <w:gridCol w:w="1132"/>
        <w:gridCol w:w="1140"/>
        <w:gridCol w:w="1032"/>
        <w:gridCol w:w="1033"/>
        <w:gridCol w:w="1034"/>
        <w:gridCol w:w="1033"/>
        <w:gridCol w:w="103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099"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监测点位</w:t>
            </w:r>
          </w:p>
        </w:tc>
        <w:tc>
          <w:tcPr>
            <w:tcW w:w="1132"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监测日期</w:t>
            </w:r>
          </w:p>
        </w:tc>
        <w:tc>
          <w:tcPr>
            <w:tcW w:w="2172" w:type="dxa"/>
            <w:gridSpan w:val="2"/>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监测结果</w:t>
            </w:r>
          </w:p>
        </w:tc>
        <w:tc>
          <w:tcPr>
            <w:tcW w:w="2067" w:type="dxa"/>
            <w:gridSpan w:val="2"/>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标准限值</w:t>
            </w:r>
          </w:p>
        </w:tc>
        <w:tc>
          <w:tcPr>
            <w:tcW w:w="2067" w:type="dxa"/>
            <w:gridSpan w:val="2"/>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099"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132"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14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1032"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c>
          <w:tcPr>
            <w:tcW w:w="103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103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c>
          <w:tcPr>
            <w:tcW w:w="103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103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099"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N1（东场界外1米）</w:t>
            </w:r>
          </w:p>
        </w:tc>
        <w:tc>
          <w:tcPr>
            <w:tcW w:w="1132"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9月28日</w:t>
            </w:r>
          </w:p>
        </w:tc>
        <w:tc>
          <w:tcPr>
            <w:tcW w:w="114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57</w:t>
            </w:r>
          </w:p>
        </w:tc>
        <w:tc>
          <w:tcPr>
            <w:tcW w:w="1032"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46</w:t>
            </w:r>
          </w:p>
        </w:tc>
        <w:tc>
          <w:tcPr>
            <w:tcW w:w="103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103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103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103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099"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N2（南场界外1米）</w:t>
            </w:r>
          </w:p>
        </w:tc>
        <w:tc>
          <w:tcPr>
            <w:tcW w:w="1132"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14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57</w:t>
            </w:r>
          </w:p>
        </w:tc>
        <w:tc>
          <w:tcPr>
            <w:tcW w:w="1032"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w:t>
            </w:r>
          </w:p>
        </w:tc>
        <w:tc>
          <w:tcPr>
            <w:tcW w:w="103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103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103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103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099"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N3（西场界外1米）</w:t>
            </w:r>
          </w:p>
        </w:tc>
        <w:tc>
          <w:tcPr>
            <w:tcW w:w="1132"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14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57</w:t>
            </w:r>
          </w:p>
        </w:tc>
        <w:tc>
          <w:tcPr>
            <w:tcW w:w="1032"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w:t>
            </w:r>
          </w:p>
        </w:tc>
        <w:tc>
          <w:tcPr>
            <w:tcW w:w="103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103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103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103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099"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N4（北场界外1米）</w:t>
            </w:r>
          </w:p>
        </w:tc>
        <w:tc>
          <w:tcPr>
            <w:tcW w:w="1132"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14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56</w:t>
            </w:r>
          </w:p>
        </w:tc>
        <w:tc>
          <w:tcPr>
            <w:tcW w:w="1032"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w:t>
            </w:r>
          </w:p>
        </w:tc>
        <w:tc>
          <w:tcPr>
            <w:tcW w:w="103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103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103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103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bl>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color w:val="auto"/>
        </w:rPr>
      </w:pP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3-10</w:t>
      </w:r>
      <w:r>
        <w:rPr>
          <w:rFonts w:hint="default" w:ascii="Times New Roman" w:hAnsi="Times New Roman" w:cs="Times New Roman"/>
          <w:color w:val="auto"/>
        </w:rPr>
        <w:t>监测结果</w:t>
      </w:r>
      <w:r>
        <w:rPr>
          <w:rFonts w:hint="default" w:ascii="Times New Roman" w:hAnsi="Times New Roman" w:cs="Times New Roman"/>
          <w:color w:val="auto"/>
          <w:lang w:eastAsia="zh-CN"/>
        </w:rPr>
        <w:t>表明</w:t>
      </w:r>
      <w:r>
        <w:rPr>
          <w:rFonts w:hint="default" w:ascii="Times New Roman" w:hAnsi="Times New Roman" w:cs="Times New Roman"/>
          <w:color w:val="auto"/>
        </w:rPr>
        <w:t>，项目区各监测点昼夜声环境均能声满足《声环境质量标准》(GB3096-2008)中的3类标准要求。</w:t>
      </w:r>
    </w:p>
    <w:p>
      <w:pPr>
        <w:pStyle w:val="7"/>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bookmarkStart w:id="287" w:name="_Toc29605"/>
      <w:r>
        <w:rPr>
          <w:rFonts w:hint="default" w:ascii="Times New Roman" w:hAnsi="Times New Roman" w:cs="Times New Roman"/>
          <w:color w:val="auto"/>
        </w:rPr>
        <w:t>固废防治措施</w:t>
      </w:r>
      <w:bookmarkEnd w:id="287"/>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本项目产生的固体废物主要为厂区设有空桶房，生产原料空桶放置在空桶房中，定期有运料提供厂家回收；厂区内设有垃圾收集点，定期委托环卫部门清理</w:t>
      </w:r>
      <w:bookmarkStart w:id="288" w:name="_Toc28756"/>
      <w:bookmarkStart w:id="289" w:name="_Toc17188"/>
      <w:bookmarkStart w:id="290" w:name="_Toc472793033"/>
      <w:r>
        <w:rPr>
          <w:rFonts w:hint="default" w:ascii="Times New Roman" w:hAnsi="Times New Roman" w:cs="Times New Roman"/>
          <w:color w:val="auto"/>
        </w:rPr>
        <w:t>。</w:t>
      </w: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11</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现有工程</w:t>
      </w:r>
      <w:r>
        <w:rPr>
          <w:rFonts w:hint="default" w:ascii="Times New Roman" w:hAnsi="Times New Roman" w:cs="Times New Roman"/>
          <w:color w:val="auto"/>
        </w:rPr>
        <w:t>固体废物产生及处理</w:t>
      </w:r>
    </w:p>
    <w:tbl>
      <w:tblPr>
        <w:tblStyle w:val="24"/>
        <w:tblW w:w="94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97"/>
        <w:gridCol w:w="1264"/>
        <w:gridCol w:w="805"/>
        <w:gridCol w:w="2290"/>
        <w:gridCol w:w="982"/>
        <w:gridCol w:w="22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9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2069"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废物类别</w:t>
            </w:r>
          </w:p>
        </w:tc>
        <w:tc>
          <w:tcPr>
            <w:tcW w:w="229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危废代码及危险特性</w:t>
            </w:r>
          </w:p>
        </w:tc>
        <w:tc>
          <w:tcPr>
            <w:tcW w:w="98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产生量</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t</w:t>
            </w:r>
            <w:r>
              <w:rPr>
                <w:rFonts w:hint="default" w:ascii="Times New Roman" w:hAnsi="Times New Roman" w:cs="Times New Roman"/>
                <w:color w:val="auto"/>
                <w:sz w:val="21"/>
                <w:szCs w:val="21"/>
                <w:lang w:eastAsia="zh-CN"/>
              </w:rPr>
              <w:t>）</w:t>
            </w:r>
          </w:p>
        </w:tc>
        <w:tc>
          <w:tcPr>
            <w:tcW w:w="226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处理方式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9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一般工业固废</w:t>
            </w:r>
          </w:p>
        </w:tc>
        <w:tc>
          <w:tcPr>
            <w:tcW w:w="2069"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废包装桶、包装袋</w:t>
            </w:r>
          </w:p>
        </w:tc>
        <w:tc>
          <w:tcPr>
            <w:tcW w:w="229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8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226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集中收集后外售或返回厂家重新利用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9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员工生活</w:t>
            </w:r>
          </w:p>
        </w:tc>
        <w:tc>
          <w:tcPr>
            <w:tcW w:w="2069"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229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8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3.06</w:t>
            </w:r>
          </w:p>
        </w:tc>
        <w:tc>
          <w:tcPr>
            <w:tcW w:w="226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进入垃圾填埋场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97"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w:t>
            </w:r>
          </w:p>
        </w:tc>
        <w:tc>
          <w:tcPr>
            <w:tcW w:w="1264"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HW06废有机溶剂与含有机溶剂废物</w:t>
            </w:r>
          </w:p>
        </w:tc>
        <w:tc>
          <w:tcPr>
            <w:tcW w:w="80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S3-1</w:t>
            </w:r>
          </w:p>
        </w:tc>
        <w:tc>
          <w:tcPr>
            <w:tcW w:w="229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900-404-06、T/I</w:t>
            </w:r>
          </w:p>
        </w:tc>
        <w:tc>
          <w:tcPr>
            <w:tcW w:w="98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5.714</w:t>
            </w:r>
          </w:p>
        </w:tc>
        <w:tc>
          <w:tcPr>
            <w:tcW w:w="2266"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交由资质单位处理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97"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264"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80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S3-2</w:t>
            </w:r>
          </w:p>
        </w:tc>
        <w:tc>
          <w:tcPr>
            <w:tcW w:w="229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900-404-06、T/I</w:t>
            </w:r>
          </w:p>
        </w:tc>
        <w:tc>
          <w:tcPr>
            <w:tcW w:w="98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2266"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97"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264"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80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S3-3</w:t>
            </w:r>
          </w:p>
        </w:tc>
        <w:tc>
          <w:tcPr>
            <w:tcW w:w="229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900-402-06、T、I</w:t>
            </w:r>
          </w:p>
        </w:tc>
        <w:tc>
          <w:tcPr>
            <w:tcW w:w="98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2266"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97"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264"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80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S3-4</w:t>
            </w:r>
          </w:p>
        </w:tc>
        <w:tc>
          <w:tcPr>
            <w:tcW w:w="229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900-403-06、I</w:t>
            </w:r>
          </w:p>
        </w:tc>
        <w:tc>
          <w:tcPr>
            <w:tcW w:w="98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2266"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bookmarkEnd w:id="288"/>
      <w:bookmarkEnd w:id="289"/>
      <w:bookmarkEnd w:id="290"/>
    </w:tbl>
    <w:p>
      <w:pPr>
        <w:pStyle w:val="5"/>
        <w:bidi w:val="0"/>
        <w:rPr>
          <w:rFonts w:hint="default" w:ascii="Times New Roman" w:hAnsi="Times New Roman" w:cs="Times New Roman"/>
          <w:color w:val="auto"/>
        </w:rPr>
        <w:sectPr>
          <w:headerReference r:id="rId14" w:type="default"/>
          <w:footerReference r:id="rId15" w:type="default"/>
          <w:pgSz w:w="11905" w:h="16838"/>
          <w:pgMar w:top="1417" w:right="1417" w:bottom="1134" w:left="1701"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rPr>
      </w:pPr>
      <w:bookmarkStart w:id="291" w:name="_Toc8463"/>
      <w:r>
        <w:rPr>
          <w:rFonts w:hint="default" w:ascii="Times New Roman" w:hAnsi="Times New Roman" w:cs="Times New Roman"/>
          <w:color w:val="auto"/>
        </w:rPr>
        <w:t>现有工程污染源强汇总</w:t>
      </w:r>
      <w:bookmarkEnd w:id="291"/>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现有工程污染源强汇总见表</w:t>
      </w:r>
      <w:r>
        <w:rPr>
          <w:rFonts w:hint="default" w:ascii="Times New Roman" w:hAnsi="Times New Roman" w:cs="Times New Roman"/>
          <w:color w:val="auto"/>
          <w:lang w:val="en-US" w:eastAsia="zh-CN"/>
        </w:rPr>
        <w:t xml:space="preserve"> 3</w:t>
      </w:r>
      <w:r>
        <w:rPr>
          <w:rFonts w:hint="default" w:ascii="Times New Roman" w:hAnsi="Times New Roman" w:cs="Times New Roman"/>
          <w:color w:val="auto"/>
        </w:rPr>
        <w:t>-1</w:t>
      </w:r>
      <w:r>
        <w:rPr>
          <w:rFonts w:hint="default" w:ascii="Times New Roman" w:hAnsi="Times New Roman" w:cs="Times New Roman"/>
          <w:color w:val="auto"/>
          <w:lang w:val="en-US" w:eastAsia="zh-CN"/>
        </w:rPr>
        <w:t>2</w:t>
      </w:r>
      <w:r>
        <w:rPr>
          <w:rFonts w:hint="default" w:ascii="Times New Roman" w:hAnsi="Times New Roman" w:cs="Times New Roman"/>
          <w:color w:val="auto"/>
        </w:rPr>
        <w:t>。</w:t>
      </w:r>
    </w:p>
    <w:p>
      <w:pPr>
        <w:pStyle w:val="14"/>
        <w:bidi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12</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现有工程</w:t>
      </w:r>
      <w:r>
        <w:rPr>
          <w:rFonts w:hint="default" w:ascii="Times New Roman" w:hAnsi="Times New Roman" w:cs="Times New Roman"/>
          <w:color w:val="auto"/>
        </w:rPr>
        <w:t>污染源强汇总</w:t>
      </w:r>
    </w:p>
    <w:tbl>
      <w:tblPr>
        <w:tblStyle w:val="24"/>
        <w:tblW w:w="143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4"/>
        <w:gridCol w:w="2481"/>
        <w:gridCol w:w="1308"/>
        <w:gridCol w:w="1199"/>
        <w:gridCol w:w="1096"/>
        <w:gridCol w:w="1087"/>
        <w:gridCol w:w="2688"/>
        <w:gridCol w:w="37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tblHeader/>
          <w:jc w:val="center"/>
        </w:trPr>
        <w:tc>
          <w:tcPr>
            <w:tcW w:w="7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种类</w:t>
            </w:r>
          </w:p>
        </w:tc>
        <w:tc>
          <w:tcPr>
            <w:tcW w:w="3789" w:type="dxa"/>
            <w:gridSpan w:val="2"/>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1199"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109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削减量</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（t/a</w:t>
            </w:r>
            <w:r>
              <w:rPr>
                <w:rFonts w:hint="default" w:ascii="Times New Roman" w:hAnsi="Times New Roman" w:cs="Times New Roman"/>
                <w:color w:val="auto"/>
                <w:sz w:val="21"/>
                <w:szCs w:val="21"/>
                <w:lang w:eastAsia="zh-CN"/>
              </w:rPr>
              <w:t>）</w:t>
            </w:r>
          </w:p>
        </w:tc>
        <w:tc>
          <w:tcPr>
            <w:tcW w:w="108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排放量</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268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治理措施</w:t>
            </w:r>
          </w:p>
        </w:tc>
        <w:tc>
          <w:tcPr>
            <w:tcW w:w="376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4"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2481"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有组织废气</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（巴陵石化火炬台）</w:t>
            </w:r>
          </w:p>
        </w:tc>
        <w:tc>
          <w:tcPr>
            <w:tcW w:w="130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VOCs</w:t>
            </w:r>
          </w:p>
        </w:tc>
        <w:tc>
          <w:tcPr>
            <w:tcW w:w="1199"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58.664</w:t>
            </w:r>
          </w:p>
        </w:tc>
        <w:tc>
          <w:tcPr>
            <w:tcW w:w="109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58.07736</w:t>
            </w:r>
          </w:p>
        </w:tc>
        <w:tc>
          <w:tcPr>
            <w:tcW w:w="108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0.58664</w:t>
            </w:r>
          </w:p>
        </w:tc>
        <w:tc>
          <w:tcPr>
            <w:tcW w:w="2688"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密封管道通过巴陵石化放空总管输送至巴陵石化火炬台燃烧处理，废气经回收后，去现有火炬燃烧，巴陵石化火炬台高80m，内径0.8m，处理量为800Nm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/min</w:t>
            </w:r>
          </w:p>
        </w:tc>
        <w:tc>
          <w:tcPr>
            <w:tcW w:w="3764"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废气经巴陵石化火炬台燃烧处理后执行《石油化学工业污染物排放标准》（GB31571-2015）排放限值要求，</w:t>
            </w:r>
            <w:r>
              <w:rPr>
                <w:rFonts w:hint="default" w:ascii="Times New Roman" w:hAnsi="Times New Roman" w:cs="Times New Roman"/>
                <w:color w:val="auto"/>
                <w:sz w:val="21"/>
                <w:szCs w:val="21"/>
                <w:lang w:eastAsia="zh-CN"/>
              </w:rPr>
              <w:t>VOCs</w:t>
            </w:r>
            <w:r>
              <w:rPr>
                <w:rFonts w:hint="default" w:ascii="Times New Roman" w:hAnsi="Times New Roman" w:cs="Times New Roman"/>
                <w:color w:val="auto"/>
                <w:sz w:val="21"/>
                <w:szCs w:val="21"/>
              </w:rPr>
              <w:t>排放执行《天津市工业企业挥发性有机物排放控制标准》（DB12/524-2014）中排放限值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2481"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130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氯化氢</w:t>
            </w:r>
          </w:p>
        </w:tc>
        <w:tc>
          <w:tcPr>
            <w:tcW w:w="1199"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0.477</w:t>
            </w:r>
          </w:p>
        </w:tc>
        <w:tc>
          <w:tcPr>
            <w:tcW w:w="109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0.47223</w:t>
            </w:r>
          </w:p>
        </w:tc>
        <w:tc>
          <w:tcPr>
            <w:tcW w:w="108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0.00477</w:t>
            </w:r>
          </w:p>
        </w:tc>
        <w:tc>
          <w:tcPr>
            <w:tcW w:w="2688"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376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2481"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130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甲醇</w:t>
            </w:r>
          </w:p>
        </w:tc>
        <w:tc>
          <w:tcPr>
            <w:tcW w:w="1199"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19.8</w:t>
            </w:r>
          </w:p>
        </w:tc>
        <w:tc>
          <w:tcPr>
            <w:tcW w:w="109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19.602</w:t>
            </w:r>
          </w:p>
        </w:tc>
        <w:tc>
          <w:tcPr>
            <w:tcW w:w="108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0.198</w:t>
            </w:r>
          </w:p>
        </w:tc>
        <w:tc>
          <w:tcPr>
            <w:tcW w:w="2688"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376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2481"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130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甲苯</w:t>
            </w:r>
          </w:p>
        </w:tc>
        <w:tc>
          <w:tcPr>
            <w:tcW w:w="1199"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19.8</w:t>
            </w:r>
          </w:p>
        </w:tc>
        <w:tc>
          <w:tcPr>
            <w:tcW w:w="109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19.602</w:t>
            </w:r>
          </w:p>
        </w:tc>
        <w:tc>
          <w:tcPr>
            <w:tcW w:w="108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0.198</w:t>
            </w:r>
          </w:p>
        </w:tc>
        <w:tc>
          <w:tcPr>
            <w:tcW w:w="2688"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376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2481"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130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四氢呋喃</w:t>
            </w:r>
          </w:p>
        </w:tc>
        <w:tc>
          <w:tcPr>
            <w:tcW w:w="1199"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11.88</w:t>
            </w:r>
          </w:p>
        </w:tc>
        <w:tc>
          <w:tcPr>
            <w:tcW w:w="109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11.7612</w:t>
            </w:r>
          </w:p>
        </w:tc>
        <w:tc>
          <w:tcPr>
            <w:tcW w:w="108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0.1188</w:t>
            </w:r>
          </w:p>
        </w:tc>
        <w:tc>
          <w:tcPr>
            <w:tcW w:w="2688"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376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2481"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无组织废气</w:t>
            </w:r>
          </w:p>
        </w:tc>
        <w:tc>
          <w:tcPr>
            <w:tcW w:w="130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VOCs</w:t>
            </w:r>
          </w:p>
        </w:tc>
        <w:tc>
          <w:tcPr>
            <w:tcW w:w="1199"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0.592</w:t>
            </w:r>
          </w:p>
        </w:tc>
        <w:tc>
          <w:tcPr>
            <w:tcW w:w="109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8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0.592</w:t>
            </w:r>
          </w:p>
        </w:tc>
        <w:tc>
          <w:tcPr>
            <w:tcW w:w="2688"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376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2481"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130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氯化氢</w:t>
            </w:r>
          </w:p>
        </w:tc>
        <w:tc>
          <w:tcPr>
            <w:tcW w:w="1199"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0.007</w:t>
            </w:r>
          </w:p>
        </w:tc>
        <w:tc>
          <w:tcPr>
            <w:tcW w:w="109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8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0.007</w:t>
            </w:r>
          </w:p>
        </w:tc>
        <w:tc>
          <w:tcPr>
            <w:tcW w:w="2688"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376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2481"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130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甲苯</w:t>
            </w:r>
          </w:p>
        </w:tc>
        <w:tc>
          <w:tcPr>
            <w:tcW w:w="1199"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w:t>
            </w:r>
          </w:p>
        </w:tc>
        <w:tc>
          <w:tcPr>
            <w:tcW w:w="109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8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w:t>
            </w:r>
          </w:p>
        </w:tc>
        <w:tc>
          <w:tcPr>
            <w:tcW w:w="2688"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376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4"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2481"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生活污水、生产废水、初期雨水</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（污染物排放量按标准计算）</w:t>
            </w:r>
          </w:p>
        </w:tc>
        <w:tc>
          <w:tcPr>
            <w:tcW w:w="130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废水量</w:t>
            </w:r>
          </w:p>
        </w:tc>
        <w:tc>
          <w:tcPr>
            <w:tcW w:w="1199"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1956.983</w:t>
            </w:r>
          </w:p>
        </w:tc>
        <w:tc>
          <w:tcPr>
            <w:tcW w:w="109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8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1956.983</w:t>
            </w:r>
          </w:p>
        </w:tc>
        <w:tc>
          <w:tcPr>
            <w:tcW w:w="2688"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生活污水经化粪池预处理后和其它生产废水、初期雨水一起排放厂区已有暗管送入</w:t>
            </w:r>
            <w:r>
              <w:rPr>
                <w:rFonts w:hint="default" w:ascii="Times New Roman" w:hAnsi="Times New Roman" w:cs="Times New Roman"/>
                <w:color w:val="auto"/>
                <w:sz w:val="21"/>
                <w:szCs w:val="21"/>
                <w:lang w:eastAsia="zh-CN"/>
              </w:rPr>
              <w:t>巴陵石化公司</w:t>
            </w:r>
            <w:r>
              <w:rPr>
                <w:rFonts w:hint="default" w:ascii="Times New Roman" w:hAnsi="Times New Roman" w:cs="Times New Roman"/>
                <w:color w:val="auto"/>
                <w:sz w:val="21"/>
                <w:szCs w:val="21"/>
              </w:rPr>
              <w:t>污水处理厂，处理达标后排放长江</w:t>
            </w:r>
          </w:p>
        </w:tc>
        <w:tc>
          <w:tcPr>
            <w:tcW w:w="3764"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废水经巴陵石化污水处理厂处理后排放执行《石油化学工业污染物排放标准》（GB31571-2015）标准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2481"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130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r>
              <w:rPr>
                <w:rFonts w:hint="default" w:ascii="Times New Roman" w:hAnsi="Times New Roman" w:cs="Times New Roman"/>
                <w:color w:val="auto"/>
                <w:sz w:val="21"/>
                <w:szCs w:val="21"/>
                <w:vertAlign w:val="subscript"/>
              </w:rPr>
              <w:t>Cr</w:t>
            </w:r>
          </w:p>
        </w:tc>
        <w:tc>
          <w:tcPr>
            <w:tcW w:w="1199"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0.5485</w:t>
            </w:r>
          </w:p>
        </w:tc>
        <w:tc>
          <w:tcPr>
            <w:tcW w:w="109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0.431</w:t>
            </w:r>
          </w:p>
        </w:tc>
        <w:tc>
          <w:tcPr>
            <w:tcW w:w="108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0.1174</w:t>
            </w:r>
          </w:p>
        </w:tc>
        <w:tc>
          <w:tcPr>
            <w:tcW w:w="2688"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376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2481"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130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1199"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0.2208</w:t>
            </w:r>
          </w:p>
        </w:tc>
        <w:tc>
          <w:tcPr>
            <w:tcW w:w="109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0.2012</w:t>
            </w:r>
          </w:p>
        </w:tc>
        <w:tc>
          <w:tcPr>
            <w:tcW w:w="108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0.0196</w:t>
            </w:r>
          </w:p>
        </w:tc>
        <w:tc>
          <w:tcPr>
            <w:tcW w:w="2688"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376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2481"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130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氨氮</w:t>
            </w:r>
          </w:p>
        </w:tc>
        <w:tc>
          <w:tcPr>
            <w:tcW w:w="1199"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0.0438</w:t>
            </w:r>
          </w:p>
        </w:tc>
        <w:tc>
          <w:tcPr>
            <w:tcW w:w="109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0.0281</w:t>
            </w:r>
          </w:p>
        </w:tc>
        <w:tc>
          <w:tcPr>
            <w:tcW w:w="108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0.0157</w:t>
            </w:r>
          </w:p>
        </w:tc>
        <w:tc>
          <w:tcPr>
            <w:tcW w:w="2688"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376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2481"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130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1199"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0.1644</w:t>
            </w:r>
          </w:p>
        </w:tc>
        <w:tc>
          <w:tcPr>
            <w:tcW w:w="109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0.0665</w:t>
            </w:r>
          </w:p>
        </w:tc>
        <w:tc>
          <w:tcPr>
            <w:tcW w:w="108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0.0979</w:t>
            </w:r>
          </w:p>
        </w:tc>
        <w:tc>
          <w:tcPr>
            <w:tcW w:w="2688"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376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2481"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130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石油类</w:t>
            </w:r>
          </w:p>
        </w:tc>
        <w:tc>
          <w:tcPr>
            <w:tcW w:w="1199"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0.0065</w:t>
            </w:r>
          </w:p>
        </w:tc>
        <w:tc>
          <w:tcPr>
            <w:tcW w:w="109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0.0011</w:t>
            </w:r>
          </w:p>
        </w:tc>
        <w:tc>
          <w:tcPr>
            <w:tcW w:w="108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0.0054</w:t>
            </w:r>
          </w:p>
        </w:tc>
        <w:tc>
          <w:tcPr>
            <w:tcW w:w="2688"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376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2481"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130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挥发酚</w:t>
            </w:r>
          </w:p>
        </w:tc>
        <w:tc>
          <w:tcPr>
            <w:tcW w:w="1199"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0.0005</w:t>
            </w:r>
          </w:p>
        </w:tc>
        <w:tc>
          <w:tcPr>
            <w:tcW w:w="109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8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0.0005</w:t>
            </w:r>
          </w:p>
        </w:tc>
        <w:tc>
          <w:tcPr>
            <w:tcW w:w="2688"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376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7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3789" w:type="dxa"/>
            <w:gridSpan w:val="2"/>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设备噪声</w:t>
            </w:r>
          </w:p>
        </w:tc>
        <w:tc>
          <w:tcPr>
            <w:tcW w:w="3382" w:type="dxa"/>
            <w:gridSpan w:val="3"/>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源强为80-85dB（A）</w:t>
            </w:r>
          </w:p>
        </w:tc>
        <w:tc>
          <w:tcPr>
            <w:tcW w:w="268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采取隔声、减振等降噪措施后厂界可达标</w:t>
            </w:r>
          </w:p>
        </w:tc>
        <w:tc>
          <w:tcPr>
            <w:tcW w:w="376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噪声执行《工业企业厂界环境噪声排放标准》（GB12348-2008）中的3类标准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734"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2481"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一般工业固废</w:t>
            </w:r>
          </w:p>
        </w:tc>
        <w:tc>
          <w:tcPr>
            <w:tcW w:w="130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废包装桶、包装袋</w:t>
            </w:r>
          </w:p>
        </w:tc>
        <w:tc>
          <w:tcPr>
            <w:tcW w:w="1199"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109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8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268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集中收集后外售或返回厂家重新利用</w:t>
            </w:r>
          </w:p>
        </w:tc>
        <w:tc>
          <w:tcPr>
            <w:tcW w:w="376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《一般工业固体废物贮存、处置场污染控制标准》（GB18599-2001）及修改单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73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2481"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员工生活</w:t>
            </w:r>
          </w:p>
        </w:tc>
        <w:tc>
          <w:tcPr>
            <w:tcW w:w="130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1199"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3.06</w:t>
            </w:r>
          </w:p>
        </w:tc>
        <w:tc>
          <w:tcPr>
            <w:tcW w:w="109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8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3.06</w:t>
            </w:r>
          </w:p>
        </w:tc>
        <w:tc>
          <w:tcPr>
            <w:tcW w:w="268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进入垃圾填埋场</w:t>
            </w:r>
          </w:p>
        </w:tc>
        <w:tc>
          <w:tcPr>
            <w:tcW w:w="376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《生活垃圾填埋场污染控制标准》（GB16889-2008）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2481"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（HW06废有机溶剂与含有机溶剂废物）</w:t>
            </w:r>
          </w:p>
        </w:tc>
        <w:tc>
          <w:tcPr>
            <w:tcW w:w="130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S3-1</w:t>
            </w:r>
          </w:p>
        </w:tc>
        <w:tc>
          <w:tcPr>
            <w:tcW w:w="1199"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5.714</w:t>
            </w:r>
          </w:p>
        </w:tc>
        <w:tc>
          <w:tcPr>
            <w:tcW w:w="109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8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5.714</w:t>
            </w:r>
          </w:p>
        </w:tc>
        <w:tc>
          <w:tcPr>
            <w:tcW w:w="2688"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交由资质单位处理</w:t>
            </w:r>
          </w:p>
        </w:tc>
        <w:tc>
          <w:tcPr>
            <w:tcW w:w="3764"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《危险废物贮存污染控制标准》（GB18599-2001）及修改单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2481"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130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S3-2</w:t>
            </w:r>
          </w:p>
        </w:tc>
        <w:tc>
          <w:tcPr>
            <w:tcW w:w="1199"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109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8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2688"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376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2481"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130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S3-3</w:t>
            </w:r>
          </w:p>
        </w:tc>
        <w:tc>
          <w:tcPr>
            <w:tcW w:w="1199"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109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8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2688"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376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2481"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130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S3-4</w:t>
            </w:r>
          </w:p>
        </w:tc>
        <w:tc>
          <w:tcPr>
            <w:tcW w:w="1199"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109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8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2688"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376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r>
    </w:tbl>
    <w:p>
      <w:pPr>
        <w:pStyle w:val="39"/>
        <w:bidi w:val="0"/>
        <w:rPr>
          <w:rFonts w:hint="default" w:ascii="Times New Roman" w:hAnsi="Times New Roman" w:cs="Times New Roman"/>
          <w:color w:val="auto"/>
        </w:rPr>
        <w:sectPr>
          <w:pgSz w:w="16838" w:h="11905" w:orient="landscape"/>
          <w:pgMar w:top="1701" w:right="1417" w:bottom="1417" w:left="1134" w:header="850" w:footer="992" w:gutter="0"/>
          <w:pgBorders>
            <w:top w:val="none" w:sz="0" w:space="0"/>
            <w:left w:val="none" w:sz="0" w:space="0"/>
            <w:bottom w:val="none" w:sz="0" w:space="0"/>
            <w:right w:val="none" w:sz="0" w:space="0"/>
          </w:pgBorders>
          <w:pgNumType w:fmt="decimal"/>
          <w:cols w:space="0" w:num="1"/>
          <w:rtlGutter w:val="0"/>
          <w:docGrid w:linePitch="326" w:charSpace="0"/>
        </w:sectPr>
      </w:pP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292" w:name="_Toc24836"/>
      <w:r>
        <w:rPr>
          <w:rFonts w:hint="default" w:ascii="Times New Roman" w:hAnsi="Times New Roman" w:cs="Times New Roman"/>
          <w:color w:val="auto"/>
        </w:rPr>
        <w:t>现有工程污染物总量控制指标</w:t>
      </w:r>
      <w:bookmarkEnd w:id="292"/>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岳阳鑫达实业有限公司为巴陵公司改制的企业，</w:t>
      </w:r>
      <w:r>
        <w:rPr>
          <w:rFonts w:hint="default" w:ascii="Times New Roman" w:hAnsi="Times New Roman" w:cs="Times New Roman"/>
          <w:color w:val="auto"/>
          <w:lang w:eastAsia="zh-CN"/>
        </w:rPr>
        <w:t>巴陵石化公司</w:t>
      </w:r>
      <w:r>
        <w:rPr>
          <w:rFonts w:hint="default" w:ascii="Times New Roman" w:hAnsi="Times New Roman" w:cs="Times New Roman"/>
          <w:color w:val="auto"/>
        </w:rPr>
        <w:t>内部已有总量进行调剂，</w:t>
      </w:r>
      <w:r>
        <w:rPr>
          <w:rFonts w:hint="default" w:ascii="Times New Roman" w:hAnsi="Times New Roman" w:cs="Times New Roman"/>
          <w:color w:val="auto"/>
          <w:lang w:val="en-US" w:eastAsia="zh-CN"/>
        </w:rPr>
        <w:t>2015年岳阳市排污权管理中心通过巴陵石化公司初始分配，获得COD排污权0.3吨。</w:t>
      </w:r>
      <w:r>
        <w:rPr>
          <w:rFonts w:hint="default" w:ascii="Times New Roman" w:hAnsi="Times New Roman" w:cs="Times New Roman"/>
          <w:color w:val="auto"/>
        </w:rPr>
        <w:t>根据岳阳市环境保护局对现有工程环境影响报告书批复，</w:t>
      </w:r>
      <w:r>
        <w:rPr>
          <w:rFonts w:hint="default" w:ascii="Times New Roman" w:hAnsi="Times New Roman" w:cs="Times New Roman"/>
          <w:color w:val="auto"/>
          <w:lang w:val="zh-CN"/>
        </w:rPr>
        <w:t>公司核定</w:t>
      </w:r>
      <w:r>
        <w:rPr>
          <w:rFonts w:hint="default" w:ascii="Times New Roman" w:hAnsi="Times New Roman" w:cs="Times New Roman"/>
          <w:color w:val="auto"/>
        </w:rPr>
        <w:t>总量如下：COD 0.2</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t/a、NH</w:t>
      </w:r>
      <w:r>
        <w:rPr>
          <w:rFonts w:hint="default" w:ascii="Times New Roman" w:hAnsi="Times New Roman" w:cs="Times New Roman"/>
          <w:color w:val="auto"/>
          <w:vertAlign w:val="subscript"/>
        </w:rPr>
        <w:t>3</w:t>
      </w:r>
      <w:r>
        <w:rPr>
          <w:rFonts w:hint="default" w:ascii="Times New Roman" w:hAnsi="Times New Roman" w:cs="Times New Roman"/>
          <w:color w:val="auto"/>
        </w:rPr>
        <w:t>-N</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0.1</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t/a、</w:t>
      </w:r>
      <w:r>
        <w:rPr>
          <w:rFonts w:hint="default" w:ascii="Times New Roman" w:hAnsi="Times New Roman" w:cs="Times New Roman"/>
          <w:color w:val="auto"/>
          <w:lang w:eastAsia="zh-CN"/>
        </w:rPr>
        <w:t>VOCs</w:t>
      </w:r>
      <w:r>
        <w:rPr>
          <w:rFonts w:hint="default" w:ascii="Times New Roman" w:hAnsi="Times New Roman" w:cs="Times New Roman"/>
          <w:color w:val="auto"/>
        </w:rPr>
        <w:t xml:space="preserve"> 1.2</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t/a</w:t>
      </w:r>
      <w:r>
        <w:rPr>
          <w:rFonts w:hint="default" w:ascii="Times New Roman" w:hAnsi="Times New Roman" w:cs="Times New Roman"/>
          <w:color w:val="auto"/>
          <w:lang w:val="zh-CN"/>
        </w:rPr>
        <w:t>。目前，鑫达公司具有</w:t>
      </w:r>
      <w:r>
        <w:rPr>
          <w:rFonts w:hint="default" w:ascii="Times New Roman" w:hAnsi="Times New Roman" w:cs="Times New Roman"/>
          <w:color w:val="auto"/>
          <w:lang w:val="en-US" w:eastAsia="zh-CN"/>
        </w:rPr>
        <w:t>COD排污权0.3吨，详见附件。</w:t>
      </w:r>
    </w:p>
    <w:p>
      <w:pPr>
        <w:pStyle w:val="4"/>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bookmarkStart w:id="293" w:name="_Toc22411"/>
      <w:bookmarkStart w:id="294" w:name="_Toc20506"/>
      <w:r>
        <w:rPr>
          <w:rFonts w:hint="default" w:ascii="Times New Roman" w:hAnsi="Times New Roman" w:cs="Times New Roman"/>
          <w:color w:val="auto"/>
        </w:rPr>
        <w:t>拟建工程概况</w:t>
      </w:r>
      <w:bookmarkEnd w:id="293"/>
      <w:bookmarkEnd w:id="294"/>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（1）项目名称：500吨/年加氢催化剂生产项目</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（2）建设单位：岳阳鑫达实业有限公司</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（3）建设地点：地处</w:t>
      </w:r>
      <w:r>
        <w:rPr>
          <w:rFonts w:hint="default" w:ascii="Times New Roman" w:hAnsi="Times New Roman" w:cs="Times New Roman"/>
          <w:color w:val="auto"/>
          <w:lang w:eastAsia="zh-CN"/>
        </w:rPr>
        <w:t>岳阳市云溪区岳化大道</w:t>
      </w:r>
      <w:r>
        <w:rPr>
          <w:rFonts w:hint="default" w:ascii="Times New Roman" w:hAnsi="Times New Roman" w:cs="Times New Roman"/>
          <w:color w:val="auto"/>
          <w:lang w:val="en-US" w:eastAsia="zh-CN"/>
        </w:rPr>
        <w:t>392号</w:t>
      </w:r>
      <w:r>
        <w:rPr>
          <w:rFonts w:hint="default" w:ascii="Times New Roman" w:hAnsi="Times New Roman" w:cs="Times New Roman"/>
          <w:color w:val="auto"/>
        </w:rPr>
        <w:t>岳阳鑫达</w:t>
      </w:r>
      <w:r>
        <w:rPr>
          <w:rFonts w:hint="default" w:ascii="Times New Roman" w:hAnsi="Times New Roman" w:cs="Times New Roman"/>
          <w:color w:val="auto"/>
          <w:lang w:eastAsia="zh-CN"/>
        </w:rPr>
        <w:t>实业有限公司</w:t>
      </w:r>
      <w:r>
        <w:rPr>
          <w:rFonts w:hint="default" w:ascii="Times New Roman" w:hAnsi="Times New Roman" w:cs="Times New Roman"/>
          <w:color w:val="auto"/>
        </w:rPr>
        <w:t>现有厂区内，中心地理坐标为：北纬29.479582°，东经113.309183°（具体位置见</w:t>
      </w:r>
      <w:r>
        <w:rPr>
          <w:rFonts w:hint="default" w:ascii="Times New Roman" w:hAnsi="Times New Roman" w:cs="Times New Roman"/>
          <w:color w:val="auto"/>
          <w:highlight w:val="none"/>
        </w:rPr>
        <w:t>附图1）</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（4）</w:t>
      </w:r>
      <w:r>
        <w:rPr>
          <w:rFonts w:hint="default" w:ascii="Times New Roman" w:hAnsi="Times New Roman" w:cs="Times New Roman"/>
          <w:color w:val="auto"/>
          <w:highlight w:val="none"/>
        </w:rPr>
        <w:t>项目性质：</w:t>
      </w:r>
      <w:r>
        <w:rPr>
          <w:rFonts w:hint="default" w:ascii="Times New Roman" w:hAnsi="Times New Roman" w:cs="Times New Roman"/>
          <w:color w:val="auto"/>
          <w:highlight w:val="none"/>
          <w:lang w:eastAsia="zh-CN"/>
        </w:rPr>
        <w:t>改扩建</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5</w:t>
      </w:r>
      <w:r>
        <w:rPr>
          <w:rFonts w:hint="default" w:ascii="Times New Roman" w:hAnsi="Times New Roman" w:cs="Times New Roman"/>
          <w:color w:val="auto"/>
        </w:rPr>
        <w:t>）</w:t>
      </w:r>
      <w:r>
        <w:rPr>
          <w:rFonts w:hint="default" w:ascii="Times New Roman" w:hAnsi="Times New Roman" w:cs="Times New Roman"/>
          <w:color w:val="auto"/>
          <w:lang w:eastAsia="zh-CN"/>
        </w:rPr>
        <w:t>生产规模：年产</w:t>
      </w:r>
      <w:r>
        <w:rPr>
          <w:rFonts w:hint="default" w:ascii="Times New Roman" w:hAnsi="Times New Roman" w:cs="Times New Roman"/>
          <w:color w:val="auto"/>
          <w:lang w:val="en-US" w:eastAsia="zh-CN"/>
        </w:rPr>
        <w:t>500吨加氢催化剂</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6</w:t>
      </w:r>
      <w:r>
        <w:rPr>
          <w:rFonts w:hint="default" w:ascii="Times New Roman" w:hAnsi="Times New Roman" w:cs="Times New Roman"/>
          <w:color w:val="auto"/>
        </w:rPr>
        <w:t>）总投资：505万元</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7</w:t>
      </w:r>
      <w:r>
        <w:rPr>
          <w:rFonts w:hint="default" w:ascii="Times New Roman" w:hAnsi="Times New Roman" w:cs="Times New Roman"/>
          <w:color w:val="auto"/>
        </w:rPr>
        <w:t>）</w:t>
      </w:r>
      <w:r>
        <w:rPr>
          <w:rFonts w:hint="default" w:ascii="Times New Roman" w:hAnsi="Times New Roman" w:cs="Times New Roman"/>
          <w:color w:val="auto"/>
          <w:lang w:eastAsia="zh-CN"/>
        </w:rPr>
        <w:t>行业类别：</w:t>
      </w:r>
      <w:r>
        <w:rPr>
          <w:rFonts w:hint="default" w:ascii="Times New Roman" w:hAnsi="Times New Roman" w:cs="Times New Roman"/>
          <w:color w:val="auto"/>
          <w:lang w:val="en-US" w:eastAsia="zh-CN"/>
        </w:rPr>
        <w:t>C2661化学试剂和助剂制造</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8</w:t>
      </w:r>
      <w:r>
        <w:rPr>
          <w:rFonts w:hint="default" w:ascii="Times New Roman" w:hAnsi="Times New Roman" w:cs="Times New Roman"/>
          <w:color w:val="auto"/>
        </w:rPr>
        <w:t>）</w:t>
      </w:r>
      <w:r>
        <w:rPr>
          <w:rFonts w:hint="default" w:ascii="Times New Roman" w:hAnsi="Times New Roman" w:cs="Times New Roman"/>
          <w:color w:val="auto"/>
          <w:lang w:eastAsia="zh-CN"/>
        </w:rPr>
        <w:t>项目建设周期：</w:t>
      </w:r>
      <w:r>
        <w:rPr>
          <w:rFonts w:hint="default" w:ascii="Times New Roman" w:hAnsi="Times New Roman" w:cs="Times New Roman"/>
          <w:color w:val="auto"/>
          <w:lang w:val="en-US" w:eastAsia="zh-CN"/>
        </w:rPr>
        <w:t>4个月</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9</w:t>
      </w:r>
      <w:r>
        <w:rPr>
          <w:rFonts w:hint="default" w:ascii="Times New Roman" w:hAnsi="Times New Roman" w:cs="Times New Roman"/>
          <w:color w:val="auto"/>
        </w:rPr>
        <w:t>）</w:t>
      </w:r>
      <w:r>
        <w:rPr>
          <w:rFonts w:hint="default" w:ascii="Times New Roman" w:hAnsi="Times New Roman" w:cs="Times New Roman"/>
          <w:color w:val="auto"/>
          <w:lang w:eastAsia="zh-CN"/>
        </w:rPr>
        <w:t>项目厂房：</w:t>
      </w:r>
      <w:r>
        <w:rPr>
          <w:rFonts w:hint="default" w:ascii="Times New Roman" w:hAnsi="Times New Roman" w:cs="Times New Roman"/>
          <w:color w:val="auto"/>
        </w:rPr>
        <w:t>现有闲置厂房</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highlight w:val="yellow"/>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lang w:eastAsia="zh-CN"/>
        </w:rPr>
        <w:t>）项目四周情况：拟建项目</w:t>
      </w:r>
      <w:r>
        <w:rPr>
          <w:rFonts w:hint="default" w:ascii="Times New Roman" w:hAnsi="Times New Roman" w:cs="Times New Roman"/>
          <w:color w:val="auto"/>
          <w:highlight w:val="none"/>
        </w:rPr>
        <w:t>利用厂区内现有生产车间、辅助生产区及办公生活区，不新增占地面积及建筑面积，</w:t>
      </w:r>
      <w:r>
        <w:rPr>
          <w:rFonts w:hint="default" w:ascii="Times New Roman" w:hAnsi="Times New Roman" w:cs="Times New Roman"/>
          <w:color w:val="auto"/>
          <w:highlight w:val="none"/>
          <w:lang w:eastAsia="zh-CN"/>
        </w:rPr>
        <w:t>项目西南侧</w:t>
      </w:r>
      <w:r>
        <w:rPr>
          <w:rFonts w:hint="default" w:ascii="Times New Roman" w:hAnsi="Times New Roman" w:cs="Times New Roman"/>
          <w:color w:val="auto"/>
          <w:highlight w:val="none"/>
          <w:lang w:val="en-US" w:eastAsia="zh-CN"/>
        </w:rPr>
        <w:t>12米外是氯化锂生产车间和TNP生产车间，西北侧是荒山，东北侧13米外是辅助用</w:t>
      </w:r>
      <w:r>
        <w:rPr>
          <w:rFonts w:hint="default" w:ascii="Times New Roman" w:hAnsi="Times New Roman" w:cs="Times New Roman"/>
          <w:color w:val="auto"/>
          <w:lang w:val="en-US" w:eastAsia="zh-CN"/>
        </w:rPr>
        <w:t>房，东南侧隔着岳化大道是巴陵石化橡胶事业部SIS车间。本项目主出入口位于项目地东侧偏北连接岳化大道。</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295" w:name="_Toc6770"/>
      <w:r>
        <w:rPr>
          <w:rFonts w:hint="default" w:ascii="Times New Roman" w:hAnsi="Times New Roman" w:cs="Times New Roman"/>
          <w:color w:val="auto"/>
        </w:rPr>
        <w:t>主要建设内容与规模</w:t>
      </w:r>
      <w:bookmarkEnd w:id="295"/>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本项目利用厂区内现有生产车间、辅助生产区及办公生活区，不新增占地面积及建筑面积，项目由主体工程、辅助工程、公用工程、环保工程、储运工程等组成。本项目工程内容组成情况详见下表。</w:t>
      </w:r>
    </w:p>
    <w:p>
      <w:pPr>
        <w:pStyle w:val="1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sectPr>
          <w:pgSz w:w="11905" w:h="16838"/>
          <w:pgMar w:top="1417" w:right="1417" w:bottom="1134" w:left="1701"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u w:val="single"/>
        </w:rPr>
      </w:pPr>
      <w:r>
        <w:rPr>
          <w:rFonts w:hint="default" w:ascii="Times New Roman" w:hAnsi="Times New Roman" w:cs="Times New Roman"/>
          <w:color w:val="auto"/>
          <w:u w:val="single"/>
        </w:rPr>
        <w:t xml:space="preserve">表 </w:t>
      </w:r>
      <w:r>
        <w:rPr>
          <w:rFonts w:hint="default" w:ascii="Times New Roman" w:hAnsi="Times New Roman" w:cs="Times New Roman"/>
          <w:color w:val="auto"/>
          <w:u w:val="single"/>
        </w:rPr>
        <w:fldChar w:fldCharType="begin"/>
      </w:r>
      <w:r>
        <w:rPr>
          <w:rFonts w:hint="default" w:ascii="Times New Roman" w:hAnsi="Times New Roman" w:cs="Times New Roman"/>
          <w:color w:val="auto"/>
          <w:u w:val="single"/>
        </w:rPr>
        <w:instrText xml:space="preserve"> STYLEREF 1 \s </w:instrText>
      </w:r>
      <w:r>
        <w:rPr>
          <w:rFonts w:hint="default" w:ascii="Times New Roman" w:hAnsi="Times New Roman" w:cs="Times New Roman"/>
          <w:color w:val="auto"/>
          <w:u w:val="single"/>
        </w:rPr>
        <w:fldChar w:fldCharType="separate"/>
      </w:r>
      <w:r>
        <w:rPr>
          <w:rFonts w:hint="default" w:ascii="Times New Roman" w:hAnsi="Times New Roman" w:cs="Times New Roman"/>
          <w:color w:val="auto"/>
          <w:u w:val="single"/>
        </w:rPr>
        <w:t>3</w:t>
      </w:r>
      <w:r>
        <w:rPr>
          <w:rFonts w:hint="default" w:ascii="Times New Roman" w:hAnsi="Times New Roman" w:cs="Times New Roman"/>
          <w:color w:val="auto"/>
          <w:u w:val="single"/>
        </w:rPr>
        <w:fldChar w:fldCharType="end"/>
      </w:r>
      <w:r>
        <w:rPr>
          <w:rFonts w:hint="default" w:ascii="Times New Roman" w:hAnsi="Times New Roman" w:cs="Times New Roman"/>
          <w:color w:val="auto"/>
          <w:u w:val="single"/>
          <w:lang w:val="en-US" w:eastAsia="zh-CN"/>
        </w:rPr>
        <w:t xml:space="preserve">-13 </w:t>
      </w:r>
      <w:r>
        <w:rPr>
          <w:rFonts w:hint="default" w:ascii="Times New Roman" w:hAnsi="Times New Roman" w:cs="Times New Roman"/>
          <w:color w:val="auto"/>
          <w:u w:val="single"/>
        </w:rPr>
        <w:t>本项目工程内容组成一览表</w:t>
      </w:r>
    </w:p>
    <w:tbl>
      <w:tblPr>
        <w:tblStyle w:val="24"/>
        <w:tblW w:w="94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63"/>
        <w:gridCol w:w="1254"/>
        <w:gridCol w:w="6245"/>
        <w:gridCol w:w="11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tblHeader/>
          <w:jc w:val="center"/>
        </w:trPr>
        <w:tc>
          <w:tcPr>
            <w:tcW w:w="76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组成</w:t>
            </w:r>
          </w:p>
        </w:tc>
        <w:tc>
          <w:tcPr>
            <w:tcW w:w="1254"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624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主要建设内容</w:t>
            </w:r>
          </w:p>
        </w:tc>
        <w:tc>
          <w:tcPr>
            <w:tcW w:w="118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64" w:hRule="atLeast"/>
          <w:jc w:val="center"/>
        </w:trPr>
        <w:tc>
          <w:tcPr>
            <w:tcW w:w="763" w:type="dxa"/>
            <w:vMerge w:val="restart"/>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主体</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w:t>
            </w:r>
          </w:p>
        </w:tc>
        <w:tc>
          <w:tcPr>
            <w:tcW w:w="1254"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rPr>
              <w:t>生产</w:t>
            </w:r>
            <w:r>
              <w:rPr>
                <w:rFonts w:hint="default" w:ascii="Times New Roman" w:hAnsi="Times New Roman" w:cs="Times New Roman"/>
                <w:color w:val="auto"/>
                <w:sz w:val="21"/>
                <w:szCs w:val="21"/>
                <w:u w:val="single"/>
                <w:lang w:eastAsia="zh-CN"/>
              </w:rPr>
              <w:t>厂房和</w:t>
            </w:r>
            <w:r>
              <w:rPr>
                <w:rFonts w:hint="default" w:ascii="Times New Roman" w:hAnsi="Times New Roman" w:cs="Times New Roman"/>
                <w:color w:val="auto"/>
                <w:sz w:val="21"/>
                <w:szCs w:val="21"/>
                <w:u w:val="single"/>
              </w:rPr>
              <w:t>装置</w:t>
            </w:r>
          </w:p>
        </w:tc>
        <w:tc>
          <w:tcPr>
            <w:tcW w:w="624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eastAsia="zh-CN"/>
              </w:rPr>
              <w:t>催化剂</w:t>
            </w:r>
            <w:r>
              <w:rPr>
                <w:rFonts w:hint="default" w:ascii="Times New Roman" w:hAnsi="Times New Roman" w:cs="Times New Roman"/>
                <w:color w:val="auto"/>
                <w:sz w:val="21"/>
                <w:szCs w:val="21"/>
                <w:u w:val="single"/>
              </w:rPr>
              <w:t>项目生产装置区位于现有</w:t>
            </w:r>
            <w:r>
              <w:rPr>
                <w:rFonts w:hint="default" w:ascii="Times New Roman" w:hAnsi="Times New Roman" w:cs="Times New Roman"/>
                <w:color w:val="auto"/>
                <w:sz w:val="21"/>
                <w:szCs w:val="21"/>
                <w:u w:val="single"/>
                <w:lang w:eastAsia="zh-CN"/>
              </w:rPr>
              <w:t>生产厂房北端闲置的三层</w:t>
            </w:r>
            <w:r>
              <w:rPr>
                <w:rFonts w:hint="default" w:ascii="Times New Roman" w:hAnsi="Times New Roman" w:cs="Times New Roman"/>
                <w:color w:val="auto"/>
                <w:sz w:val="21"/>
                <w:szCs w:val="21"/>
                <w:u w:val="single"/>
              </w:rPr>
              <w:t>厂房，占地面积为100m</w:t>
            </w:r>
            <w:r>
              <w:rPr>
                <w:rFonts w:hint="default" w:ascii="Times New Roman" w:hAnsi="Times New Roman" w:cs="Times New Roman"/>
                <w:color w:val="auto"/>
                <w:sz w:val="21"/>
                <w:szCs w:val="21"/>
                <w:u w:val="single"/>
                <w:vertAlign w:val="superscript"/>
              </w:rPr>
              <w:t>2</w:t>
            </w:r>
            <w:r>
              <w:rPr>
                <w:rFonts w:hint="default" w:ascii="Times New Roman" w:hAnsi="Times New Roman" w:cs="Times New Roman"/>
                <w:color w:val="auto"/>
                <w:sz w:val="21"/>
                <w:szCs w:val="21"/>
                <w:u w:val="single"/>
              </w:rPr>
              <w:t>。</w:t>
            </w:r>
            <w:r>
              <w:rPr>
                <w:rFonts w:hint="default" w:ascii="Times New Roman" w:hAnsi="Times New Roman" w:cs="Times New Roman"/>
                <w:color w:val="auto"/>
                <w:sz w:val="21"/>
                <w:szCs w:val="21"/>
                <w:u w:val="single"/>
                <w:lang w:eastAsia="zh-CN"/>
              </w:rPr>
              <w:t>新建</w:t>
            </w:r>
            <w:r>
              <w:rPr>
                <w:rFonts w:hint="default" w:ascii="Times New Roman" w:hAnsi="Times New Roman" w:cs="Times New Roman"/>
                <w:color w:val="auto"/>
                <w:sz w:val="21"/>
                <w:szCs w:val="21"/>
                <w:u w:val="single"/>
              </w:rPr>
              <w:t>1条500t/a加氢催化剂生产线（连续性生产）。</w:t>
            </w:r>
          </w:p>
        </w:tc>
        <w:tc>
          <w:tcPr>
            <w:tcW w:w="118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eastAsia="zh-CN"/>
              </w:rPr>
              <w:t>现有厂房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763" w:type="dxa"/>
            <w:vMerge w:val="restart"/>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辅助</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w:t>
            </w:r>
          </w:p>
        </w:tc>
        <w:tc>
          <w:tcPr>
            <w:tcW w:w="1254"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办公、生活设施</w:t>
            </w:r>
          </w:p>
        </w:tc>
        <w:tc>
          <w:tcPr>
            <w:tcW w:w="6245" w:type="dxa"/>
            <w:tcBorders>
              <w:bottom w:val="single" w:color="000000" w:sz="4" w:space="0"/>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rPr>
              <w:t>依托厂区内现有办公楼。</w:t>
            </w:r>
            <w:r>
              <w:rPr>
                <w:rFonts w:hint="default" w:ascii="Times New Roman" w:hAnsi="Times New Roman" w:cs="Times New Roman"/>
                <w:color w:val="auto"/>
                <w:sz w:val="21"/>
                <w:szCs w:val="21"/>
                <w:u w:val="none"/>
                <w:lang w:eastAsia="zh-CN"/>
              </w:rPr>
              <w:t>本项目不新增劳动定员。</w:t>
            </w:r>
          </w:p>
        </w:tc>
        <w:tc>
          <w:tcPr>
            <w:tcW w:w="1185" w:type="dxa"/>
            <w:tcBorders>
              <w:bottom w:val="single" w:color="000000" w:sz="4" w:space="0"/>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lang w:eastAsia="zh-CN"/>
              </w:rPr>
              <w:t>两层楼房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jc w:val="center"/>
        </w:trPr>
        <w:tc>
          <w:tcPr>
            <w:tcW w:w="763"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p>
        </w:tc>
        <w:tc>
          <w:tcPr>
            <w:tcW w:w="1254"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仓储</w:t>
            </w:r>
          </w:p>
        </w:tc>
        <w:tc>
          <w:tcPr>
            <w:tcW w:w="6245" w:type="dxa"/>
            <w:tcBorders>
              <w:top w:val="single" w:color="000000" w:sz="4" w:space="0"/>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依托厂区现有的综合性仓库。</w:t>
            </w:r>
          </w:p>
        </w:tc>
        <w:tc>
          <w:tcPr>
            <w:tcW w:w="1185" w:type="dxa"/>
            <w:tcBorders>
              <w:top w:val="single" w:color="000000" w:sz="4" w:space="0"/>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lang w:eastAsia="zh-CN"/>
              </w:rPr>
              <w:t>单层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8" w:hRule="atLeast"/>
          <w:jc w:val="center"/>
        </w:trPr>
        <w:tc>
          <w:tcPr>
            <w:tcW w:w="763" w:type="dxa"/>
            <w:vMerge w:val="restart"/>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公用</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w:t>
            </w:r>
          </w:p>
        </w:tc>
        <w:tc>
          <w:tcPr>
            <w:tcW w:w="1254"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供配电</w:t>
            </w:r>
          </w:p>
        </w:tc>
        <w:tc>
          <w:tcPr>
            <w:tcW w:w="624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依托园区变电站，厂区内已经建成并投用完善的配电系统。</w:t>
            </w:r>
          </w:p>
        </w:tc>
        <w:tc>
          <w:tcPr>
            <w:tcW w:w="118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依托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763"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p>
        </w:tc>
        <w:tc>
          <w:tcPr>
            <w:tcW w:w="1254"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给水</w:t>
            </w:r>
          </w:p>
        </w:tc>
        <w:tc>
          <w:tcPr>
            <w:tcW w:w="624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项目生产、生活及消防用水依托巴陵分公司供给，厂区内铺设完善的供水管网系统</w:t>
            </w:r>
          </w:p>
        </w:tc>
        <w:tc>
          <w:tcPr>
            <w:tcW w:w="118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依托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3" w:hRule="atLeast"/>
          <w:jc w:val="center"/>
        </w:trPr>
        <w:tc>
          <w:tcPr>
            <w:tcW w:w="763"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p>
        </w:tc>
        <w:tc>
          <w:tcPr>
            <w:tcW w:w="1254"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排水</w:t>
            </w:r>
          </w:p>
        </w:tc>
        <w:tc>
          <w:tcPr>
            <w:tcW w:w="624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采用雨污分流排水方式，后期雨水排入厂区明沟；项目废水经厂区暗管收集后排入巴陵石化污水处理厂集中处理达标后排入长江</w:t>
            </w:r>
          </w:p>
        </w:tc>
        <w:tc>
          <w:tcPr>
            <w:tcW w:w="118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依托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2" w:hRule="atLeast"/>
          <w:jc w:val="center"/>
        </w:trPr>
        <w:tc>
          <w:tcPr>
            <w:tcW w:w="763" w:type="dxa"/>
            <w:vMerge w:val="restart"/>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w:t>
            </w:r>
          </w:p>
        </w:tc>
        <w:tc>
          <w:tcPr>
            <w:tcW w:w="1254" w:type="dxa"/>
            <w:vMerge w:val="restart"/>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废气处理措施</w:t>
            </w:r>
          </w:p>
        </w:tc>
        <w:tc>
          <w:tcPr>
            <w:tcW w:w="624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lang w:eastAsia="zh-CN"/>
              </w:rPr>
              <w:t>本项目</w:t>
            </w:r>
            <w:r>
              <w:rPr>
                <w:rFonts w:hint="default" w:ascii="Times New Roman" w:hAnsi="Times New Roman" w:cs="Times New Roman"/>
                <w:color w:val="auto"/>
                <w:sz w:val="21"/>
                <w:szCs w:val="21"/>
              </w:rPr>
              <w:t>配套气体收集系统，</w:t>
            </w:r>
            <w:r>
              <w:rPr>
                <w:rFonts w:hint="default" w:ascii="Times New Roman" w:hAnsi="Times New Roman" w:cs="Times New Roman"/>
                <w:color w:val="auto"/>
                <w:sz w:val="21"/>
                <w:szCs w:val="21"/>
                <w:lang w:eastAsia="zh-CN"/>
              </w:rPr>
              <w:t>新增</w:t>
            </w:r>
            <w:r>
              <w:rPr>
                <w:rFonts w:hint="default" w:ascii="Times New Roman" w:hAnsi="Times New Roman" w:cs="Times New Roman"/>
                <w:color w:val="auto"/>
                <w:sz w:val="21"/>
                <w:szCs w:val="21"/>
                <w:lang w:val="en-US" w:eastAsia="zh-CN"/>
              </w:rPr>
              <w:t>3000m3/h风机</w:t>
            </w:r>
          </w:p>
        </w:tc>
        <w:tc>
          <w:tcPr>
            <w:tcW w:w="118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5" w:hRule="atLeast"/>
          <w:jc w:val="center"/>
        </w:trPr>
        <w:tc>
          <w:tcPr>
            <w:tcW w:w="763"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p>
        </w:tc>
        <w:tc>
          <w:tcPr>
            <w:tcW w:w="1254"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p>
        </w:tc>
        <w:tc>
          <w:tcPr>
            <w:tcW w:w="624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lang w:eastAsia="zh-CN"/>
              </w:rPr>
              <w:t>催化剂项目</w:t>
            </w:r>
            <w:r>
              <w:rPr>
                <w:rFonts w:hint="default" w:ascii="Times New Roman" w:hAnsi="Times New Roman" w:cs="Times New Roman"/>
                <w:color w:val="auto"/>
                <w:sz w:val="21"/>
                <w:szCs w:val="21"/>
              </w:rPr>
              <w:t>废气</w:t>
            </w:r>
            <w:r>
              <w:rPr>
                <w:rFonts w:hint="default" w:ascii="Times New Roman" w:hAnsi="Times New Roman" w:cs="Times New Roman"/>
                <w:color w:val="auto"/>
                <w:sz w:val="21"/>
                <w:szCs w:val="21"/>
                <w:lang w:eastAsia="zh-CN"/>
              </w:rPr>
              <w:t>接入鑫达一期项目原有废气排放的管道，</w:t>
            </w:r>
            <w:r>
              <w:rPr>
                <w:rFonts w:hint="default" w:ascii="Times New Roman" w:hAnsi="Times New Roman" w:cs="Times New Roman"/>
                <w:color w:val="auto"/>
                <w:sz w:val="21"/>
                <w:szCs w:val="21"/>
              </w:rPr>
              <w:t>进入巴陵石化放空总管，排至</w:t>
            </w:r>
            <w:r>
              <w:rPr>
                <w:rFonts w:hint="default" w:ascii="Times New Roman" w:hAnsi="Times New Roman" w:cs="Times New Roman"/>
                <w:color w:val="auto"/>
                <w:sz w:val="21"/>
                <w:szCs w:val="21"/>
                <w:lang w:eastAsia="zh-CN"/>
              </w:rPr>
              <w:t>巴陵石化公司</w:t>
            </w:r>
            <w:r>
              <w:rPr>
                <w:rFonts w:hint="default" w:ascii="Times New Roman" w:hAnsi="Times New Roman" w:cs="Times New Roman"/>
                <w:color w:val="auto"/>
                <w:sz w:val="21"/>
                <w:szCs w:val="21"/>
              </w:rPr>
              <w:t>火炬台进行燃烧处理</w:t>
            </w:r>
            <w:r>
              <w:rPr>
                <w:rFonts w:hint="default" w:ascii="Times New Roman" w:hAnsi="Times New Roman" w:cs="Times New Roman"/>
                <w:color w:val="auto"/>
                <w:sz w:val="21"/>
                <w:szCs w:val="21"/>
                <w:lang w:eastAsia="zh-CN"/>
              </w:rPr>
              <w:t>。</w:t>
            </w:r>
          </w:p>
        </w:tc>
        <w:tc>
          <w:tcPr>
            <w:tcW w:w="118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lang w:eastAsia="zh-CN"/>
              </w:rPr>
              <w:t>依托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73" w:hRule="atLeast"/>
          <w:jc w:val="center"/>
        </w:trPr>
        <w:tc>
          <w:tcPr>
            <w:tcW w:w="763"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p>
        </w:tc>
        <w:tc>
          <w:tcPr>
            <w:tcW w:w="1254" w:type="dxa"/>
            <w:vMerge w:val="restart"/>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废水处理措施</w:t>
            </w:r>
          </w:p>
        </w:tc>
        <w:tc>
          <w:tcPr>
            <w:tcW w:w="624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按照雨污分流的要求，新建围堰和雨污切换阀门，使得初期雨水通过暗沟排入巴陵石化公司污水总管进入巴陵石化污水处理厂</w:t>
            </w:r>
          </w:p>
        </w:tc>
        <w:tc>
          <w:tcPr>
            <w:tcW w:w="118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依托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70" w:hRule="atLeast"/>
          <w:jc w:val="center"/>
        </w:trPr>
        <w:tc>
          <w:tcPr>
            <w:tcW w:w="763"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p>
        </w:tc>
        <w:tc>
          <w:tcPr>
            <w:tcW w:w="1254"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p>
        </w:tc>
        <w:tc>
          <w:tcPr>
            <w:tcW w:w="624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本项目新建一个9m×5m×2m的生产废水沉降池和一个1.5m×1.5m×1.5m的中和池，生产废水通过沉降池加碱液处理进入中和池内酸碱中和然后排入巴陵石化公司污水总管</w:t>
            </w:r>
          </w:p>
        </w:tc>
        <w:tc>
          <w:tcPr>
            <w:tcW w:w="118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0" w:hRule="atLeast"/>
          <w:jc w:val="center"/>
        </w:trPr>
        <w:tc>
          <w:tcPr>
            <w:tcW w:w="763"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p>
        </w:tc>
        <w:tc>
          <w:tcPr>
            <w:tcW w:w="1254"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固废处置措施</w:t>
            </w:r>
          </w:p>
        </w:tc>
        <w:tc>
          <w:tcPr>
            <w:tcW w:w="624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eastAsia="zh-CN"/>
              </w:rPr>
              <w:t>一般固废</w:t>
            </w:r>
            <w:r>
              <w:rPr>
                <w:rFonts w:hint="default" w:ascii="Times New Roman" w:hAnsi="Times New Roman" w:cs="Times New Roman"/>
                <w:color w:val="auto"/>
                <w:sz w:val="21"/>
                <w:szCs w:val="21"/>
                <w:u w:val="single"/>
              </w:rPr>
              <w:t>依托现有</w:t>
            </w:r>
            <w:r>
              <w:rPr>
                <w:rFonts w:hint="default" w:ascii="Times New Roman" w:hAnsi="Times New Roman" w:cs="Times New Roman"/>
                <w:color w:val="auto"/>
                <w:sz w:val="21"/>
                <w:szCs w:val="21"/>
                <w:u w:val="single"/>
                <w:lang w:eastAsia="zh-CN"/>
              </w:rPr>
              <w:t>空置房存放，</w:t>
            </w:r>
            <w:r>
              <w:rPr>
                <w:rFonts w:hint="default" w:ascii="Times New Roman" w:hAnsi="Times New Roman" w:cs="Times New Roman"/>
                <w:color w:val="auto"/>
                <w:sz w:val="21"/>
                <w:szCs w:val="21"/>
                <w:u w:val="single"/>
              </w:rPr>
              <w:t>生活垃圾</w:t>
            </w:r>
            <w:r>
              <w:rPr>
                <w:rFonts w:hint="default" w:ascii="Times New Roman" w:hAnsi="Times New Roman" w:cs="Times New Roman"/>
                <w:color w:val="auto"/>
                <w:sz w:val="21"/>
                <w:szCs w:val="21"/>
                <w:u w:val="single"/>
                <w:lang w:eastAsia="zh-CN"/>
              </w:rPr>
              <w:t>使用现有</w:t>
            </w:r>
            <w:r>
              <w:rPr>
                <w:rFonts w:hint="default" w:ascii="Times New Roman" w:hAnsi="Times New Roman" w:cs="Times New Roman"/>
                <w:color w:val="auto"/>
                <w:sz w:val="21"/>
                <w:szCs w:val="21"/>
                <w:u w:val="single"/>
              </w:rPr>
              <w:t>收集</w:t>
            </w:r>
            <w:r>
              <w:rPr>
                <w:rFonts w:hint="default" w:ascii="Times New Roman" w:hAnsi="Times New Roman" w:cs="Times New Roman"/>
                <w:color w:val="auto"/>
                <w:sz w:val="21"/>
                <w:szCs w:val="21"/>
                <w:u w:val="single"/>
                <w:lang w:eastAsia="zh-CN"/>
              </w:rPr>
              <w:t>设施，</w:t>
            </w:r>
            <w:r>
              <w:rPr>
                <w:rFonts w:hint="default" w:ascii="Times New Roman" w:hAnsi="Times New Roman" w:cs="Times New Roman"/>
                <w:color w:val="auto"/>
                <w:sz w:val="21"/>
                <w:szCs w:val="21"/>
                <w:u w:val="single"/>
              </w:rPr>
              <w:t>危险废物</w:t>
            </w:r>
            <w:r>
              <w:rPr>
                <w:rFonts w:hint="default" w:ascii="Times New Roman" w:hAnsi="Times New Roman" w:cs="Times New Roman"/>
                <w:color w:val="auto"/>
                <w:sz w:val="21"/>
                <w:szCs w:val="21"/>
                <w:u w:val="single"/>
                <w:lang w:eastAsia="zh-CN"/>
              </w:rPr>
              <w:t>依托位于催化剂车间西侧的现有</w:t>
            </w:r>
            <w:r>
              <w:rPr>
                <w:rFonts w:hint="default" w:ascii="Times New Roman" w:hAnsi="Times New Roman" w:cs="Times New Roman"/>
                <w:color w:val="auto"/>
                <w:sz w:val="21"/>
                <w:szCs w:val="21"/>
                <w:u w:val="single"/>
                <w:lang w:val="en-US" w:eastAsia="zh-CN"/>
              </w:rPr>
              <w:t>30m2</w:t>
            </w:r>
            <w:r>
              <w:rPr>
                <w:rFonts w:hint="default" w:ascii="Times New Roman" w:hAnsi="Times New Roman" w:cs="Times New Roman"/>
                <w:color w:val="auto"/>
                <w:sz w:val="21"/>
                <w:szCs w:val="21"/>
                <w:u w:val="single"/>
                <w:lang w:eastAsia="zh-CN"/>
              </w:rPr>
              <w:t>危废</w:t>
            </w:r>
            <w:r>
              <w:rPr>
                <w:rFonts w:hint="default" w:ascii="Times New Roman" w:hAnsi="Times New Roman" w:cs="Times New Roman"/>
                <w:color w:val="auto"/>
                <w:sz w:val="21"/>
                <w:szCs w:val="21"/>
                <w:u w:val="single"/>
              </w:rPr>
              <w:t>暂存间</w:t>
            </w:r>
            <w:r>
              <w:rPr>
                <w:rFonts w:hint="default" w:ascii="Times New Roman" w:hAnsi="Times New Roman" w:cs="Times New Roman"/>
                <w:color w:val="auto"/>
                <w:sz w:val="21"/>
                <w:szCs w:val="21"/>
                <w:u w:val="single"/>
                <w:lang w:eastAsia="zh-CN"/>
              </w:rPr>
              <w:t>存放</w:t>
            </w:r>
          </w:p>
        </w:tc>
        <w:tc>
          <w:tcPr>
            <w:tcW w:w="118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依托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26" w:hRule="atLeast"/>
          <w:jc w:val="center"/>
        </w:trPr>
        <w:tc>
          <w:tcPr>
            <w:tcW w:w="763"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p>
        </w:tc>
        <w:tc>
          <w:tcPr>
            <w:tcW w:w="1254"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噪声防治措施</w:t>
            </w:r>
          </w:p>
        </w:tc>
        <w:tc>
          <w:tcPr>
            <w:tcW w:w="624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设备采取减振、隔声、消声等措施。</w:t>
            </w:r>
          </w:p>
        </w:tc>
        <w:tc>
          <w:tcPr>
            <w:tcW w:w="118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新增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5" w:hRule="atLeast"/>
          <w:jc w:val="center"/>
        </w:trPr>
        <w:tc>
          <w:tcPr>
            <w:tcW w:w="763" w:type="dxa"/>
            <w:vMerge w:val="restart"/>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储运</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p>
        </w:tc>
        <w:tc>
          <w:tcPr>
            <w:tcW w:w="1254"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厂外</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运输</w:t>
            </w:r>
          </w:p>
        </w:tc>
        <w:tc>
          <w:tcPr>
            <w:tcW w:w="624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生产原料密封桶装，由原料提供单位汽车运输</w:t>
            </w:r>
            <w:r>
              <w:rPr>
                <w:rFonts w:hint="default" w:ascii="Times New Roman" w:hAnsi="Times New Roman" w:cs="Times New Roman"/>
                <w:color w:val="auto"/>
                <w:sz w:val="21"/>
                <w:szCs w:val="21"/>
                <w:lang w:eastAsia="zh-CN"/>
              </w:rPr>
              <w:t>。</w:t>
            </w:r>
          </w:p>
        </w:tc>
        <w:tc>
          <w:tcPr>
            <w:tcW w:w="118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依托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9" w:hRule="atLeast"/>
          <w:jc w:val="center"/>
        </w:trPr>
        <w:tc>
          <w:tcPr>
            <w:tcW w:w="763"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p>
        </w:tc>
        <w:tc>
          <w:tcPr>
            <w:tcW w:w="1254"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厂内</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运输</w:t>
            </w:r>
          </w:p>
        </w:tc>
        <w:tc>
          <w:tcPr>
            <w:tcW w:w="624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原材料货车通过物流出入口进入厂区内主要道路到达车间和仓库</w:t>
            </w:r>
          </w:p>
        </w:tc>
        <w:tc>
          <w:tcPr>
            <w:tcW w:w="118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依托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763"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p>
        </w:tc>
        <w:tc>
          <w:tcPr>
            <w:tcW w:w="1254"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管道输送</w:t>
            </w:r>
          </w:p>
        </w:tc>
        <w:tc>
          <w:tcPr>
            <w:tcW w:w="624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产品通过管道（管道长约</w:t>
            </w:r>
            <w:r>
              <w:rPr>
                <w:rFonts w:hint="default" w:ascii="Times New Roman" w:hAnsi="Times New Roman" w:cs="Times New Roman"/>
                <w:color w:val="auto"/>
                <w:sz w:val="21"/>
                <w:szCs w:val="21"/>
                <w:lang w:val="en-US" w:eastAsia="zh-CN"/>
              </w:rPr>
              <w:t>200m，输送量1.5m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/d</w:t>
            </w:r>
            <w:r>
              <w:rPr>
                <w:rFonts w:hint="default" w:ascii="Times New Roman" w:hAnsi="Times New Roman" w:cs="Times New Roman"/>
                <w:color w:val="auto"/>
                <w:sz w:val="21"/>
                <w:szCs w:val="21"/>
                <w:lang w:eastAsia="zh-CN"/>
              </w:rPr>
              <w:t>）运往巴陵石化橡胶部。</w:t>
            </w:r>
          </w:p>
        </w:tc>
        <w:tc>
          <w:tcPr>
            <w:tcW w:w="118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sz w:val="21"/>
                <w:szCs w:val="21"/>
                <w:u w:val="single"/>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763" w:type="dxa"/>
            <w:vMerge w:val="continue"/>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Times New Roman" w:hAnsi="Times New Roman" w:cs="Times New Roman"/>
                <w:color w:val="auto"/>
                <w:sz w:val="21"/>
                <w:szCs w:val="21"/>
              </w:rPr>
            </w:pPr>
          </w:p>
        </w:tc>
        <w:tc>
          <w:tcPr>
            <w:tcW w:w="1254"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仓库</w:t>
            </w:r>
          </w:p>
        </w:tc>
        <w:tc>
          <w:tcPr>
            <w:tcW w:w="624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本项目原料储存于厂区现有仓库中。</w:t>
            </w:r>
          </w:p>
        </w:tc>
        <w:tc>
          <w:tcPr>
            <w:tcW w:w="0" w:type="auto"/>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sz w:val="21"/>
                <w:szCs w:val="21"/>
                <w:u w:val="single"/>
                <w:lang w:val="en-US" w:eastAsia="zh-CN"/>
              </w:rPr>
              <w:t>依托</w:t>
            </w:r>
          </w:p>
        </w:tc>
      </w:tr>
    </w:tbl>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outlineLvl w:val="2"/>
        <w:rPr>
          <w:rFonts w:hint="default" w:ascii="Times New Roman" w:hAnsi="Times New Roman" w:cs="Times New Roman"/>
          <w:color w:val="auto"/>
        </w:rPr>
      </w:pPr>
      <w:bookmarkStart w:id="296" w:name="_Toc16698"/>
      <w:r>
        <w:rPr>
          <w:rFonts w:hint="default" w:ascii="Times New Roman" w:hAnsi="Times New Roman" w:cs="Times New Roman"/>
          <w:color w:val="auto"/>
        </w:rPr>
        <w:t>产品规模</w:t>
      </w:r>
      <w:r>
        <w:rPr>
          <w:rFonts w:hint="default" w:ascii="Times New Roman" w:hAnsi="Times New Roman" w:cs="Times New Roman"/>
          <w:color w:val="auto"/>
          <w:lang w:eastAsia="zh-CN"/>
        </w:rPr>
        <w:t>及产品性能</w:t>
      </w:r>
      <w:bookmarkEnd w:id="296"/>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本项目生产规模为：每年生产500吨加氢催化剂，产品通过管输至巴陵石化橡胶事业部。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u w:val="single"/>
          <w:lang w:val="en-US" w:eastAsia="zh-CN" w:bidi="ar-SA"/>
        </w:rPr>
      </w:pPr>
      <w:r>
        <w:rPr>
          <w:rFonts w:hint="default" w:ascii="Times New Roman" w:hAnsi="Times New Roman" w:eastAsia="宋体" w:cs="Times New Roman"/>
          <w:color w:val="auto"/>
          <w:kern w:val="2"/>
          <w:sz w:val="24"/>
          <w:szCs w:val="24"/>
          <w:u w:val="single"/>
          <w:lang w:val="en-US" w:eastAsia="zh-CN" w:bidi="ar-SA"/>
        </w:rPr>
        <w:t>加氢催化剂由30%的异辛酸镍和70%的环己烷组成。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u w:val="single"/>
          <w:lang w:val="en-US" w:eastAsia="zh-CN" w:bidi="ar-SA"/>
        </w:rPr>
      </w:pPr>
      <w:r>
        <w:rPr>
          <w:rFonts w:hint="default" w:ascii="Times New Roman" w:hAnsi="Times New Roman" w:eastAsia="宋体" w:cs="Times New Roman"/>
          <w:color w:val="auto"/>
          <w:kern w:val="2"/>
          <w:sz w:val="24"/>
          <w:szCs w:val="24"/>
          <w:u w:val="single"/>
          <w:lang w:val="en-US" w:eastAsia="zh-CN" w:bidi="ar-SA"/>
        </w:rPr>
        <w:t>异辛酸镍：英文名Nickel isooctanoate，分子式C</w:t>
      </w:r>
      <w:r>
        <w:rPr>
          <w:rFonts w:hint="default" w:ascii="Times New Roman" w:hAnsi="Times New Roman" w:eastAsia="宋体" w:cs="Times New Roman"/>
          <w:color w:val="auto"/>
          <w:kern w:val="2"/>
          <w:sz w:val="24"/>
          <w:szCs w:val="24"/>
          <w:u w:val="single"/>
          <w:vertAlign w:val="subscript"/>
          <w:lang w:val="en-US" w:eastAsia="zh-CN" w:bidi="ar-SA"/>
        </w:rPr>
        <w:t>16</w:t>
      </w:r>
      <w:r>
        <w:rPr>
          <w:rFonts w:hint="default" w:ascii="Times New Roman" w:hAnsi="Times New Roman" w:eastAsia="宋体" w:cs="Times New Roman"/>
          <w:color w:val="auto"/>
          <w:kern w:val="2"/>
          <w:sz w:val="24"/>
          <w:szCs w:val="24"/>
          <w:u w:val="single"/>
          <w:lang w:val="en-US" w:eastAsia="zh-CN" w:bidi="ar-SA"/>
        </w:rPr>
        <w:t>H</w:t>
      </w:r>
      <w:r>
        <w:rPr>
          <w:rFonts w:hint="default" w:ascii="Times New Roman" w:hAnsi="Times New Roman" w:eastAsia="宋体" w:cs="Times New Roman"/>
          <w:color w:val="auto"/>
          <w:kern w:val="2"/>
          <w:sz w:val="24"/>
          <w:szCs w:val="24"/>
          <w:u w:val="single"/>
          <w:vertAlign w:val="subscript"/>
          <w:lang w:val="en-US" w:eastAsia="zh-CN" w:bidi="ar-SA"/>
        </w:rPr>
        <w:t>30</w:t>
      </w:r>
      <w:r>
        <w:rPr>
          <w:rFonts w:hint="default" w:ascii="Times New Roman" w:hAnsi="Times New Roman" w:eastAsia="宋体" w:cs="Times New Roman"/>
          <w:color w:val="auto"/>
          <w:kern w:val="2"/>
          <w:sz w:val="24"/>
          <w:szCs w:val="24"/>
          <w:u w:val="single"/>
          <w:lang w:val="en-US" w:eastAsia="zh-CN" w:bidi="ar-SA"/>
        </w:rPr>
        <w:t>NiO</w:t>
      </w:r>
      <w:r>
        <w:rPr>
          <w:rFonts w:hint="default" w:ascii="Times New Roman" w:hAnsi="Times New Roman" w:eastAsia="宋体" w:cs="Times New Roman"/>
          <w:color w:val="auto"/>
          <w:kern w:val="2"/>
          <w:sz w:val="24"/>
          <w:szCs w:val="24"/>
          <w:u w:val="single"/>
          <w:vertAlign w:val="subscript"/>
          <w:lang w:val="en-US" w:eastAsia="zh-CN" w:bidi="ar-SA"/>
        </w:rPr>
        <w:t>4</w:t>
      </w:r>
      <w:r>
        <w:rPr>
          <w:rFonts w:hint="default" w:ascii="Times New Roman" w:hAnsi="Times New Roman" w:eastAsia="宋体" w:cs="Times New Roman"/>
          <w:color w:val="auto"/>
          <w:kern w:val="2"/>
          <w:sz w:val="24"/>
          <w:szCs w:val="24"/>
          <w:u w:val="single"/>
          <w:lang w:val="en-US" w:eastAsia="zh-CN" w:bidi="ar-SA"/>
        </w:rPr>
        <w:t>，分子质量：345.1004，外观：绿色透明粘稠液体，镍含量17% ，溶剂中溶解性：全溶，溶液稳定性：透明无析出物，细度um≤ ≤15。主要用于催化剂的生产。特性用途：用于通用催干剂、研磨分散剂、紫外光吸收剂等。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产品规模见表3-14。</w:t>
      </w:r>
    </w:p>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color w:val="auto"/>
          <w:kern w:val="2"/>
          <w:sz w:val="21"/>
          <w:szCs w:val="21"/>
          <w:u w:val="single"/>
          <w:lang w:val="en-US" w:eastAsia="zh-CN" w:bidi="ar-SA"/>
        </w:rPr>
      </w:pPr>
      <w:r>
        <w:rPr>
          <w:rFonts w:hint="default" w:ascii="Times New Roman" w:hAnsi="Times New Roman" w:cs="Times New Roman"/>
          <w:color w:val="auto"/>
          <w:u w:val="single"/>
        </w:rPr>
        <w:t xml:space="preserve">表 </w:t>
      </w:r>
      <w:r>
        <w:rPr>
          <w:rFonts w:hint="default" w:ascii="Times New Roman" w:hAnsi="Times New Roman" w:cs="Times New Roman"/>
          <w:color w:val="auto"/>
          <w:u w:val="single"/>
        </w:rPr>
        <w:fldChar w:fldCharType="begin"/>
      </w:r>
      <w:r>
        <w:rPr>
          <w:rFonts w:hint="default" w:ascii="Times New Roman" w:hAnsi="Times New Roman" w:cs="Times New Roman"/>
          <w:color w:val="auto"/>
          <w:u w:val="single"/>
        </w:rPr>
        <w:instrText xml:space="preserve"> STYLEREF 1 \s </w:instrText>
      </w:r>
      <w:r>
        <w:rPr>
          <w:rFonts w:hint="default" w:ascii="Times New Roman" w:hAnsi="Times New Roman" w:cs="Times New Roman"/>
          <w:color w:val="auto"/>
          <w:u w:val="single"/>
        </w:rPr>
        <w:fldChar w:fldCharType="separate"/>
      </w:r>
      <w:r>
        <w:rPr>
          <w:rFonts w:hint="default" w:ascii="Times New Roman" w:hAnsi="Times New Roman" w:cs="Times New Roman"/>
          <w:color w:val="auto"/>
          <w:u w:val="single"/>
        </w:rPr>
        <w:t>3</w:t>
      </w:r>
      <w:r>
        <w:rPr>
          <w:rFonts w:hint="default" w:ascii="Times New Roman" w:hAnsi="Times New Roman" w:cs="Times New Roman"/>
          <w:color w:val="auto"/>
          <w:u w:val="single"/>
        </w:rPr>
        <w:fldChar w:fldCharType="end"/>
      </w:r>
      <w:r>
        <w:rPr>
          <w:rFonts w:hint="default" w:ascii="Times New Roman" w:hAnsi="Times New Roman" w:cs="Times New Roman"/>
          <w:color w:val="auto"/>
          <w:u w:val="single"/>
          <w:lang w:val="en-US" w:eastAsia="zh-CN"/>
        </w:rPr>
        <w:t>-14</w:t>
      </w:r>
      <w:r>
        <w:rPr>
          <w:rFonts w:hint="default" w:ascii="Times New Roman" w:hAnsi="Times New Roman" w:eastAsia="宋体" w:cs="Times New Roman"/>
          <w:b/>
          <w:color w:val="auto"/>
          <w:kern w:val="2"/>
          <w:sz w:val="21"/>
          <w:szCs w:val="21"/>
          <w:u w:val="single"/>
          <w:lang w:val="en-US" w:eastAsia="zh-CN" w:bidi="ar-SA"/>
        </w:rPr>
        <w:t>产品</w:t>
      </w:r>
      <w:r>
        <w:rPr>
          <w:rFonts w:hint="default" w:ascii="Times New Roman" w:hAnsi="Times New Roman" w:cs="Times New Roman"/>
          <w:b/>
          <w:color w:val="auto"/>
          <w:kern w:val="2"/>
          <w:sz w:val="21"/>
          <w:szCs w:val="21"/>
          <w:u w:val="single"/>
          <w:lang w:val="en-US" w:eastAsia="zh-CN" w:bidi="ar-SA"/>
        </w:rPr>
        <w:t>方案及</w:t>
      </w:r>
      <w:r>
        <w:rPr>
          <w:rFonts w:hint="default" w:ascii="Times New Roman" w:hAnsi="Times New Roman" w:eastAsia="宋体" w:cs="Times New Roman"/>
          <w:b/>
          <w:color w:val="auto"/>
          <w:kern w:val="2"/>
          <w:sz w:val="21"/>
          <w:szCs w:val="21"/>
          <w:u w:val="single"/>
          <w:lang w:val="en-US" w:eastAsia="zh-CN" w:bidi="ar-SA"/>
        </w:rPr>
        <w:t>规模</w:t>
      </w:r>
    </w:p>
    <w:tbl>
      <w:tblPr>
        <w:tblStyle w:val="25"/>
        <w:tblW w:w="90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94"/>
        <w:gridCol w:w="1399"/>
        <w:gridCol w:w="4172"/>
        <w:gridCol w:w="850"/>
        <w:gridCol w:w="12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39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,产品类型</w:t>
            </w:r>
          </w:p>
        </w:tc>
        <w:tc>
          <w:tcPr>
            <w:tcW w:w="1399"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产品名称</w:t>
            </w:r>
          </w:p>
        </w:tc>
        <w:tc>
          <w:tcPr>
            <w:tcW w:w="4172"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产品标准</w:t>
            </w:r>
          </w:p>
        </w:tc>
        <w:tc>
          <w:tcPr>
            <w:tcW w:w="85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单位</w:t>
            </w:r>
          </w:p>
        </w:tc>
        <w:tc>
          <w:tcPr>
            <w:tcW w:w="1242"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生产规模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39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产品</w:t>
            </w:r>
          </w:p>
        </w:tc>
        <w:tc>
          <w:tcPr>
            <w:tcW w:w="1399"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加氢催化剂</w:t>
            </w:r>
            <w:r>
              <w:rPr>
                <w:rFonts w:hint="default" w:ascii="Times New Roman" w:hAnsi="Times New Roman" w:cs="Times New Roman"/>
                <w:color w:val="auto"/>
                <w:sz w:val="21"/>
                <w:szCs w:val="21"/>
              </w:rPr>
              <w:t>异辛酸镍</w:t>
            </w:r>
          </w:p>
        </w:tc>
        <w:tc>
          <w:tcPr>
            <w:tcW w:w="4172"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加氢催化剂XD306（Q/JBDU007-2017)</w:t>
            </w:r>
          </w:p>
        </w:tc>
        <w:tc>
          <w:tcPr>
            <w:tcW w:w="85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1242"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4" w:hRule="atLeast"/>
          <w:jc w:val="center"/>
        </w:trPr>
        <w:tc>
          <w:tcPr>
            <w:tcW w:w="139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副产品</w:t>
            </w:r>
          </w:p>
        </w:tc>
        <w:tc>
          <w:tcPr>
            <w:tcW w:w="1399"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氢氧化镍</w:t>
            </w:r>
          </w:p>
        </w:tc>
        <w:tc>
          <w:tcPr>
            <w:tcW w:w="4172"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中华人民共和国有色金属行业标准《粗氢氧化镍》，国家工信部。粗氢氧化镍一等品Ni&gt;35%。鑫达产品Ni&gt;41.2%，符合淄博超川化工有限公司产品质量要求</w:t>
            </w:r>
          </w:p>
        </w:tc>
        <w:tc>
          <w:tcPr>
            <w:tcW w:w="85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t/a</w:t>
            </w:r>
          </w:p>
        </w:tc>
        <w:tc>
          <w:tcPr>
            <w:tcW w:w="1242"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w:t>
            </w:r>
          </w:p>
        </w:tc>
      </w:tr>
    </w:tbl>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outlineLvl w:val="2"/>
        <w:rPr>
          <w:rFonts w:hint="default" w:ascii="Times New Roman" w:hAnsi="Times New Roman" w:cs="Times New Roman"/>
          <w:color w:val="auto"/>
          <w:u w:val="none"/>
        </w:rPr>
      </w:pPr>
      <w:bookmarkStart w:id="297" w:name="_Toc5534"/>
      <w:r>
        <w:rPr>
          <w:rFonts w:hint="default" w:ascii="Times New Roman" w:hAnsi="Times New Roman" w:cs="Times New Roman"/>
          <w:color w:val="auto"/>
          <w:u w:val="none"/>
          <w:lang w:eastAsia="zh-CN"/>
        </w:rPr>
        <w:t>与现有工程的依托关系</w:t>
      </w:r>
      <w:bookmarkEnd w:id="297"/>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kern w:val="2"/>
          <w:sz w:val="24"/>
          <w:szCs w:val="24"/>
          <w:u w:val="none"/>
          <w:lang w:val="en-US" w:eastAsia="zh-CN" w:bidi="ar-SA"/>
        </w:rPr>
      </w:pPr>
      <w:r>
        <w:rPr>
          <w:rFonts w:hint="default" w:ascii="Times New Roman" w:hAnsi="Times New Roman" w:eastAsia="宋体" w:cs="Times New Roman"/>
          <w:color w:val="auto"/>
          <w:kern w:val="2"/>
          <w:sz w:val="24"/>
          <w:szCs w:val="24"/>
          <w:u w:val="none"/>
          <w:lang w:val="en-US" w:eastAsia="zh-CN" w:bidi="ar-SA"/>
        </w:rPr>
        <w:t>本项目依托现有工程的办公生活区域、生产区域，对现有的空置厂房根据项目发展进行改造，从进一步满足环保要求。</w:t>
      </w:r>
    </w:p>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color w:val="auto"/>
          <w:kern w:val="2"/>
          <w:sz w:val="21"/>
          <w:szCs w:val="21"/>
          <w:u w:val="wave"/>
          <w:lang w:val="en-US" w:eastAsia="zh-CN" w:bidi="ar-SA"/>
        </w:rPr>
      </w:pPr>
      <w:r>
        <w:rPr>
          <w:rFonts w:hint="default" w:ascii="Times New Roman" w:hAnsi="Times New Roman" w:eastAsia="宋体" w:cs="Times New Roman"/>
          <w:b/>
          <w:color w:val="auto"/>
          <w:kern w:val="2"/>
          <w:sz w:val="21"/>
          <w:szCs w:val="21"/>
          <w:u w:val="wave"/>
          <w:lang w:val="en-US" w:eastAsia="zh-CN" w:bidi="ar-SA"/>
        </w:rPr>
        <w:t xml:space="preserve">表3-15 </w:t>
      </w:r>
      <w:r>
        <w:rPr>
          <w:rFonts w:hint="default" w:ascii="Times New Roman" w:hAnsi="Times New Roman" w:cs="Times New Roman"/>
          <w:b/>
          <w:color w:val="auto"/>
          <w:kern w:val="2"/>
          <w:sz w:val="21"/>
          <w:szCs w:val="21"/>
          <w:u w:val="wave"/>
          <w:lang w:val="en-US" w:eastAsia="zh-CN" w:bidi="ar-SA"/>
        </w:rPr>
        <w:t>催化剂项目</w:t>
      </w:r>
      <w:r>
        <w:rPr>
          <w:rFonts w:hint="default" w:ascii="Times New Roman" w:hAnsi="Times New Roman" w:eastAsia="宋体" w:cs="Times New Roman"/>
          <w:b/>
          <w:color w:val="auto"/>
          <w:kern w:val="2"/>
          <w:sz w:val="21"/>
          <w:szCs w:val="21"/>
          <w:u w:val="wave"/>
          <w:lang w:val="en-US" w:eastAsia="zh-CN" w:bidi="ar-SA"/>
        </w:rPr>
        <w:t>与现有工程依托关系一览表</w:t>
      </w:r>
    </w:p>
    <w:tbl>
      <w:tblPr>
        <w:tblStyle w:val="25"/>
        <w:tblpPr w:leftFromText="180" w:rightFromText="180" w:vertAnchor="text" w:horzAnchor="page" w:tblpXSpec="center" w:tblpY="251"/>
        <w:tblOverlap w:val="never"/>
        <w:tblW w:w="95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157"/>
        <w:gridCol w:w="1142"/>
        <w:gridCol w:w="5335"/>
        <w:gridCol w:w="12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74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序号</w:t>
            </w:r>
          </w:p>
        </w:tc>
        <w:tc>
          <w:tcPr>
            <w:tcW w:w="2299"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项目名称</w:t>
            </w:r>
          </w:p>
        </w:tc>
        <w:tc>
          <w:tcPr>
            <w:tcW w:w="533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2"/>
                <w:sz w:val="21"/>
                <w:szCs w:val="21"/>
                <w:u w:val="none"/>
                <w:vertAlign w:val="baseline"/>
                <w:lang w:val="en-US" w:eastAsia="zh-CN" w:bidi="ar-SA"/>
              </w:rPr>
            </w:pPr>
            <w:r>
              <w:rPr>
                <w:rFonts w:hint="default" w:ascii="Times New Roman" w:hAnsi="Times New Roman" w:cs="Times New Roman"/>
                <w:color w:val="auto"/>
                <w:sz w:val="21"/>
                <w:szCs w:val="21"/>
                <w:u w:val="none"/>
                <w:vertAlign w:val="baseline"/>
                <w:lang w:val="en-US" w:eastAsia="zh-CN"/>
              </w:rPr>
              <w:t>拟建项目与现有项目依托说明</w:t>
            </w:r>
          </w:p>
        </w:tc>
        <w:tc>
          <w:tcPr>
            <w:tcW w:w="122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依托关系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74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1</w:t>
            </w:r>
          </w:p>
        </w:tc>
        <w:tc>
          <w:tcPr>
            <w:tcW w:w="2299"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主体工程</w:t>
            </w:r>
          </w:p>
        </w:tc>
        <w:tc>
          <w:tcPr>
            <w:tcW w:w="533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2"/>
                <w:sz w:val="21"/>
                <w:szCs w:val="21"/>
                <w:u w:val="none"/>
                <w:vertAlign w:val="baseline"/>
                <w:lang w:val="en-US" w:eastAsia="zh-CN" w:bidi="ar-SA"/>
              </w:rPr>
            </w:pPr>
            <w:r>
              <w:rPr>
                <w:rFonts w:hint="default" w:ascii="Times New Roman" w:hAnsi="Times New Roman" w:cs="Times New Roman"/>
                <w:color w:val="auto"/>
                <w:sz w:val="21"/>
                <w:szCs w:val="21"/>
                <w:u w:val="none"/>
                <w:vertAlign w:val="baseline"/>
                <w:lang w:val="en-US" w:eastAsia="zh-CN"/>
              </w:rPr>
              <w:t>建设1条500t/a加氢催化剂生产线，本项目生产装置区位于现有生产车间北侧的闲置厂房</w:t>
            </w:r>
          </w:p>
        </w:tc>
        <w:tc>
          <w:tcPr>
            <w:tcW w:w="122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4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2</w:t>
            </w:r>
          </w:p>
        </w:tc>
        <w:tc>
          <w:tcPr>
            <w:tcW w:w="2299"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生产设备</w:t>
            </w:r>
          </w:p>
        </w:tc>
        <w:tc>
          <w:tcPr>
            <w:tcW w:w="533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2"/>
                <w:sz w:val="21"/>
                <w:szCs w:val="21"/>
                <w:u w:val="none"/>
                <w:vertAlign w:val="baseline"/>
                <w:lang w:val="en-US" w:eastAsia="zh-CN" w:bidi="ar-SA"/>
              </w:rPr>
            </w:pPr>
            <w:r>
              <w:rPr>
                <w:rFonts w:hint="default" w:ascii="Times New Roman" w:hAnsi="Times New Roman" w:cs="Times New Roman"/>
                <w:color w:val="auto"/>
                <w:sz w:val="21"/>
                <w:szCs w:val="21"/>
                <w:u w:val="none"/>
                <w:vertAlign w:val="baseline"/>
                <w:lang w:val="en-US" w:eastAsia="zh-CN"/>
              </w:rPr>
              <w:t>生产设备新增</w:t>
            </w:r>
          </w:p>
        </w:tc>
        <w:tc>
          <w:tcPr>
            <w:tcW w:w="122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44"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3</w:t>
            </w:r>
          </w:p>
        </w:tc>
        <w:tc>
          <w:tcPr>
            <w:tcW w:w="1157"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环保工程</w:t>
            </w:r>
          </w:p>
        </w:tc>
        <w:tc>
          <w:tcPr>
            <w:tcW w:w="114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废气新增</w:t>
            </w:r>
          </w:p>
        </w:tc>
        <w:tc>
          <w:tcPr>
            <w:tcW w:w="533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lang w:eastAsia="zh-CN"/>
              </w:rPr>
              <w:t>本项目</w:t>
            </w:r>
            <w:r>
              <w:rPr>
                <w:rFonts w:hint="default" w:ascii="Times New Roman" w:hAnsi="Times New Roman" w:cs="Times New Roman"/>
                <w:color w:val="auto"/>
              </w:rPr>
              <w:t>配套气体收集系统，</w:t>
            </w:r>
            <w:r>
              <w:rPr>
                <w:rFonts w:hint="default" w:ascii="Times New Roman" w:hAnsi="Times New Roman" w:cs="Times New Roman"/>
                <w:color w:val="auto"/>
                <w:lang w:eastAsia="zh-CN"/>
              </w:rPr>
              <w:t>新增</w:t>
            </w:r>
            <w:r>
              <w:rPr>
                <w:rFonts w:hint="default" w:ascii="Times New Roman" w:hAnsi="Times New Roman" w:cs="Times New Roman"/>
                <w:color w:val="auto"/>
                <w:lang w:val="en-US" w:eastAsia="zh-CN"/>
              </w:rPr>
              <w:t>3000m3/h风机</w:t>
            </w:r>
          </w:p>
        </w:tc>
        <w:tc>
          <w:tcPr>
            <w:tcW w:w="122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74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rPr>
            </w:pPr>
          </w:p>
        </w:tc>
        <w:tc>
          <w:tcPr>
            <w:tcW w:w="1157"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p>
        </w:tc>
        <w:tc>
          <w:tcPr>
            <w:tcW w:w="114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废气现有</w:t>
            </w:r>
          </w:p>
        </w:tc>
        <w:tc>
          <w:tcPr>
            <w:tcW w:w="533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lang w:eastAsia="zh-CN"/>
              </w:rPr>
              <w:t>催化剂项目</w:t>
            </w:r>
            <w:r>
              <w:rPr>
                <w:rFonts w:hint="default" w:ascii="Times New Roman" w:hAnsi="Times New Roman" w:cs="Times New Roman"/>
                <w:color w:val="auto"/>
              </w:rPr>
              <w:t>废气</w:t>
            </w:r>
            <w:r>
              <w:rPr>
                <w:rFonts w:hint="default" w:ascii="Times New Roman" w:hAnsi="Times New Roman" w:cs="Times New Roman"/>
                <w:color w:val="auto"/>
                <w:lang w:eastAsia="zh-CN"/>
              </w:rPr>
              <w:t>接入鑫达一期项目原有废气排放的管道，</w:t>
            </w:r>
            <w:r>
              <w:rPr>
                <w:rFonts w:hint="default" w:ascii="Times New Roman" w:hAnsi="Times New Roman" w:cs="Times New Roman"/>
                <w:color w:val="auto"/>
              </w:rPr>
              <w:t>进入巴陵石化放空总管，排至</w:t>
            </w:r>
            <w:r>
              <w:rPr>
                <w:rFonts w:hint="default" w:ascii="Times New Roman" w:hAnsi="Times New Roman" w:cs="Times New Roman"/>
                <w:color w:val="auto"/>
                <w:lang w:eastAsia="zh-CN"/>
              </w:rPr>
              <w:t>巴陵石化公司</w:t>
            </w:r>
            <w:r>
              <w:rPr>
                <w:rFonts w:hint="default" w:ascii="Times New Roman" w:hAnsi="Times New Roman" w:cs="Times New Roman"/>
                <w:color w:val="auto"/>
              </w:rPr>
              <w:t>火炬台进行燃烧处理</w:t>
            </w:r>
            <w:r>
              <w:rPr>
                <w:rFonts w:hint="default" w:ascii="Times New Roman" w:hAnsi="Times New Roman" w:cs="Times New Roman"/>
                <w:color w:val="auto"/>
                <w:lang w:eastAsia="zh-CN"/>
              </w:rPr>
              <w:t>。</w:t>
            </w:r>
          </w:p>
        </w:tc>
        <w:tc>
          <w:tcPr>
            <w:tcW w:w="122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74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p>
        </w:tc>
        <w:tc>
          <w:tcPr>
            <w:tcW w:w="1157"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p>
        </w:tc>
        <w:tc>
          <w:tcPr>
            <w:tcW w:w="114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废水新增</w:t>
            </w:r>
          </w:p>
        </w:tc>
        <w:tc>
          <w:tcPr>
            <w:tcW w:w="5335"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生产废水新建一个9m×5m×2m的生产废水沉降池和一个1.5m×1.5m×1.5m的中和池。</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生产废水通过沉降池加碱液处理进入中和池内酸碱中和然后排入巴陵石化公司污水总管。</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lang w:val="en-US" w:eastAsia="zh-CN"/>
              </w:rPr>
              <w:t>雨水按照雨污分流的要求，新建围堰和雨污切换阀门，初期雨水通过暗沟排入巴陵石化公司污水总管。</w:t>
            </w:r>
          </w:p>
        </w:tc>
        <w:tc>
          <w:tcPr>
            <w:tcW w:w="122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74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p>
        </w:tc>
        <w:tc>
          <w:tcPr>
            <w:tcW w:w="1157"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p>
        </w:tc>
        <w:tc>
          <w:tcPr>
            <w:tcW w:w="114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废水现有</w:t>
            </w:r>
          </w:p>
        </w:tc>
        <w:tc>
          <w:tcPr>
            <w:tcW w:w="5335"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lang w:val="en-US" w:eastAsia="zh-CN"/>
              </w:rPr>
              <w:t>生活废水依托现有工程的化粪池排放。全部废水通过巴陵石化公司污水总管进入巴陵石化污水处理厂。</w:t>
            </w:r>
          </w:p>
        </w:tc>
        <w:tc>
          <w:tcPr>
            <w:tcW w:w="122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74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p>
        </w:tc>
        <w:tc>
          <w:tcPr>
            <w:tcW w:w="1157"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p>
        </w:tc>
        <w:tc>
          <w:tcPr>
            <w:tcW w:w="114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固废</w:t>
            </w:r>
          </w:p>
        </w:tc>
        <w:tc>
          <w:tcPr>
            <w:tcW w:w="533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lang w:val="en-US" w:eastAsia="zh-CN"/>
              </w:rPr>
              <w:t>依托现有车间西侧的闲置房、危险废物暂存间和生活垃圾收集措施。危险废物定期交岳阳市凌峰化工有限公司处置。</w:t>
            </w:r>
          </w:p>
        </w:tc>
        <w:tc>
          <w:tcPr>
            <w:tcW w:w="122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4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4</w:t>
            </w:r>
          </w:p>
        </w:tc>
        <w:tc>
          <w:tcPr>
            <w:tcW w:w="2299"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公用工程</w:t>
            </w:r>
          </w:p>
        </w:tc>
        <w:tc>
          <w:tcPr>
            <w:tcW w:w="533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不新增劳动定员，办公室等公用工程依托现有工程</w:t>
            </w:r>
          </w:p>
        </w:tc>
        <w:tc>
          <w:tcPr>
            <w:tcW w:w="122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依托</w:t>
            </w:r>
          </w:p>
        </w:tc>
      </w:tr>
    </w:tbl>
    <w:p>
      <w:pPr>
        <w:rPr>
          <w:rFonts w:hint="default" w:ascii="Times New Roman" w:hAnsi="Times New Roman" w:cs="Times New Roman"/>
          <w:color w:val="auto"/>
        </w:rPr>
      </w:pP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outlineLvl w:val="2"/>
        <w:rPr>
          <w:rFonts w:hint="default" w:ascii="Times New Roman" w:hAnsi="Times New Roman" w:cs="Times New Roman"/>
          <w:color w:val="auto"/>
        </w:rPr>
      </w:pPr>
      <w:bookmarkStart w:id="298" w:name="_Toc14510"/>
      <w:r>
        <w:rPr>
          <w:rFonts w:hint="default" w:ascii="Times New Roman" w:hAnsi="Times New Roman" w:cs="Times New Roman"/>
          <w:color w:val="auto"/>
        </w:rPr>
        <w:t>主要原辅材料及能源消耗</w:t>
      </w:r>
      <w:bookmarkEnd w:id="298"/>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本项目主要原料为异辛酸、30%</w:t>
      </w:r>
      <w:r>
        <w:rPr>
          <w:rFonts w:hint="default" w:ascii="Times New Roman" w:hAnsi="Times New Roman" w:cs="Times New Roman"/>
          <w:color w:val="auto"/>
          <w:lang w:eastAsia="zh-CN"/>
        </w:rPr>
        <w:t>液碱</w:t>
      </w:r>
      <w:r>
        <w:rPr>
          <w:rFonts w:hint="default" w:ascii="Times New Roman" w:hAnsi="Times New Roman" w:cs="Times New Roman"/>
          <w:color w:val="auto"/>
        </w:rPr>
        <w:t>、硝酸镍</w:t>
      </w:r>
      <w:r>
        <w:rPr>
          <w:rFonts w:hint="default" w:ascii="Times New Roman" w:hAnsi="Times New Roman" w:cs="Times New Roman"/>
          <w:color w:val="auto"/>
          <w:lang w:eastAsia="zh-CN"/>
        </w:rPr>
        <w:t>、</w:t>
      </w:r>
      <w:r>
        <w:rPr>
          <w:rFonts w:hint="default" w:ascii="Times New Roman" w:hAnsi="Times New Roman" w:cs="Times New Roman"/>
          <w:color w:val="auto"/>
        </w:rPr>
        <w:t>环己烷等，主要原辅材料消耗情况见表</w:t>
      </w:r>
      <w:r>
        <w:rPr>
          <w:rFonts w:hint="default" w:ascii="Times New Roman" w:hAnsi="Times New Roman" w:cs="Times New Roman"/>
          <w:color w:val="auto"/>
          <w:lang w:val="en-US" w:eastAsia="zh-CN"/>
        </w:rPr>
        <w:t xml:space="preserve"> 3-16</w:t>
      </w:r>
      <w:r>
        <w:rPr>
          <w:rFonts w:hint="default" w:ascii="Times New Roman" w:hAnsi="Times New Roman" w:cs="Times New Roman"/>
          <w:color w:val="auto"/>
        </w:rPr>
        <w:t>。</w:t>
      </w: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u w:val="single"/>
        </w:rPr>
      </w:pPr>
      <w:r>
        <w:rPr>
          <w:rFonts w:hint="default" w:ascii="Times New Roman" w:hAnsi="Times New Roman" w:cs="Times New Roman"/>
          <w:color w:val="auto"/>
          <w:u w:val="single"/>
        </w:rPr>
        <w:t xml:space="preserve">表 </w:t>
      </w:r>
      <w:r>
        <w:rPr>
          <w:rFonts w:hint="default" w:ascii="Times New Roman" w:hAnsi="Times New Roman" w:cs="Times New Roman"/>
          <w:color w:val="auto"/>
          <w:u w:val="single"/>
        </w:rPr>
        <w:fldChar w:fldCharType="begin"/>
      </w:r>
      <w:r>
        <w:rPr>
          <w:rFonts w:hint="default" w:ascii="Times New Roman" w:hAnsi="Times New Roman" w:cs="Times New Roman"/>
          <w:color w:val="auto"/>
          <w:u w:val="single"/>
        </w:rPr>
        <w:instrText xml:space="preserve"> STYLEREF 1 \s </w:instrText>
      </w:r>
      <w:r>
        <w:rPr>
          <w:rFonts w:hint="default" w:ascii="Times New Roman" w:hAnsi="Times New Roman" w:cs="Times New Roman"/>
          <w:color w:val="auto"/>
          <w:u w:val="single"/>
        </w:rPr>
        <w:fldChar w:fldCharType="separate"/>
      </w:r>
      <w:r>
        <w:rPr>
          <w:rFonts w:hint="default" w:ascii="Times New Roman" w:hAnsi="Times New Roman" w:cs="Times New Roman"/>
          <w:color w:val="auto"/>
          <w:u w:val="single"/>
        </w:rPr>
        <w:t>3</w:t>
      </w:r>
      <w:r>
        <w:rPr>
          <w:rFonts w:hint="default" w:ascii="Times New Roman" w:hAnsi="Times New Roman" w:cs="Times New Roman"/>
          <w:color w:val="auto"/>
          <w:u w:val="single"/>
        </w:rPr>
        <w:fldChar w:fldCharType="end"/>
      </w:r>
      <w:r>
        <w:rPr>
          <w:rFonts w:hint="default" w:ascii="Times New Roman" w:hAnsi="Times New Roman" w:cs="Times New Roman"/>
          <w:color w:val="auto"/>
          <w:u w:val="single"/>
          <w:lang w:val="en-US" w:eastAsia="zh-CN"/>
        </w:rPr>
        <w:t>-16</w:t>
      </w:r>
      <w:r>
        <w:rPr>
          <w:rFonts w:hint="default" w:ascii="Times New Roman" w:hAnsi="Times New Roman" w:cs="Times New Roman"/>
          <w:color w:val="auto"/>
          <w:highlight w:val="none"/>
          <w:u w:val="single"/>
        </w:rPr>
        <w:t>主要原辅材料消耗情况一览表</w:t>
      </w:r>
    </w:p>
    <w:tbl>
      <w:tblPr>
        <w:tblStyle w:val="24"/>
        <w:tblW w:w="896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9"/>
        <w:gridCol w:w="1104"/>
        <w:gridCol w:w="2152"/>
        <w:gridCol w:w="705"/>
        <w:gridCol w:w="780"/>
        <w:gridCol w:w="1036"/>
        <w:gridCol w:w="915"/>
        <w:gridCol w:w="15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72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序号</w:t>
            </w:r>
          </w:p>
        </w:tc>
        <w:tc>
          <w:tcPr>
            <w:tcW w:w="110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原料名称</w:t>
            </w:r>
          </w:p>
        </w:tc>
        <w:tc>
          <w:tcPr>
            <w:tcW w:w="215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规格</w:t>
            </w:r>
          </w:p>
        </w:tc>
        <w:tc>
          <w:tcPr>
            <w:tcW w:w="70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形态</w:t>
            </w:r>
          </w:p>
        </w:tc>
        <w:tc>
          <w:tcPr>
            <w:tcW w:w="7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u w:val="single"/>
                <w:lang w:eastAsia="zh-CN"/>
              </w:rPr>
            </w:pPr>
            <w:r>
              <w:rPr>
                <w:rFonts w:hint="default" w:ascii="Times New Roman" w:hAnsi="Times New Roman" w:cs="Times New Roman"/>
                <w:color w:val="auto"/>
                <w:sz w:val="21"/>
                <w:szCs w:val="21"/>
                <w:highlight w:val="none"/>
                <w:u w:val="single"/>
                <w:lang w:eastAsia="zh-CN"/>
              </w:rPr>
              <w:t>贮存</w:t>
            </w:r>
          </w:p>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cs="Times New Roman"/>
                <w:color w:val="auto"/>
                <w:sz w:val="21"/>
                <w:szCs w:val="21"/>
                <w:highlight w:val="none"/>
                <w:u w:val="single"/>
                <w:lang w:eastAsia="zh-CN"/>
              </w:rPr>
              <w:t>方式</w:t>
            </w:r>
          </w:p>
        </w:tc>
        <w:tc>
          <w:tcPr>
            <w:tcW w:w="103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u w:val="single"/>
                <w:lang w:eastAsia="zh-CN"/>
              </w:rPr>
            </w:pPr>
            <w:r>
              <w:rPr>
                <w:rFonts w:hint="default" w:ascii="Times New Roman" w:hAnsi="Times New Roman" w:cs="Times New Roman"/>
                <w:color w:val="auto"/>
                <w:sz w:val="21"/>
                <w:szCs w:val="21"/>
                <w:highlight w:val="none"/>
                <w:u w:val="single"/>
                <w:lang w:eastAsia="zh-CN"/>
              </w:rPr>
              <w:t>最大贮存量</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t/a</w:t>
            </w:r>
            <w:r>
              <w:rPr>
                <w:rFonts w:hint="default" w:ascii="Times New Roman" w:hAnsi="Times New Roman" w:cs="Times New Roman"/>
                <w:color w:val="auto"/>
                <w:sz w:val="21"/>
                <w:szCs w:val="21"/>
                <w:highlight w:val="none"/>
                <w:lang w:eastAsia="zh-CN"/>
              </w:rPr>
              <w:t>）</w:t>
            </w:r>
          </w:p>
        </w:tc>
        <w:tc>
          <w:tcPr>
            <w:tcW w:w="91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用</w:t>
            </w:r>
            <w:r>
              <w:rPr>
                <w:rFonts w:hint="default" w:ascii="Times New Roman" w:hAnsi="Times New Roman" w:cs="Times New Roman"/>
                <w:color w:val="auto"/>
                <w:sz w:val="21"/>
                <w:szCs w:val="21"/>
              </w:rPr>
              <w:t>量</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t/a</w:t>
            </w:r>
            <w:r>
              <w:rPr>
                <w:rFonts w:hint="default" w:ascii="Times New Roman" w:hAnsi="Times New Roman" w:cs="Times New Roman"/>
                <w:color w:val="auto"/>
                <w:sz w:val="21"/>
                <w:szCs w:val="21"/>
                <w:lang w:eastAsia="zh-CN"/>
              </w:rPr>
              <w:t>）</w:t>
            </w:r>
          </w:p>
        </w:tc>
        <w:tc>
          <w:tcPr>
            <w:tcW w:w="154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8" w:hRule="atLeast"/>
          <w:jc w:val="center"/>
        </w:trPr>
        <w:tc>
          <w:tcPr>
            <w:tcW w:w="72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10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异辛酸</w:t>
            </w:r>
          </w:p>
        </w:tc>
        <w:tc>
          <w:tcPr>
            <w:tcW w:w="215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工业二级，符合HGB3234-60</w:t>
            </w:r>
          </w:p>
        </w:tc>
        <w:tc>
          <w:tcPr>
            <w:tcW w:w="70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液</w:t>
            </w:r>
          </w:p>
        </w:tc>
        <w:tc>
          <w:tcPr>
            <w:tcW w:w="7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lang w:eastAsia="zh-CN"/>
              </w:rPr>
              <w:t>桶装</w:t>
            </w:r>
          </w:p>
        </w:tc>
        <w:tc>
          <w:tcPr>
            <w:tcW w:w="103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val="en-US" w:eastAsia="zh-CN"/>
              </w:rPr>
              <w:t>3</w:t>
            </w:r>
          </w:p>
        </w:tc>
        <w:tc>
          <w:tcPr>
            <w:tcW w:w="91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90.16</w:t>
            </w:r>
          </w:p>
        </w:tc>
        <w:tc>
          <w:tcPr>
            <w:tcW w:w="154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72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10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r>
              <w:rPr>
                <w:rFonts w:hint="default" w:ascii="Times New Roman" w:hAnsi="Times New Roman" w:cs="Times New Roman"/>
                <w:color w:val="auto"/>
                <w:sz w:val="21"/>
                <w:szCs w:val="21"/>
                <w:lang w:eastAsia="zh-CN"/>
              </w:rPr>
              <w:t>液碱</w:t>
            </w:r>
          </w:p>
        </w:tc>
        <w:tc>
          <w:tcPr>
            <w:tcW w:w="215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纯度</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98％</w:t>
            </w:r>
          </w:p>
        </w:tc>
        <w:tc>
          <w:tcPr>
            <w:tcW w:w="70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液</w:t>
            </w:r>
          </w:p>
        </w:tc>
        <w:tc>
          <w:tcPr>
            <w:tcW w:w="7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lang w:eastAsia="zh-CN"/>
              </w:rPr>
              <w:t>桶装</w:t>
            </w:r>
          </w:p>
        </w:tc>
        <w:tc>
          <w:tcPr>
            <w:tcW w:w="103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val="en-US" w:eastAsia="zh-CN"/>
              </w:rPr>
              <w:t>3</w:t>
            </w:r>
          </w:p>
        </w:tc>
        <w:tc>
          <w:tcPr>
            <w:tcW w:w="91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83.36</w:t>
            </w:r>
          </w:p>
        </w:tc>
        <w:tc>
          <w:tcPr>
            <w:tcW w:w="154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巴陵石化公司橡胶部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3" w:hRule="atLeast"/>
          <w:jc w:val="center"/>
        </w:trPr>
        <w:tc>
          <w:tcPr>
            <w:tcW w:w="72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10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硝酸镍</w:t>
            </w:r>
          </w:p>
        </w:tc>
        <w:tc>
          <w:tcPr>
            <w:tcW w:w="215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工业一级，符合GBT209-63</w:t>
            </w:r>
          </w:p>
        </w:tc>
        <w:tc>
          <w:tcPr>
            <w:tcW w:w="70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固</w:t>
            </w:r>
          </w:p>
        </w:tc>
        <w:tc>
          <w:tcPr>
            <w:tcW w:w="7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lang w:eastAsia="zh-CN"/>
              </w:rPr>
              <w:t>袋装</w:t>
            </w:r>
          </w:p>
        </w:tc>
        <w:tc>
          <w:tcPr>
            <w:tcW w:w="103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3</w:t>
            </w:r>
          </w:p>
        </w:tc>
        <w:tc>
          <w:tcPr>
            <w:tcW w:w="91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90.88</w:t>
            </w:r>
          </w:p>
        </w:tc>
        <w:tc>
          <w:tcPr>
            <w:tcW w:w="154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72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10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环己烷</w:t>
            </w:r>
          </w:p>
        </w:tc>
        <w:tc>
          <w:tcPr>
            <w:tcW w:w="215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纯度：</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99.6％，工业一级，符合Q/SH0009-04-89</w:t>
            </w:r>
          </w:p>
        </w:tc>
        <w:tc>
          <w:tcPr>
            <w:tcW w:w="70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液</w:t>
            </w:r>
          </w:p>
        </w:tc>
        <w:tc>
          <w:tcPr>
            <w:tcW w:w="7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u w:val="single"/>
                <w:lang w:eastAsia="zh-CN"/>
              </w:rPr>
            </w:pPr>
            <w:r>
              <w:rPr>
                <w:rFonts w:hint="default" w:ascii="Times New Roman" w:hAnsi="Times New Roman" w:cs="Times New Roman"/>
                <w:color w:val="auto"/>
                <w:sz w:val="21"/>
                <w:szCs w:val="21"/>
                <w:u w:val="single"/>
                <w:lang w:eastAsia="zh-CN"/>
              </w:rPr>
              <w:t>桶装</w:t>
            </w:r>
          </w:p>
        </w:tc>
        <w:tc>
          <w:tcPr>
            <w:tcW w:w="103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24</w:t>
            </w:r>
          </w:p>
        </w:tc>
        <w:tc>
          <w:tcPr>
            <w:tcW w:w="91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368.49</w:t>
            </w:r>
          </w:p>
        </w:tc>
        <w:tc>
          <w:tcPr>
            <w:tcW w:w="154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巴陵石化公司橡胶部</w:t>
            </w:r>
          </w:p>
        </w:tc>
      </w:tr>
    </w:tbl>
    <w:p>
      <w:pPr>
        <w:pStyle w:val="39"/>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lang w:val="en-US" w:eastAsia="zh-CN"/>
        </w:rPr>
      </w:pPr>
      <w:r>
        <w:rPr>
          <w:rFonts w:hint="default" w:ascii="Times New Roman" w:hAnsi="Times New Roman" w:cs="Times New Roman"/>
          <w:color w:val="auto"/>
        </w:rPr>
        <w:t>本项目原辅材料理化性质</w:t>
      </w:r>
      <w:r>
        <w:rPr>
          <w:rFonts w:hint="default" w:ascii="Times New Roman" w:hAnsi="Times New Roman" w:cs="Times New Roman"/>
          <w:color w:val="auto"/>
          <w:lang w:eastAsia="zh-CN"/>
        </w:rPr>
        <w:t>见表</w:t>
      </w:r>
      <w:r>
        <w:rPr>
          <w:rFonts w:hint="default" w:ascii="Times New Roman" w:hAnsi="Times New Roman" w:cs="Times New Roman"/>
          <w:color w:val="auto"/>
          <w:lang w:val="en-US" w:eastAsia="zh-CN"/>
        </w:rPr>
        <w:t xml:space="preserve"> 3-17。</w:t>
      </w:r>
    </w:p>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u w:val="single"/>
        </w:rPr>
      </w:pPr>
      <w:r>
        <w:rPr>
          <w:rFonts w:hint="default" w:ascii="Times New Roman" w:hAnsi="Times New Roman" w:cs="Times New Roman"/>
          <w:color w:val="auto"/>
          <w:u w:val="single"/>
          <w:lang w:val="en-US" w:eastAsia="zh-CN"/>
        </w:rPr>
        <w:t xml:space="preserve">表3-17   </w:t>
      </w:r>
      <w:r>
        <w:rPr>
          <w:rFonts w:hint="default" w:ascii="Times New Roman" w:hAnsi="Times New Roman" w:cs="Times New Roman"/>
          <w:color w:val="auto"/>
          <w:u w:val="single"/>
          <w:lang w:eastAsia="zh-CN"/>
        </w:rPr>
        <w:t>品</w:t>
      </w:r>
      <w:r>
        <w:rPr>
          <w:rFonts w:hint="default" w:ascii="Times New Roman" w:hAnsi="Times New Roman" w:cs="Times New Roman"/>
          <w:color w:val="auto"/>
          <w:u w:val="single"/>
        </w:rPr>
        <w:t>理化性质一览表</w:t>
      </w:r>
    </w:p>
    <w:tbl>
      <w:tblPr>
        <w:tblStyle w:val="24"/>
        <w:tblW w:w="90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7"/>
        <w:gridCol w:w="608"/>
        <w:gridCol w:w="4377"/>
        <w:gridCol w:w="1479"/>
        <w:gridCol w:w="19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5" w:hRule="atLeast"/>
          <w:tblHeader/>
          <w:jc w:val="center"/>
        </w:trPr>
        <w:tc>
          <w:tcPr>
            <w:tcW w:w="1215" w:type="dxa"/>
            <w:gridSpan w:val="2"/>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4377"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理化性质</w:t>
            </w:r>
          </w:p>
        </w:tc>
        <w:tc>
          <w:tcPr>
            <w:tcW w:w="147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燃烧爆炸性</w:t>
            </w:r>
          </w:p>
        </w:tc>
        <w:tc>
          <w:tcPr>
            <w:tcW w:w="1987"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毒性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51" w:hRule="atLeast"/>
          <w:jc w:val="center"/>
        </w:trPr>
        <w:tc>
          <w:tcPr>
            <w:tcW w:w="607" w:type="dxa"/>
            <w:vMerge w:val="restart"/>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原辅材料</w:t>
            </w:r>
          </w:p>
        </w:tc>
        <w:tc>
          <w:tcPr>
            <w:tcW w:w="60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镍盐</w:t>
            </w:r>
          </w:p>
        </w:tc>
        <w:tc>
          <w:tcPr>
            <w:tcW w:w="4377"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本项目使用的镍盐为硝酸镍，化学式为Ni(NO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·6H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O，相对分子质量290.81，绿色单斜结晶。有吸湿性。在干燥空气中稍风化。溶于0.4份水。溶于乙醇，其水溶液呈酸性，pH约为4。相对密度2.050。熔点56.7℃。沸点137℃。有氧化性。</w:t>
            </w:r>
          </w:p>
        </w:tc>
        <w:tc>
          <w:tcPr>
            <w:tcW w:w="147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易燃易爆。</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与有机物摩擦或撞击能引起燃烧或爆炸。</w:t>
            </w:r>
          </w:p>
        </w:tc>
        <w:tc>
          <w:tcPr>
            <w:tcW w:w="1987"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低毒，半数致死量(大鼠，经口)1620mg/kg。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51" w:hRule="atLeast"/>
          <w:jc w:val="center"/>
        </w:trPr>
        <w:tc>
          <w:tcPr>
            <w:tcW w:w="607"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60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液碱</w:t>
            </w:r>
          </w:p>
        </w:tc>
        <w:tc>
          <w:tcPr>
            <w:tcW w:w="4377"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氢氧化钠，化学式为NaOH，分子量为40，纯品为无色透明液体。</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HYPERLINK "https://baike.baidu.com/item/%E7%9B%B8%E5%AF%B9%E5%AF%86%E5%BA%A6" \t "https://baike.baidu.com/item/_blank"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相对密度</w:t>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1.328-1.349，熔点318.4℃，沸点1390℃。为无色透明液体。易溶于水，同时强烈放热。并溶于乙醇和甘油；不溶于丙酮、乙醚。露放在空气中，最后会完全溶解成溶液。</w:t>
            </w:r>
          </w:p>
        </w:tc>
        <w:tc>
          <w:tcPr>
            <w:tcW w:w="147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遇酸中和放热；遇水放热</w:t>
            </w:r>
          </w:p>
        </w:tc>
        <w:tc>
          <w:tcPr>
            <w:tcW w:w="1987"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具有极强腐蚀性。</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LD50：40mg/kg</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（小鼠，腹注）</w:t>
            </w:r>
            <w:r>
              <w:rPr>
                <w:rFonts w:hint="default" w:ascii="Times New Roman" w:hAnsi="Times New Roman" w:cs="Times New Roman"/>
                <w:color w:val="auto"/>
                <w:sz w:val="21"/>
                <w:szCs w:val="21"/>
              </w:rPr>
              <w:br w:type="textWrapping"/>
            </w:r>
            <w:r>
              <w:rPr>
                <w:rFonts w:hint="default" w:ascii="Times New Roman" w:hAnsi="Times New Roman" w:cs="Times New Roman"/>
                <w:color w:val="auto"/>
                <w:sz w:val="21"/>
                <w:szCs w:val="21"/>
              </w:rPr>
              <w:t>LD50：500mg/kg</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(兔，经口)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1" w:hRule="atLeast"/>
          <w:jc w:val="center"/>
        </w:trPr>
        <w:tc>
          <w:tcPr>
            <w:tcW w:w="607"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60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异辛酸</w:t>
            </w:r>
          </w:p>
        </w:tc>
        <w:tc>
          <w:tcPr>
            <w:tcW w:w="4377"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异辛酸，CAS号149-57-5，化学式C8H16O2，分子量为144.21，熔点-59℃，沸点228.91℃。异辛酸是一种无色微有臭味的液体。 微溶于冷水，溶于热水和乙醚，微溶于乙醇。</w:t>
            </w:r>
          </w:p>
        </w:tc>
        <w:tc>
          <w:tcPr>
            <w:tcW w:w="147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易燃液体。遇热</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明火易燃; 热分解排出辛辣刺激烟雾</w:t>
            </w:r>
          </w:p>
        </w:tc>
        <w:tc>
          <w:tcPr>
            <w:tcW w:w="1987"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LD50：3000mg/kg</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（大鼠，经口）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1" w:hRule="atLeast"/>
          <w:jc w:val="center"/>
        </w:trPr>
        <w:tc>
          <w:tcPr>
            <w:tcW w:w="607"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p>
        </w:tc>
        <w:tc>
          <w:tcPr>
            <w:tcW w:w="60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环己烷</w:t>
            </w:r>
          </w:p>
        </w:tc>
        <w:tc>
          <w:tcPr>
            <w:tcW w:w="4377"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环己烷，CAS号110-82-7，化学式C6H12，分子量为84.16，熔点4-7℃，沸点80.7℃</w:t>
            </w:r>
            <w:r>
              <w:rPr>
                <w:rFonts w:hint="default" w:ascii="Times New Roman" w:hAnsi="Times New Roman" w:cs="Times New Roman"/>
                <w:color w:val="auto"/>
                <w:sz w:val="21"/>
                <w:szCs w:val="21"/>
                <w:lang w:eastAsia="zh-CN"/>
              </w:rPr>
              <w:t>，比重</w:t>
            </w:r>
            <w:r>
              <w:rPr>
                <w:rFonts w:hint="default" w:ascii="Times New Roman" w:hAnsi="Times New Roman" w:cs="Times New Roman"/>
                <w:color w:val="auto"/>
                <w:sz w:val="21"/>
                <w:szCs w:val="21"/>
                <w:lang w:val="en-US" w:eastAsia="zh-CN"/>
              </w:rPr>
              <w:t>0.78</w:t>
            </w:r>
            <w:r>
              <w:rPr>
                <w:rFonts w:hint="default" w:ascii="Times New Roman" w:hAnsi="Times New Roman" w:cs="Times New Roman"/>
                <w:color w:val="auto"/>
                <w:sz w:val="21"/>
                <w:szCs w:val="21"/>
              </w:rPr>
              <w:t>。环己烷常温下为无色液体，具有刺激性气味。不溶于水，溶于乙醇，丙酮和苯。</w:t>
            </w:r>
          </w:p>
        </w:tc>
        <w:tc>
          <w:tcPr>
            <w:tcW w:w="147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易燃液体。遇明火、高温、氧化剂易燃;燃烧产生刺激烟雾</w:t>
            </w:r>
          </w:p>
        </w:tc>
        <w:tc>
          <w:tcPr>
            <w:tcW w:w="1987"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中毒</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LD50：813mg/kg</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（小鼠，经口）</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LD50：12705mg/kg</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(大鼠，经口)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7"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产品</w:t>
            </w:r>
          </w:p>
        </w:tc>
        <w:tc>
          <w:tcPr>
            <w:tcW w:w="60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异辛酸镍</w:t>
            </w:r>
          </w:p>
        </w:tc>
        <w:tc>
          <w:tcPr>
            <w:tcW w:w="4377"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异辛酸镍</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 xml:space="preserve">英文名称 Nickel isooctanoate ， </w:t>
            </w:r>
            <w:r>
              <w:rPr>
                <w:rFonts w:hint="default" w:ascii="Times New Roman" w:hAnsi="Times New Roman" w:cs="Times New Roman"/>
                <w:color w:val="auto"/>
                <w:sz w:val="21"/>
                <w:szCs w:val="21"/>
              </w:rPr>
              <w:t>CAS号4454-16-4</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化学式C16H30NiO4，分子量为345.1004，</w:t>
            </w:r>
            <w:r>
              <w:rPr>
                <w:rFonts w:hint="default" w:ascii="Times New Roman" w:hAnsi="Times New Roman" w:cs="Times New Roman"/>
                <w:color w:val="auto"/>
                <w:sz w:val="21"/>
                <w:szCs w:val="21"/>
                <w:lang w:val="en-US" w:eastAsia="zh-CN"/>
              </w:rPr>
              <w:t>外观 绿色透明粘稠液体，金属含量 40克/升，溶剂中溶解性 全溶，溶液稳定性 透明无析出物。主要用于催化剂生产。 特性用途：用于通用催干剂、研磨分散剂、紫外光吸收剂等。</w:t>
            </w:r>
          </w:p>
        </w:tc>
        <w:tc>
          <w:tcPr>
            <w:tcW w:w="147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易燃</w:t>
            </w:r>
            <w:r>
              <w:rPr>
                <w:rFonts w:hint="default" w:ascii="Times New Roman" w:hAnsi="Times New Roman" w:cs="Times New Roman"/>
                <w:color w:val="auto"/>
                <w:lang w:val="en-US" w:eastAsia="zh-CN"/>
              </w:rPr>
              <w:t>液体</w:t>
            </w:r>
            <w:r>
              <w:rPr>
                <w:rFonts w:hint="default" w:ascii="Times New Roman" w:hAnsi="Times New Roman" w:cs="Times New Roman"/>
                <w:color w:val="auto"/>
              </w:rPr>
              <w:t>。</w:t>
            </w:r>
            <w:r>
              <w:rPr>
                <w:rFonts w:hint="default" w:ascii="Times New Roman" w:hAnsi="Times New Roman" w:cs="Times New Roman"/>
                <w:color w:val="auto"/>
                <w:lang w:val="en-US" w:eastAsia="zh-CN"/>
              </w:rPr>
              <w:t>闪点（闭口） ℃ ≥30，</w:t>
            </w:r>
            <w:r>
              <w:rPr>
                <w:rFonts w:hint="default" w:ascii="Times New Roman" w:hAnsi="Times New Roman" w:cs="Times New Roman"/>
                <w:color w:val="auto"/>
              </w:rPr>
              <w:t>遇热</w:t>
            </w:r>
            <w:r>
              <w:rPr>
                <w:rFonts w:hint="default" w:ascii="Times New Roman" w:hAnsi="Times New Roman" w:cs="Times New Roman"/>
                <w:color w:val="auto"/>
                <w:lang w:eastAsia="zh-CN"/>
              </w:rPr>
              <w:t>及</w:t>
            </w:r>
            <w:r>
              <w:rPr>
                <w:rFonts w:hint="default" w:ascii="Times New Roman" w:hAnsi="Times New Roman" w:cs="Times New Roman"/>
                <w:color w:val="auto"/>
              </w:rPr>
              <w:t>明火易燃; 热分解排出辛辣刺激烟雾</w:t>
            </w:r>
          </w:p>
        </w:tc>
        <w:tc>
          <w:tcPr>
            <w:tcW w:w="1987"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LD50：3000mg/kg</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（大鼠，经口）</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本项目能源消耗情况见表</w:t>
      </w:r>
      <w:r>
        <w:rPr>
          <w:rFonts w:hint="default" w:ascii="Times New Roman" w:hAnsi="Times New Roman" w:cs="Times New Roman"/>
          <w:color w:val="auto"/>
          <w:sz w:val="24"/>
          <w:szCs w:val="24"/>
          <w:lang w:val="en-US" w:eastAsia="zh-CN"/>
        </w:rPr>
        <w:t>3-18</w:t>
      </w:r>
      <w:r>
        <w:rPr>
          <w:rFonts w:hint="default" w:ascii="Times New Roman" w:hAnsi="Times New Roman" w:cs="Times New Roman"/>
          <w:color w:val="auto"/>
          <w:sz w:val="24"/>
          <w:szCs w:val="24"/>
        </w:rPr>
        <w:t>。</w:t>
      </w:r>
    </w:p>
    <w:p>
      <w:pPr>
        <w:pStyle w:val="14"/>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 xml:space="preserve">表 </w:t>
      </w:r>
      <w:r>
        <w:rPr>
          <w:rFonts w:hint="default" w:ascii="Times New Roman" w:hAnsi="Times New Roman" w:cs="Times New Roman"/>
          <w:color w:val="auto"/>
          <w:highlight w:val="none"/>
          <w:u w:val="single"/>
        </w:rPr>
        <w:fldChar w:fldCharType="begin"/>
      </w:r>
      <w:r>
        <w:rPr>
          <w:rFonts w:hint="default" w:ascii="Times New Roman" w:hAnsi="Times New Roman" w:cs="Times New Roman"/>
          <w:color w:val="auto"/>
          <w:highlight w:val="none"/>
          <w:u w:val="single"/>
        </w:rPr>
        <w:instrText xml:space="preserve"> STYLEREF 1 \s </w:instrText>
      </w:r>
      <w:r>
        <w:rPr>
          <w:rFonts w:hint="default" w:ascii="Times New Roman" w:hAnsi="Times New Roman" w:cs="Times New Roman"/>
          <w:color w:val="auto"/>
          <w:highlight w:val="none"/>
          <w:u w:val="single"/>
        </w:rPr>
        <w:fldChar w:fldCharType="separate"/>
      </w:r>
      <w:r>
        <w:rPr>
          <w:rFonts w:hint="default" w:ascii="Times New Roman" w:hAnsi="Times New Roman" w:cs="Times New Roman"/>
          <w:color w:val="auto"/>
          <w:highlight w:val="none"/>
          <w:u w:val="single"/>
        </w:rPr>
        <w:t>3</w:t>
      </w:r>
      <w:r>
        <w:rPr>
          <w:rFonts w:hint="default" w:ascii="Times New Roman" w:hAnsi="Times New Roman" w:cs="Times New Roman"/>
          <w:color w:val="auto"/>
          <w:highlight w:val="none"/>
          <w:u w:val="single"/>
        </w:rPr>
        <w:fldChar w:fldCharType="end"/>
      </w:r>
      <w:r>
        <w:rPr>
          <w:rFonts w:hint="default" w:ascii="Times New Roman" w:hAnsi="Times New Roman" w:cs="Times New Roman"/>
          <w:color w:val="auto"/>
          <w:highlight w:val="none"/>
          <w:u w:val="single"/>
          <w:lang w:val="en-US" w:eastAsia="zh-CN"/>
        </w:rPr>
        <w:t xml:space="preserve">-18 </w:t>
      </w:r>
      <w:r>
        <w:rPr>
          <w:rFonts w:hint="default" w:ascii="Times New Roman" w:hAnsi="Times New Roman" w:cs="Times New Roman"/>
          <w:color w:val="auto"/>
          <w:highlight w:val="none"/>
          <w:u w:val="single"/>
        </w:rPr>
        <w:t>本项目能源消耗情况</w:t>
      </w:r>
    </w:p>
    <w:tbl>
      <w:tblPr>
        <w:tblStyle w:val="24"/>
        <w:tblW w:w="92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556"/>
        <w:gridCol w:w="2308"/>
        <w:gridCol w:w="45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46" w:type="dxa"/>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556" w:type="dxa"/>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p>
        </w:tc>
        <w:tc>
          <w:tcPr>
            <w:tcW w:w="2308" w:type="dxa"/>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消耗量</w:t>
            </w:r>
          </w:p>
        </w:tc>
        <w:tc>
          <w:tcPr>
            <w:tcW w:w="4506" w:type="dxa"/>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6" w:type="dxa"/>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556" w:type="dxa"/>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新鲜水</w:t>
            </w:r>
          </w:p>
        </w:tc>
        <w:tc>
          <w:tcPr>
            <w:tcW w:w="2308" w:type="dxa"/>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lang w:val="en-US" w:eastAsia="zh-CN"/>
              </w:rPr>
              <w:t>1475.1</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4506" w:type="dxa"/>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依托</w:t>
            </w:r>
            <w:r>
              <w:rPr>
                <w:rFonts w:hint="default" w:ascii="Times New Roman" w:hAnsi="Times New Roman" w:cs="Times New Roman"/>
                <w:color w:val="auto"/>
                <w:sz w:val="21"/>
                <w:szCs w:val="21"/>
                <w:highlight w:val="none"/>
                <w:lang w:eastAsia="zh-CN"/>
              </w:rPr>
              <w:t>公司</w:t>
            </w:r>
            <w:r>
              <w:rPr>
                <w:rFonts w:hint="default" w:ascii="Times New Roman" w:hAnsi="Times New Roman" w:cs="Times New Roman"/>
                <w:color w:val="auto"/>
                <w:sz w:val="21"/>
                <w:szCs w:val="21"/>
                <w:highlight w:val="none"/>
              </w:rPr>
              <w:t>公用工程，区域主</w:t>
            </w:r>
            <w:r>
              <w:rPr>
                <w:rFonts w:hint="default" w:ascii="Times New Roman" w:hAnsi="Times New Roman" w:cs="Times New Roman"/>
                <w:color w:val="auto"/>
                <w:sz w:val="21"/>
                <w:szCs w:val="21"/>
                <w:highlight w:val="none"/>
                <w:lang w:eastAsia="zh-CN"/>
              </w:rPr>
              <w:t>管道</w:t>
            </w:r>
            <w:r>
              <w:rPr>
                <w:rFonts w:hint="default" w:ascii="Times New Roman" w:hAnsi="Times New Roman" w:cs="Times New Roman"/>
                <w:color w:val="auto"/>
                <w:sz w:val="21"/>
                <w:szCs w:val="21"/>
                <w:highlight w:val="none"/>
              </w:rPr>
              <w:t>DN200、压力0.4MPa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846" w:type="dxa"/>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556" w:type="dxa"/>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物料输入</w:t>
            </w:r>
            <w:r>
              <w:rPr>
                <w:rFonts w:hint="default" w:ascii="Times New Roman" w:hAnsi="Times New Roman" w:cs="Times New Roman"/>
                <w:color w:val="auto"/>
                <w:sz w:val="21"/>
                <w:szCs w:val="21"/>
                <w:highlight w:val="none"/>
              </w:rPr>
              <w:t>水</w:t>
            </w:r>
          </w:p>
        </w:tc>
        <w:tc>
          <w:tcPr>
            <w:tcW w:w="2308" w:type="dxa"/>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lang w:val="en-US" w:eastAsia="zh-CN"/>
              </w:rPr>
              <w:t>218.4</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4506" w:type="dxa"/>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物料输入</w:t>
            </w:r>
            <w:r>
              <w:rPr>
                <w:rFonts w:hint="default" w:ascii="Times New Roman" w:hAnsi="Times New Roman" w:cs="Times New Roman"/>
                <w:color w:val="auto"/>
                <w:sz w:val="21"/>
                <w:szCs w:val="21"/>
                <w:highlight w:val="none"/>
              </w:rPr>
              <w:t>水</w:t>
            </w:r>
            <w:r>
              <w:rPr>
                <w:rFonts w:hint="default" w:ascii="Times New Roman" w:hAnsi="Times New Roman" w:cs="Times New Roman"/>
                <w:color w:val="auto"/>
                <w:sz w:val="21"/>
                <w:szCs w:val="21"/>
                <w:highlight w:val="none"/>
                <w:lang w:eastAsia="zh-CN"/>
              </w:rPr>
              <w:t>，来自于原料，不计入能源消耗，但是影响给排水平衡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556" w:type="dxa"/>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耗电</w:t>
            </w:r>
          </w:p>
        </w:tc>
        <w:tc>
          <w:tcPr>
            <w:tcW w:w="2308" w:type="dxa"/>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12.5×10</w:t>
            </w:r>
            <w:r>
              <w:rPr>
                <w:rFonts w:hint="default" w:ascii="Times New Roman" w:hAnsi="Times New Roman" w:cs="Times New Roman"/>
                <w:color w:val="auto"/>
                <w:sz w:val="21"/>
                <w:szCs w:val="21"/>
                <w:vertAlign w:val="superscript"/>
                <w:lang w:val="en-US" w:eastAsia="zh-CN"/>
              </w:rPr>
              <w:t>4</w:t>
            </w:r>
            <w:r>
              <w:rPr>
                <w:rFonts w:hint="default" w:ascii="Times New Roman" w:hAnsi="Times New Roman" w:cs="Times New Roman"/>
                <w:color w:val="auto"/>
                <w:sz w:val="21"/>
                <w:szCs w:val="21"/>
                <w:lang w:val="en-US" w:eastAsia="zh-CN"/>
              </w:rPr>
              <w:t>kW·h/a</w:t>
            </w:r>
          </w:p>
        </w:tc>
        <w:tc>
          <w:tcPr>
            <w:tcW w:w="4506" w:type="dxa"/>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依托</w:t>
            </w:r>
            <w:r>
              <w:rPr>
                <w:rFonts w:hint="default" w:ascii="Times New Roman" w:hAnsi="Times New Roman" w:cs="Times New Roman"/>
                <w:color w:val="auto"/>
                <w:sz w:val="21"/>
                <w:szCs w:val="21"/>
                <w:lang w:eastAsia="zh-CN"/>
              </w:rPr>
              <w:t>公司</w:t>
            </w:r>
            <w:r>
              <w:rPr>
                <w:rFonts w:hint="default" w:ascii="Times New Roman" w:hAnsi="Times New Roman" w:cs="Times New Roman"/>
                <w:color w:val="auto"/>
                <w:sz w:val="21"/>
                <w:szCs w:val="21"/>
              </w:rPr>
              <w:t>公用工程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1556" w:type="dxa"/>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蒸汽</w:t>
            </w:r>
          </w:p>
        </w:tc>
        <w:tc>
          <w:tcPr>
            <w:tcW w:w="2308" w:type="dxa"/>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500t/a</w:t>
            </w:r>
          </w:p>
        </w:tc>
        <w:tc>
          <w:tcPr>
            <w:tcW w:w="4506" w:type="dxa"/>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依托区域公用工程</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0MPa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1556" w:type="dxa"/>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氮气</w:t>
            </w:r>
          </w:p>
        </w:tc>
        <w:tc>
          <w:tcPr>
            <w:tcW w:w="2308" w:type="dxa"/>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10Nm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w:t>
            </w:r>
          </w:p>
        </w:tc>
        <w:tc>
          <w:tcPr>
            <w:tcW w:w="4506" w:type="dxa"/>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依托区域公用工程</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0MPa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846" w:type="dxa"/>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1556" w:type="dxa"/>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冷冻循环水</w:t>
            </w:r>
          </w:p>
        </w:tc>
        <w:tc>
          <w:tcPr>
            <w:tcW w:w="2308" w:type="dxa"/>
            <w:vAlign w:val="center"/>
          </w:tcPr>
          <w:p>
            <w:pPr>
              <w:pStyle w:val="40"/>
              <w:keepNext w:val="0"/>
              <w:keepLines w:val="0"/>
              <w:suppressLineNumbers w:val="0"/>
              <w:bidi w:val="0"/>
              <w:spacing w:before="0" w:beforeAutospacing="0" w:after="0" w:afterAutospacing="0" w:line="240" w:lineRule="auto"/>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1000kW</w:t>
            </w:r>
          </w:p>
        </w:tc>
        <w:tc>
          <w:tcPr>
            <w:tcW w:w="4506" w:type="dxa"/>
            <w:vAlign w:val="center"/>
          </w:tcPr>
          <w:p>
            <w:pPr>
              <w:pStyle w:val="39"/>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园区内有冷冻循环水供水管道，</w:t>
            </w:r>
            <w:r>
              <w:rPr>
                <w:rFonts w:hint="default" w:ascii="Times New Roman" w:hAnsi="Times New Roman" w:cs="Times New Roman"/>
                <w:color w:val="auto"/>
                <w:sz w:val="21"/>
                <w:szCs w:val="21"/>
                <w:lang w:eastAsia="zh-CN"/>
              </w:rPr>
              <w:t>直接</w:t>
            </w:r>
            <w:r>
              <w:rPr>
                <w:rFonts w:hint="default" w:ascii="Times New Roman" w:hAnsi="Times New Roman" w:cs="Times New Roman"/>
                <w:color w:val="auto"/>
                <w:sz w:val="21"/>
                <w:szCs w:val="21"/>
              </w:rPr>
              <w:t>接入</w:t>
            </w:r>
            <w:r>
              <w:rPr>
                <w:rFonts w:hint="default" w:ascii="Times New Roman" w:hAnsi="Times New Roman" w:cs="Times New Roman"/>
                <w:color w:val="auto"/>
                <w:sz w:val="21"/>
                <w:szCs w:val="21"/>
                <w:lang w:eastAsia="zh-CN"/>
              </w:rPr>
              <w:t>管道</w:t>
            </w:r>
            <w:r>
              <w:rPr>
                <w:rFonts w:hint="default" w:ascii="Times New Roman" w:hAnsi="Times New Roman" w:cs="Times New Roman"/>
                <w:color w:val="auto"/>
                <w:sz w:val="21"/>
                <w:szCs w:val="21"/>
              </w:rPr>
              <w:t>并设置流量计</w:t>
            </w:r>
            <w:r>
              <w:rPr>
                <w:rFonts w:hint="default" w:ascii="Times New Roman" w:hAnsi="Times New Roman" w:cs="Times New Roman"/>
                <w:color w:val="auto"/>
                <w:sz w:val="21"/>
                <w:szCs w:val="21"/>
                <w:lang w:eastAsia="zh-CN"/>
              </w:rPr>
              <w:t>进行购买，不</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需</w:t>
            </w:r>
            <w:r>
              <w:rPr>
                <w:rFonts w:hint="default" w:ascii="Times New Roman" w:hAnsi="Times New Roman" w:cs="Times New Roman"/>
                <w:color w:val="auto"/>
                <w:sz w:val="21"/>
                <w:szCs w:val="21"/>
                <w:lang w:eastAsia="zh-CN"/>
              </w:rPr>
              <w:t>添置</w:t>
            </w:r>
            <w:r>
              <w:rPr>
                <w:rFonts w:hint="default" w:ascii="Times New Roman" w:hAnsi="Times New Roman" w:cs="Times New Roman"/>
                <w:color w:val="auto"/>
                <w:sz w:val="21"/>
                <w:szCs w:val="21"/>
              </w:rPr>
              <w:t>制冷设备</w:t>
            </w:r>
            <w:r>
              <w:rPr>
                <w:rFonts w:hint="default" w:ascii="Times New Roman" w:hAnsi="Times New Roman" w:cs="Times New Roman"/>
                <w:color w:val="auto"/>
                <w:sz w:val="21"/>
                <w:szCs w:val="21"/>
                <w:lang w:eastAsia="zh-CN"/>
              </w:rPr>
              <w:t>。</w:t>
            </w:r>
          </w:p>
        </w:tc>
      </w:tr>
    </w:tbl>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outlineLvl w:val="2"/>
        <w:rPr>
          <w:rFonts w:hint="default" w:ascii="Times New Roman" w:hAnsi="Times New Roman" w:cs="Times New Roman"/>
          <w:color w:val="auto"/>
        </w:rPr>
      </w:pPr>
      <w:bookmarkStart w:id="299" w:name="_Toc16249"/>
      <w:r>
        <w:rPr>
          <w:rFonts w:hint="default" w:ascii="Times New Roman" w:hAnsi="Times New Roman" w:cs="Times New Roman"/>
          <w:color w:val="auto"/>
        </w:rPr>
        <w:t>主要设备</w:t>
      </w:r>
      <w:bookmarkEnd w:id="299"/>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本项目的主要设备有皂化釜、复分解釜、溶解釜、各类计量罐、贮罐和泵等，均为常压设备。主要设备情况见下表。</w:t>
      </w: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u w:val="single"/>
        </w:rPr>
      </w:pP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u w:val="single"/>
        </w:rPr>
      </w:pP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u w:val="single"/>
        </w:rPr>
      </w:pPr>
      <w:r>
        <w:rPr>
          <w:rFonts w:hint="default" w:ascii="Times New Roman" w:hAnsi="Times New Roman" w:cs="Times New Roman"/>
          <w:color w:val="auto"/>
          <w:u w:val="single"/>
        </w:rPr>
        <w:t xml:space="preserve">表 </w:t>
      </w:r>
      <w:r>
        <w:rPr>
          <w:rFonts w:hint="default" w:ascii="Times New Roman" w:hAnsi="Times New Roman" w:cs="Times New Roman"/>
          <w:color w:val="auto"/>
          <w:u w:val="single"/>
        </w:rPr>
        <w:fldChar w:fldCharType="begin"/>
      </w:r>
      <w:r>
        <w:rPr>
          <w:rFonts w:hint="default" w:ascii="Times New Roman" w:hAnsi="Times New Roman" w:cs="Times New Roman"/>
          <w:color w:val="auto"/>
          <w:u w:val="single"/>
        </w:rPr>
        <w:instrText xml:space="preserve"> STYLEREF 1 \s </w:instrText>
      </w:r>
      <w:r>
        <w:rPr>
          <w:rFonts w:hint="default" w:ascii="Times New Roman" w:hAnsi="Times New Roman" w:cs="Times New Roman"/>
          <w:color w:val="auto"/>
          <w:u w:val="single"/>
        </w:rPr>
        <w:fldChar w:fldCharType="separate"/>
      </w:r>
      <w:r>
        <w:rPr>
          <w:rFonts w:hint="default" w:ascii="Times New Roman" w:hAnsi="Times New Roman" w:cs="Times New Roman"/>
          <w:color w:val="auto"/>
          <w:u w:val="single"/>
        </w:rPr>
        <w:t>3</w:t>
      </w:r>
      <w:r>
        <w:rPr>
          <w:rFonts w:hint="default" w:ascii="Times New Roman" w:hAnsi="Times New Roman" w:cs="Times New Roman"/>
          <w:color w:val="auto"/>
          <w:u w:val="single"/>
        </w:rPr>
        <w:fldChar w:fldCharType="end"/>
      </w:r>
      <w:r>
        <w:rPr>
          <w:rFonts w:hint="default" w:ascii="Times New Roman" w:hAnsi="Times New Roman" w:cs="Times New Roman"/>
          <w:color w:val="auto"/>
          <w:u w:val="single"/>
        </w:rPr>
        <w:t>-19本项目主要设备一览表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1535"/>
        <w:gridCol w:w="2639"/>
        <w:gridCol w:w="1912"/>
        <w:gridCol w:w="1170"/>
        <w:gridCol w:w="11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1" w:hRule="exact"/>
          <w:jc w:val="center"/>
        </w:trPr>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  称</w:t>
            </w:r>
          </w:p>
        </w:tc>
        <w:tc>
          <w:tcPr>
            <w:tcW w:w="263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型号</w:t>
            </w:r>
          </w:p>
        </w:tc>
        <w:tc>
          <w:tcPr>
            <w:tcW w:w="191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规  格</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储存量（t）</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数量（台）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皂化釜</w:t>
            </w:r>
          </w:p>
        </w:tc>
        <w:tc>
          <w:tcPr>
            <w:tcW w:w="263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K3000</w:t>
            </w:r>
          </w:p>
        </w:tc>
        <w:tc>
          <w:tcPr>
            <w:tcW w:w="191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V=3000L</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成盐釜</w:t>
            </w:r>
          </w:p>
        </w:tc>
        <w:tc>
          <w:tcPr>
            <w:tcW w:w="263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K3000</w:t>
            </w:r>
          </w:p>
        </w:tc>
        <w:tc>
          <w:tcPr>
            <w:tcW w:w="191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V=3000L</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硝酸镍溶解釜</w:t>
            </w:r>
          </w:p>
        </w:tc>
        <w:tc>
          <w:tcPr>
            <w:tcW w:w="263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K3000</w:t>
            </w:r>
          </w:p>
        </w:tc>
        <w:tc>
          <w:tcPr>
            <w:tcW w:w="191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V=3000L</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环己烷精馏釜</w:t>
            </w:r>
          </w:p>
        </w:tc>
        <w:tc>
          <w:tcPr>
            <w:tcW w:w="263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F3000</w:t>
            </w:r>
          </w:p>
        </w:tc>
        <w:tc>
          <w:tcPr>
            <w:tcW w:w="191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V=3000L</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精制釜</w:t>
            </w:r>
          </w:p>
        </w:tc>
        <w:tc>
          <w:tcPr>
            <w:tcW w:w="263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F3000</w:t>
            </w:r>
          </w:p>
        </w:tc>
        <w:tc>
          <w:tcPr>
            <w:tcW w:w="191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V=3000L</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异辛酸储罐</w:t>
            </w:r>
          </w:p>
        </w:tc>
        <w:tc>
          <w:tcPr>
            <w:tcW w:w="263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卧式储罐Φ1200×3500</w:t>
            </w:r>
          </w:p>
        </w:tc>
        <w:tc>
          <w:tcPr>
            <w:tcW w:w="191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V=3m</w:t>
            </w:r>
            <w:r>
              <w:rPr>
                <w:rFonts w:hint="default" w:ascii="Times New Roman" w:hAnsi="Times New Roman" w:cs="Times New Roman"/>
                <w:color w:val="auto"/>
                <w:sz w:val="21"/>
                <w:szCs w:val="21"/>
                <w:u w:val="wave"/>
                <w:vertAlign w:val="superscript"/>
              </w:rPr>
              <w:t>3</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洗涤环己烷罐</w:t>
            </w:r>
          </w:p>
        </w:tc>
        <w:tc>
          <w:tcPr>
            <w:tcW w:w="263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卧式储罐Φ2000×7200</w:t>
            </w:r>
          </w:p>
        </w:tc>
        <w:tc>
          <w:tcPr>
            <w:tcW w:w="191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V=20m</w:t>
            </w:r>
            <w:r>
              <w:rPr>
                <w:rFonts w:hint="default" w:ascii="Times New Roman" w:hAnsi="Times New Roman" w:cs="Times New Roman"/>
                <w:color w:val="auto"/>
                <w:sz w:val="21"/>
                <w:szCs w:val="21"/>
                <w:u w:val="wave"/>
                <w:vertAlign w:val="superscript"/>
              </w:rPr>
              <w:t>3</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回收环己烷罐</w:t>
            </w:r>
          </w:p>
        </w:tc>
        <w:tc>
          <w:tcPr>
            <w:tcW w:w="263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卧式储罐Φ2200×7200</w:t>
            </w:r>
          </w:p>
        </w:tc>
        <w:tc>
          <w:tcPr>
            <w:tcW w:w="191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V=25m</w:t>
            </w:r>
            <w:r>
              <w:rPr>
                <w:rFonts w:hint="default" w:ascii="Times New Roman" w:hAnsi="Times New Roman" w:cs="Times New Roman"/>
                <w:color w:val="auto"/>
                <w:sz w:val="21"/>
                <w:szCs w:val="21"/>
                <w:u w:val="wave"/>
                <w:vertAlign w:val="superscript"/>
              </w:rPr>
              <w:t>3</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产品异辛酸镍储罐</w:t>
            </w:r>
          </w:p>
        </w:tc>
        <w:tc>
          <w:tcPr>
            <w:tcW w:w="263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卧式储罐Φ2200×7200</w:t>
            </w:r>
          </w:p>
        </w:tc>
        <w:tc>
          <w:tcPr>
            <w:tcW w:w="191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V=25m</w:t>
            </w:r>
            <w:r>
              <w:rPr>
                <w:rFonts w:hint="default" w:ascii="Times New Roman" w:hAnsi="Times New Roman" w:cs="Times New Roman"/>
                <w:color w:val="auto"/>
                <w:sz w:val="21"/>
                <w:szCs w:val="21"/>
                <w:u w:val="wave"/>
                <w:vertAlign w:val="superscript"/>
              </w:rPr>
              <w:t>3</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碱液储罐</w:t>
            </w:r>
          </w:p>
        </w:tc>
        <w:tc>
          <w:tcPr>
            <w:tcW w:w="263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卧式储罐Φ2000×6000</w:t>
            </w:r>
          </w:p>
        </w:tc>
        <w:tc>
          <w:tcPr>
            <w:tcW w:w="191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V=20m</w:t>
            </w:r>
            <w:r>
              <w:rPr>
                <w:rFonts w:hint="default" w:ascii="Times New Roman" w:hAnsi="Times New Roman" w:cs="Times New Roman"/>
                <w:color w:val="auto"/>
                <w:sz w:val="21"/>
                <w:szCs w:val="21"/>
                <w:u w:val="wave"/>
                <w:vertAlign w:val="superscript"/>
              </w:rPr>
              <w:t>3</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碱计量罐</w:t>
            </w:r>
          </w:p>
        </w:tc>
        <w:tc>
          <w:tcPr>
            <w:tcW w:w="263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立式储罐Φ800×2000</w:t>
            </w:r>
          </w:p>
        </w:tc>
        <w:tc>
          <w:tcPr>
            <w:tcW w:w="191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V=800L</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异辛酸计量罐</w:t>
            </w:r>
          </w:p>
        </w:tc>
        <w:tc>
          <w:tcPr>
            <w:tcW w:w="263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立式储罐Φ700×2000</w:t>
            </w:r>
          </w:p>
        </w:tc>
        <w:tc>
          <w:tcPr>
            <w:tcW w:w="191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V=500L</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环己烷计量罐</w:t>
            </w:r>
          </w:p>
        </w:tc>
        <w:tc>
          <w:tcPr>
            <w:tcW w:w="263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立式储罐Φ900×2000</w:t>
            </w:r>
          </w:p>
        </w:tc>
        <w:tc>
          <w:tcPr>
            <w:tcW w:w="191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V=1000L</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硝酸镍计量罐</w:t>
            </w:r>
          </w:p>
        </w:tc>
        <w:tc>
          <w:tcPr>
            <w:tcW w:w="263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立式储罐Φ900×2000</w:t>
            </w:r>
          </w:p>
        </w:tc>
        <w:tc>
          <w:tcPr>
            <w:tcW w:w="191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V=1000L</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分水器</w:t>
            </w:r>
          </w:p>
        </w:tc>
        <w:tc>
          <w:tcPr>
            <w:tcW w:w="263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立式储罐Φ200×1700</w:t>
            </w:r>
          </w:p>
        </w:tc>
        <w:tc>
          <w:tcPr>
            <w:tcW w:w="191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V=50L</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缓冲罐</w:t>
            </w:r>
          </w:p>
        </w:tc>
        <w:tc>
          <w:tcPr>
            <w:tcW w:w="263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立式储罐Φ500×1200</w:t>
            </w:r>
          </w:p>
        </w:tc>
        <w:tc>
          <w:tcPr>
            <w:tcW w:w="191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V=200L</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镍水池</w:t>
            </w:r>
          </w:p>
        </w:tc>
        <w:tc>
          <w:tcPr>
            <w:tcW w:w="263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5000*9000*1000</w:t>
            </w:r>
          </w:p>
        </w:tc>
        <w:tc>
          <w:tcPr>
            <w:tcW w:w="191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V=40m</w:t>
            </w:r>
            <w:r>
              <w:rPr>
                <w:rFonts w:hint="default" w:ascii="Times New Roman" w:hAnsi="Times New Roman" w:cs="Times New Roman"/>
                <w:color w:val="auto"/>
                <w:sz w:val="21"/>
                <w:szCs w:val="21"/>
                <w:u w:val="wave"/>
                <w:vertAlign w:val="superscript"/>
              </w:rPr>
              <w:t>3</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蒸馏塔</w:t>
            </w:r>
          </w:p>
        </w:tc>
        <w:tc>
          <w:tcPr>
            <w:tcW w:w="263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立式Φ300×5500</w:t>
            </w:r>
          </w:p>
        </w:tc>
        <w:tc>
          <w:tcPr>
            <w:tcW w:w="191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w:t>
            </w:r>
          </w:p>
        </w:tc>
        <w:tc>
          <w:tcPr>
            <w:tcW w:w="0" w:type="auto"/>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精制塔</w:t>
            </w:r>
          </w:p>
        </w:tc>
        <w:tc>
          <w:tcPr>
            <w:tcW w:w="263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立式Φ300×5500</w:t>
            </w:r>
          </w:p>
        </w:tc>
        <w:tc>
          <w:tcPr>
            <w:tcW w:w="191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w:t>
            </w:r>
          </w:p>
        </w:tc>
        <w:tc>
          <w:tcPr>
            <w:tcW w:w="0" w:type="auto"/>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蒸馏冷凝器</w:t>
            </w:r>
          </w:p>
        </w:tc>
        <w:tc>
          <w:tcPr>
            <w:tcW w:w="263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卧式Φ450×4000</w:t>
            </w:r>
          </w:p>
        </w:tc>
        <w:tc>
          <w:tcPr>
            <w:tcW w:w="191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w:t>
            </w:r>
          </w:p>
        </w:tc>
        <w:tc>
          <w:tcPr>
            <w:tcW w:w="0" w:type="auto"/>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精制冷凝器</w:t>
            </w:r>
          </w:p>
        </w:tc>
        <w:tc>
          <w:tcPr>
            <w:tcW w:w="263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卧式卧式Φ450×4000</w:t>
            </w:r>
          </w:p>
        </w:tc>
        <w:tc>
          <w:tcPr>
            <w:tcW w:w="191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w:t>
            </w:r>
          </w:p>
        </w:tc>
        <w:tc>
          <w:tcPr>
            <w:tcW w:w="0" w:type="auto"/>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产品输送泵</w:t>
            </w:r>
          </w:p>
        </w:tc>
        <w:tc>
          <w:tcPr>
            <w:tcW w:w="263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ZHYa25-250</w:t>
            </w:r>
          </w:p>
        </w:tc>
        <w:tc>
          <w:tcPr>
            <w:tcW w:w="191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功率5.5kW</w:t>
            </w:r>
          </w:p>
        </w:tc>
        <w:tc>
          <w:tcPr>
            <w:tcW w:w="0" w:type="auto"/>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液碱卸车泵</w:t>
            </w:r>
          </w:p>
        </w:tc>
        <w:tc>
          <w:tcPr>
            <w:tcW w:w="263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IHF-65-50-120D</w:t>
            </w:r>
          </w:p>
        </w:tc>
        <w:tc>
          <w:tcPr>
            <w:tcW w:w="191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功率3.0kW</w:t>
            </w:r>
          </w:p>
        </w:tc>
        <w:tc>
          <w:tcPr>
            <w:tcW w:w="0" w:type="auto"/>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真空泵</w:t>
            </w:r>
          </w:p>
        </w:tc>
        <w:tc>
          <w:tcPr>
            <w:tcW w:w="263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80FP-32</w:t>
            </w:r>
          </w:p>
        </w:tc>
        <w:tc>
          <w:tcPr>
            <w:tcW w:w="191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功率7.5kW</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1" w:hRule="exact"/>
          <w:jc w:val="center"/>
        </w:trPr>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循环水系统</w:t>
            </w:r>
          </w:p>
        </w:tc>
        <w:tc>
          <w:tcPr>
            <w:tcW w:w="263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100FP-30</w:t>
            </w:r>
          </w:p>
        </w:tc>
        <w:tc>
          <w:tcPr>
            <w:tcW w:w="191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u w:val="wave"/>
              </w:rPr>
            </w:pPr>
            <w:r>
              <w:rPr>
                <w:rFonts w:hint="default" w:ascii="Times New Roman" w:hAnsi="Times New Roman" w:cs="Times New Roman"/>
                <w:color w:val="auto"/>
                <w:sz w:val="21"/>
                <w:szCs w:val="21"/>
                <w:u w:val="wave"/>
              </w:rPr>
              <w:t>配套2合泵，每台泵功率11kW</w:t>
            </w: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p>
        </w:tc>
        <w:tc>
          <w:tcPr>
            <w:tcW w:w="0" w:type="auto"/>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bl>
    <w:p>
      <w:pPr>
        <w:pStyle w:val="5"/>
        <w:keepNext w:val="0"/>
        <w:keepLines w:val="0"/>
        <w:pageBreakBefore w:val="0"/>
        <w:widowControl w:val="0"/>
        <w:numPr>
          <w:ilvl w:val="2"/>
          <w:numId w:val="0"/>
        </w:numPr>
        <w:kinsoku/>
        <w:wordWrap/>
        <w:overflowPunct/>
        <w:topLinePunct w:val="0"/>
        <w:autoSpaceDE/>
        <w:autoSpaceDN/>
        <w:bidi w:val="0"/>
        <w:adjustRightInd w:val="0"/>
        <w:snapToGrid w:val="0"/>
        <w:spacing w:before="0" w:beforeLines="0" w:after="0" w:afterLines="0"/>
        <w:ind w:leftChars="0"/>
        <w:jc w:val="left"/>
        <w:textAlignment w:val="auto"/>
        <w:outlineLvl w:val="2"/>
        <w:rPr>
          <w:rFonts w:hint="default" w:ascii="Times New Roman" w:hAnsi="Times New Roman" w:cs="Times New Roman"/>
          <w:color w:val="auto"/>
        </w:rPr>
      </w:pPr>
      <w:bookmarkStart w:id="300" w:name="_Toc10519"/>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outlineLvl w:val="2"/>
        <w:rPr>
          <w:rFonts w:hint="default" w:ascii="Times New Roman" w:hAnsi="Times New Roman" w:cs="Times New Roman"/>
          <w:color w:val="auto"/>
        </w:rPr>
      </w:pPr>
      <w:r>
        <w:rPr>
          <w:rFonts w:hint="default" w:ascii="Times New Roman" w:hAnsi="Times New Roman" w:cs="Times New Roman"/>
          <w:color w:val="auto"/>
        </w:rPr>
        <w:t>公用工程</w:t>
      </w:r>
      <w:bookmarkEnd w:id="300"/>
    </w:p>
    <w:p>
      <w:pPr>
        <w:pStyle w:val="7"/>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rPr>
      </w:pPr>
      <w:r>
        <w:rPr>
          <w:rFonts w:hint="default" w:ascii="Times New Roman" w:hAnsi="Times New Roman" w:cs="Times New Roman"/>
          <w:color w:val="auto"/>
        </w:rPr>
        <w:t>给水系统</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本工程给水系统划分为四个系统，即生产给水系统、生活给水系统、消防给水系统、循环水给水系统。</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①</w:t>
      </w:r>
      <w:r>
        <w:rPr>
          <w:rFonts w:hint="default" w:ascii="Times New Roman" w:hAnsi="Times New Roman" w:cs="Times New Roman"/>
          <w:color w:val="auto"/>
        </w:rPr>
        <w:fldChar w:fldCharType="end"/>
      </w:r>
      <w:r>
        <w:rPr>
          <w:rFonts w:hint="default" w:ascii="Times New Roman" w:hAnsi="Times New Roman" w:cs="Times New Roman"/>
          <w:color w:val="auto"/>
        </w:rPr>
        <w:t>生产给水系统：本项目依托厂区已建成的生产给水系统。水源为市政自来水，由巴陵分公司现有给水系统供给，供水压力为0.4MPa。从园区生产水管网DN200上引出DN80给水管，经流量计计量后进入各生产生活供水点。</w:t>
      </w:r>
      <w:r>
        <w:rPr>
          <w:rFonts w:hint="default" w:ascii="Times New Roman" w:hAnsi="Times New Roman" w:cs="Times New Roman"/>
          <w:color w:val="auto"/>
          <w:lang w:val="en-US" w:eastAsia="zh-CN"/>
        </w:rPr>
        <w:t xml:space="preserve">   </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②</w:t>
      </w:r>
      <w:r>
        <w:rPr>
          <w:rFonts w:hint="default" w:ascii="Times New Roman" w:hAnsi="Times New Roman" w:cs="Times New Roman"/>
          <w:color w:val="auto"/>
        </w:rPr>
        <w:fldChar w:fldCharType="end"/>
      </w:r>
      <w:r>
        <w:rPr>
          <w:rFonts w:hint="default" w:ascii="Times New Roman" w:hAnsi="Times New Roman" w:cs="Times New Roman"/>
          <w:color w:val="auto"/>
        </w:rPr>
        <w:t>生活给水系统：本项目依托厂区已建成的生活给水系统。水源水源为市政自来水，由巴陵分公司现有给水系统供给，供水压力为0.4MPa。从园区生产水管网DN200上引出DN80给水管，经流量计计量后进入各生产生活供水点。</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③</w:t>
      </w:r>
      <w:r>
        <w:rPr>
          <w:rFonts w:hint="default" w:ascii="Times New Roman" w:hAnsi="Times New Roman" w:cs="Times New Roman"/>
          <w:color w:val="auto"/>
        </w:rPr>
        <w:fldChar w:fldCharType="end"/>
      </w:r>
      <w:r>
        <w:rPr>
          <w:rFonts w:hint="default" w:ascii="Times New Roman" w:hAnsi="Times New Roman" w:cs="Times New Roman"/>
          <w:color w:val="auto"/>
        </w:rPr>
        <w:t>循环水给水系统：本项目冷却水来自巴陵石化制冷站，上水温度为3</w:t>
      </w:r>
      <w:r>
        <w:rPr>
          <w:rFonts w:hint="default" w:ascii="Times New Roman" w:hAnsi="Times New Roman" w:cs="Times New Roman"/>
          <w:color w:val="auto"/>
          <w:lang w:val="en-US" w:eastAsia="zh-CN"/>
        </w:rPr>
        <w:t>~</w:t>
      </w:r>
      <w:r>
        <w:rPr>
          <w:rFonts w:hint="default" w:ascii="Times New Roman" w:hAnsi="Times New Roman" w:cs="Times New Roman"/>
          <w:color w:val="auto"/>
        </w:rPr>
        <w:t>8℃，管径为DN80；回水温度为15</w:t>
      </w:r>
      <w:r>
        <w:rPr>
          <w:rFonts w:hint="default" w:ascii="Times New Roman" w:hAnsi="Times New Roman" w:cs="Times New Roman"/>
          <w:color w:val="auto"/>
          <w:lang w:val="en-US" w:eastAsia="zh-CN"/>
        </w:rPr>
        <w:t>~</w:t>
      </w:r>
      <w:r>
        <w:rPr>
          <w:rFonts w:hint="default" w:ascii="Times New Roman" w:hAnsi="Times New Roman" w:cs="Times New Roman"/>
          <w:color w:val="auto"/>
        </w:rPr>
        <w:t>20℃，回水管径为DN100，厂区冷冻循环水用水量约为20m³/h。</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4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④</w:t>
      </w:r>
      <w:r>
        <w:rPr>
          <w:rFonts w:hint="default" w:ascii="Times New Roman" w:hAnsi="Times New Roman" w:cs="Times New Roman"/>
          <w:color w:val="auto"/>
        </w:rPr>
        <w:fldChar w:fldCharType="end"/>
      </w:r>
      <w:r>
        <w:rPr>
          <w:rFonts w:hint="default" w:ascii="Times New Roman" w:hAnsi="Times New Roman" w:cs="Times New Roman"/>
          <w:color w:val="auto"/>
        </w:rPr>
        <w:t>消防给水系统：巴陵石化公司设置有完善的消防水系统，项目区内管网与巴陵石化公司消防水管网相连，巴陵石化公司消防水管径DN500，压力0.35Mpa，项目区内消防水管径DN100，压力0.35Mpa。</w:t>
      </w:r>
    </w:p>
    <w:p>
      <w:pPr>
        <w:pStyle w:val="7"/>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rPr>
      </w:pPr>
      <w:r>
        <w:rPr>
          <w:rFonts w:hint="default" w:ascii="Times New Roman" w:hAnsi="Times New Roman" w:cs="Times New Roman"/>
          <w:color w:val="auto"/>
        </w:rPr>
        <w:t>排水系统</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本工程依托现有工程排水系统，划分为生活污水系统、生产污水、初期雨水系统和清净雨水系统以及应急废水处理收集系统。根据现场调查，</w:t>
      </w:r>
      <w:r>
        <w:rPr>
          <w:rFonts w:hint="default" w:ascii="Times New Roman" w:hAnsi="Times New Roman" w:cs="Times New Roman"/>
          <w:color w:val="auto"/>
          <w:lang w:eastAsia="zh-CN"/>
        </w:rPr>
        <w:t>巴陵石化公司</w:t>
      </w:r>
      <w:r>
        <w:rPr>
          <w:rFonts w:hint="default" w:ascii="Times New Roman" w:hAnsi="Times New Roman" w:cs="Times New Roman"/>
          <w:color w:val="auto"/>
        </w:rPr>
        <w:t>已经运行多年，厂区内各地块装置区附近均已经敷设有完整的雨水（明沟）、污水（暗管）排放管道，能够确保区域内雨水、污水的收集，特别是污水能通过暗管排放</w:t>
      </w:r>
      <w:r>
        <w:rPr>
          <w:rFonts w:hint="default" w:ascii="Times New Roman" w:hAnsi="Times New Roman" w:cs="Times New Roman"/>
          <w:color w:val="auto"/>
          <w:lang w:eastAsia="zh-CN"/>
        </w:rPr>
        <w:t>巴陵石化公司</w:t>
      </w:r>
      <w:r>
        <w:rPr>
          <w:rFonts w:hint="default" w:ascii="Times New Roman" w:hAnsi="Times New Roman" w:cs="Times New Roman"/>
          <w:color w:val="auto"/>
        </w:rPr>
        <w:t>污水处理厂内达标处理。</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①生活污水</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项目办公楼及车间内生活污水经化粪池处理后排入厂区已有污水管网送巴陵石化供排水事业部污水处理厂集中统一处理达标后排至长江。</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②生产污水</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项目生产污水主要来自装置工艺污水、地面冲洗水等</w:t>
      </w:r>
      <w:r>
        <w:rPr>
          <w:rFonts w:hint="default" w:ascii="Times New Roman" w:hAnsi="Times New Roman" w:cs="Times New Roman"/>
          <w:color w:val="auto"/>
          <w:lang w:eastAsia="zh-CN"/>
        </w:rPr>
        <w:t>，工艺废水经过镍水池加碱沉淀处理再进入中和池中和</w:t>
      </w:r>
      <w:r>
        <w:rPr>
          <w:rFonts w:hint="default" w:ascii="Times New Roman" w:hAnsi="Times New Roman" w:cs="Times New Roman"/>
          <w:color w:val="auto"/>
        </w:rPr>
        <w:t>，</w:t>
      </w:r>
      <w:r>
        <w:rPr>
          <w:rFonts w:hint="default" w:ascii="Times New Roman" w:hAnsi="Times New Roman" w:cs="Times New Roman"/>
          <w:color w:val="auto"/>
          <w:lang w:eastAsia="zh-CN"/>
        </w:rPr>
        <w:t>处理后的</w:t>
      </w:r>
      <w:r>
        <w:rPr>
          <w:rFonts w:hint="default" w:ascii="Times New Roman" w:hAnsi="Times New Roman" w:cs="Times New Roman"/>
          <w:color w:val="auto"/>
        </w:rPr>
        <w:t>污水经厂区污水管（暗管）收集后排入巴陵石化供排水事业部污水处理厂集中统一处理达标后排至长江。</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地面冲洗水</w:t>
      </w:r>
      <w:r>
        <w:rPr>
          <w:rFonts w:hint="default" w:ascii="Times New Roman" w:hAnsi="Times New Roman" w:cs="Times New Roman"/>
          <w:color w:val="auto"/>
        </w:rPr>
        <w:t>经厂区污水管（暗管）收集后排入巴陵石化供排水事业部污水处理厂</w:t>
      </w:r>
      <w:r>
        <w:rPr>
          <w:rFonts w:hint="default" w:ascii="Times New Roman" w:hAnsi="Times New Roman" w:cs="Times New Roman"/>
          <w:color w:val="auto"/>
          <w:lang w:eastAsia="zh-CN"/>
        </w:rPr>
        <w:t>。</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③初期雨水系统</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厂区初期污染雨水主要为三条生产装置生产区域的地面初期雨水，</w:t>
      </w:r>
      <w:r>
        <w:rPr>
          <w:rFonts w:hint="default" w:ascii="Times New Roman" w:hAnsi="Times New Roman" w:cs="Times New Roman"/>
          <w:color w:val="auto"/>
          <w:lang w:eastAsia="zh-CN"/>
        </w:rPr>
        <w:t>初期雨水通过阀门切换进入暗沟，</w:t>
      </w:r>
      <w:r>
        <w:rPr>
          <w:rFonts w:hint="default" w:ascii="Times New Roman" w:hAnsi="Times New Roman" w:cs="Times New Roman"/>
          <w:color w:val="auto"/>
        </w:rPr>
        <w:t>送入厂区的生产污水管网，一并和生产污水进入巴陵石化供排水事业部污水处理厂集中统一处理。</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④清净雨水系统</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厂区的清净雨水经室外排水沟收集后，统一排往已有的排水沟（明沟），明沟水进入到区域的地表水体</w:t>
      </w:r>
      <w:r>
        <w:rPr>
          <w:rFonts w:hint="default" w:ascii="Times New Roman" w:hAnsi="Times New Roman" w:cs="Times New Roman"/>
          <w:color w:val="auto"/>
          <w:lang w:eastAsia="zh-CN"/>
        </w:rPr>
        <w:t>——松杨湖</w:t>
      </w:r>
      <w:r>
        <w:rPr>
          <w:rFonts w:hint="default" w:ascii="Times New Roman" w:hAnsi="Times New Roman" w:cs="Times New Roman"/>
          <w:color w:val="auto"/>
        </w:rPr>
        <w:t>。</w:t>
      </w:r>
    </w:p>
    <w:p>
      <w:pPr>
        <w:pStyle w:val="7"/>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rPr>
      </w:pPr>
      <w:bookmarkStart w:id="301" w:name="_Toc360538139"/>
      <w:bookmarkStart w:id="302" w:name="_Toc417651403"/>
      <w:r>
        <w:rPr>
          <w:rFonts w:hint="default" w:ascii="Times New Roman" w:hAnsi="Times New Roman" w:cs="Times New Roman"/>
          <w:color w:val="auto"/>
        </w:rPr>
        <w:t>供电系统</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 xml:space="preserve">公司电力供电来源于云溪区电网10kV线路，装置区采用单回路供电，电源电压为10kV，变压器容量为200kVA，目前全厂用电总负荷为200KW，常用负荷约80KW。设有专用配电房，380/220V电源从配电房直接辐射到各用电设备，本项目装置总装机容量约80kW。 </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工程保护接地、防雷、防静电接地和工作接地的干线均连接在一起，组成联合接地网，所有设备接地线路只并联，不串联。总接地电阻不大于4欧姆。所有的设备所做的防静电接地系统的各个固定连接处，采用焊接或螺栓紧固连接，所有防雷及接地构件均热镀锌，埋地部分采用焊接并做防腐处理。</w:t>
      </w:r>
    </w:p>
    <w:p>
      <w:pPr>
        <w:pStyle w:val="7"/>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rPr>
      </w:pPr>
      <w:r>
        <w:rPr>
          <w:rFonts w:hint="default" w:ascii="Times New Roman" w:hAnsi="Times New Roman" w:cs="Times New Roman"/>
          <w:color w:val="auto"/>
        </w:rPr>
        <w:t>供热系统</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鑫达实业有限公司位于</w:t>
      </w:r>
      <w:r>
        <w:rPr>
          <w:rFonts w:hint="default" w:ascii="Times New Roman" w:hAnsi="Times New Roman" w:cs="Times New Roman"/>
          <w:color w:val="auto"/>
          <w:lang w:eastAsia="zh-CN"/>
        </w:rPr>
        <w:t>岳阳市云溪区岳化大道392号</w:t>
      </w:r>
      <w:r>
        <w:rPr>
          <w:rFonts w:hint="default" w:ascii="Times New Roman" w:hAnsi="Times New Roman" w:cs="Times New Roman"/>
          <w:color w:val="auto"/>
        </w:rPr>
        <w:t>，有统一供汽管道，额定压力为1.25Mpa，流量为400t/h，厂区在蒸汽支管上设置减压阀对蒸汽进行降压、降温后送入各用气装置中使用。蒸汽压力、温度和供应量均可满足生产工艺需要。</w:t>
      </w:r>
    </w:p>
    <w:p>
      <w:pPr>
        <w:pStyle w:val="7"/>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rPr>
      </w:pPr>
      <w:r>
        <w:rPr>
          <w:rFonts w:hint="default" w:ascii="Times New Roman" w:hAnsi="Times New Roman" w:cs="Times New Roman"/>
          <w:color w:val="auto"/>
        </w:rPr>
        <w:t>制冷</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鑫达实业有限公司位于</w:t>
      </w:r>
      <w:r>
        <w:rPr>
          <w:rFonts w:hint="default" w:ascii="Times New Roman" w:hAnsi="Times New Roman" w:cs="Times New Roman"/>
          <w:color w:val="auto"/>
          <w:lang w:eastAsia="zh-CN"/>
        </w:rPr>
        <w:t>岳阳市云溪区岳化大道392号</w:t>
      </w:r>
      <w:r>
        <w:rPr>
          <w:rFonts w:hint="default" w:ascii="Times New Roman" w:hAnsi="Times New Roman" w:cs="Times New Roman"/>
          <w:color w:val="auto"/>
        </w:rPr>
        <w:t>，园区内有统一的冷冻循环水供水管道，</w:t>
      </w:r>
      <w:r>
        <w:rPr>
          <w:rFonts w:hint="default" w:ascii="Times New Roman" w:hAnsi="Times New Roman" w:cs="Times New Roman"/>
          <w:color w:val="auto"/>
          <w:lang w:eastAsia="zh-CN"/>
        </w:rPr>
        <w:t>允许</w:t>
      </w:r>
      <w:r>
        <w:rPr>
          <w:rFonts w:hint="default" w:ascii="Times New Roman" w:hAnsi="Times New Roman" w:cs="Times New Roman"/>
          <w:color w:val="auto"/>
        </w:rPr>
        <w:t>公司在园区冷冻水管网上适当位置接入并设置流量计</w:t>
      </w:r>
      <w:r>
        <w:rPr>
          <w:rFonts w:hint="default" w:ascii="Times New Roman" w:hAnsi="Times New Roman" w:cs="Times New Roman"/>
          <w:color w:val="auto"/>
          <w:lang w:eastAsia="zh-CN"/>
        </w:rPr>
        <w:t>进行购买</w:t>
      </w:r>
      <w:r>
        <w:rPr>
          <w:rFonts w:hint="default" w:ascii="Times New Roman" w:hAnsi="Times New Roman" w:cs="Times New Roman"/>
          <w:color w:val="auto"/>
        </w:rPr>
        <w:t>。本工程</w:t>
      </w:r>
      <w:r>
        <w:rPr>
          <w:rFonts w:hint="default" w:ascii="Times New Roman" w:hAnsi="Times New Roman" w:cs="Times New Roman"/>
          <w:color w:val="auto"/>
          <w:lang w:eastAsia="zh-CN"/>
        </w:rPr>
        <w:t>制冷量低于</w:t>
      </w:r>
      <w:r>
        <w:rPr>
          <w:rFonts w:hint="default" w:ascii="Times New Roman" w:hAnsi="Times New Roman" w:cs="Times New Roman"/>
          <w:color w:val="auto"/>
          <w:lang w:val="en-US" w:eastAsia="zh-CN"/>
        </w:rPr>
        <w:t>1000kW</w:t>
      </w:r>
      <w:r>
        <w:rPr>
          <w:rFonts w:hint="default" w:ascii="Times New Roman" w:hAnsi="Times New Roman" w:cs="Times New Roman"/>
          <w:color w:val="auto"/>
          <w:lang w:eastAsia="zh-CN"/>
        </w:rPr>
        <w:t>，制冷量不大，购买</w:t>
      </w:r>
      <w:r>
        <w:rPr>
          <w:rFonts w:hint="default" w:ascii="Times New Roman" w:hAnsi="Times New Roman" w:cs="Times New Roman"/>
          <w:color w:val="auto"/>
        </w:rPr>
        <w:t>冷冻循环水即可满足项目工艺要求</w:t>
      </w:r>
      <w:r>
        <w:rPr>
          <w:rFonts w:hint="default" w:ascii="Times New Roman" w:hAnsi="Times New Roman" w:cs="Times New Roman"/>
          <w:color w:val="auto"/>
          <w:lang w:eastAsia="zh-CN"/>
        </w:rPr>
        <w:t>，</w:t>
      </w:r>
      <w:r>
        <w:rPr>
          <w:rFonts w:hint="default" w:ascii="Times New Roman" w:hAnsi="Times New Roman" w:cs="Times New Roman"/>
          <w:color w:val="auto"/>
        </w:rPr>
        <w:t>无需</w:t>
      </w:r>
      <w:r>
        <w:rPr>
          <w:rFonts w:hint="default" w:ascii="Times New Roman" w:hAnsi="Times New Roman" w:cs="Times New Roman"/>
          <w:color w:val="auto"/>
          <w:lang w:eastAsia="zh-CN"/>
        </w:rPr>
        <w:t>添置</w:t>
      </w:r>
      <w:r>
        <w:rPr>
          <w:rFonts w:hint="default" w:ascii="Times New Roman" w:hAnsi="Times New Roman" w:cs="Times New Roman"/>
          <w:color w:val="auto"/>
        </w:rPr>
        <w:t>制冷设备</w:t>
      </w:r>
      <w:r>
        <w:rPr>
          <w:rFonts w:hint="default" w:ascii="Times New Roman" w:hAnsi="Times New Roman" w:cs="Times New Roman"/>
          <w:color w:val="auto"/>
          <w:lang w:eastAsia="zh-CN"/>
        </w:rPr>
        <w:t>。</w:t>
      </w:r>
    </w:p>
    <w:p>
      <w:pPr>
        <w:pStyle w:val="7"/>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rPr>
      </w:pPr>
      <w:r>
        <w:rPr>
          <w:rFonts w:hint="default" w:ascii="Times New Roman" w:hAnsi="Times New Roman" w:cs="Times New Roman"/>
          <w:color w:val="auto"/>
        </w:rPr>
        <w:t>供氮气系统</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本工程氮气供应依托</w:t>
      </w:r>
      <w:r>
        <w:rPr>
          <w:rFonts w:hint="default" w:ascii="Times New Roman" w:hAnsi="Times New Roman" w:cs="Times New Roman"/>
          <w:color w:val="auto"/>
          <w:lang w:eastAsia="zh-CN"/>
        </w:rPr>
        <w:t>巴陵石化公司</w:t>
      </w:r>
      <w:r>
        <w:rPr>
          <w:rFonts w:hint="default" w:ascii="Times New Roman" w:hAnsi="Times New Roman" w:cs="Times New Roman"/>
          <w:color w:val="auto"/>
        </w:rPr>
        <w:t>已有的装置，目前巴陵石化云溪片KDONAr-3600/7200/100装置的产氮能力为7200Nm</w:t>
      </w:r>
      <w:r>
        <w:rPr>
          <w:rFonts w:hint="default" w:ascii="Times New Roman" w:hAnsi="Times New Roman" w:cs="Times New Roman"/>
          <w:color w:val="auto"/>
          <w:vertAlign w:val="superscript"/>
        </w:rPr>
        <w:t>3</w:t>
      </w:r>
      <w:r>
        <w:rPr>
          <w:rFonts w:hint="default" w:ascii="Times New Roman" w:hAnsi="Times New Roman" w:cs="Times New Roman"/>
          <w:color w:val="auto"/>
        </w:rPr>
        <w:t>/h，</w:t>
      </w:r>
      <w:r>
        <w:rPr>
          <w:rFonts w:hint="default" w:ascii="Times New Roman" w:hAnsi="Times New Roman" w:cs="Times New Roman"/>
          <w:color w:val="auto"/>
          <w:lang w:eastAsia="zh-CN"/>
        </w:rPr>
        <w:t>巴陵石化公司目前</w:t>
      </w:r>
      <w:r>
        <w:rPr>
          <w:rFonts w:hint="default" w:ascii="Times New Roman" w:hAnsi="Times New Roman" w:cs="Times New Roman"/>
          <w:color w:val="auto"/>
        </w:rPr>
        <w:t>工程氮气平均负荷2200~2300Nm</w:t>
      </w:r>
      <w:r>
        <w:rPr>
          <w:rFonts w:hint="default" w:ascii="Times New Roman" w:hAnsi="Times New Roman" w:cs="Times New Roman"/>
          <w:color w:val="auto"/>
          <w:vertAlign w:val="superscript"/>
        </w:rPr>
        <w:t>3</w:t>
      </w:r>
      <w:r>
        <w:rPr>
          <w:rFonts w:hint="default" w:ascii="Times New Roman" w:hAnsi="Times New Roman" w:cs="Times New Roman"/>
          <w:color w:val="auto"/>
        </w:rPr>
        <w:t>/h，</w:t>
      </w:r>
      <w:r>
        <w:rPr>
          <w:rFonts w:hint="default" w:ascii="Times New Roman" w:hAnsi="Times New Roman" w:cs="Times New Roman"/>
          <w:color w:val="auto"/>
          <w:lang w:eastAsia="zh-CN"/>
        </w:rPr>
        <w:t>只占片区供氮能力的三分之一。</w:t>
      </w:r>
      <w:r>
        <w:rPr>
          <w:rFonts w:hint="default" w:ascii="Times New Roman" w:hAnsi="Times New Roman" w:cs="Times New Roman"/>
          <w:color w:val="auto"/>
        </w:rPr>
        <w:t>本项目生产过程氮气消耗量</w:t>
      </w:r>
      <w:r>
        <w:rPr>
          <w:rFonts w:hint="default" w:ascii="Times New Roman" w:hAnsi="Times New Roman" w:cs="Times New Roman"/>
          <w:color w:val="auto"/>
          <w:lang w:eastAsia="zh-CN"/>
        </w:rPr>
        <w:t>不足</w:t>
      </w:r>
      <w:r>
        <w:rPr>
          <w:rFonts w:hint="default" w:ascii="Times New Roman" w:hAnsi="Times New Roman" w:cs="Times New Roman"/>
          <w:color w:val="auto"/>
          <w:lang w:val="en-US" w:eastAsia="zh-CN"/>
        </w:rPr>
        <w:t xml:space="preserve">100 </w:t>
      </w:r>
      <w:r>
        <w:rPr>
          <w:rFonts w:hint="default" w:ascii="Times New Roman" w:hAnsi="Times New Roman" w:cs="Times New Roman"/>
          <w:color w:val="auto"/>
        </w:rPr>
        <w:t>Nm</w:t>
      </w:r>
      <w:r>
        <w:rPr>
          <w:rFonts w:hint="default" w:ascii="Times New Roman" w:hAnsi="Times New Roman" w:cs="Times New Roman"/>
          <w:color w:val="auto"/>
          <w:vertAlign w:val="superscript"/>
        </w:rPr>
        <w:t>3</w:t>
      </w:r>
      <w:r>
        <w:rPr>
          <w:rFonts w:hint="default" w:ascii="Times New Roman" w:hAnsi="Times New Roman" w:cs="Times New Roman"/>
          <w:color w:val="auto"/>
        </w:rPr>
        <w:t>/h，</w:t>
      </w:r>
      <w:r>
        <w:rPr>
          <w:rFonts w:hint="default" w:ascii="Times New Roman" w:hAnsi="Times New Roman" w:cs="Times New Roman"/>
          <w:color w:val="auto"/>
          <w:lang w:eastAsia="zh-CN"/>
        </w:rPr>
        <w:t>片区供氮能力</w:t>
      </w:r>
      <w:r>
        <w:rPr>
          <w:rFonts w:hint="default" w:ascii="Times New Roman" w:hAnsi="Times New Roman" w:cs="Times New Roman"/>
          <w:color w:val="auto"/>
        </w:rPr>
        <w:t>能满足本项目氮气的需求。</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rPr>
      </w:pPr>
      <w:bookmarkStart w:id="303" w:name="_Toc18540"/>
      <w:r>
        <w:rPr>
          <w:rFonts w:hint="default" w:ascii="Times New Roman" w:hAnsi="Times New Roman" w:cs="Times New Roman"/>
          <w:color w:val="auto"/>
        </w:rPr>
        <w:t>环保工程</w:t>
      </w:r>
      <w:bookmarkEnd w:id="301"/>
      <w:bookmarkEnd w:id="302"/>
      <w:bookmarkEnd w:id="303"/>
    </w:p>
    <w:p>
      <w:pPr>
        <w:pStyle w:val="7"/>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rPr>
      </w:pPr>
      <w:bookmarkStart w:id="304" w:name="_Toc359485594"/>
      <w:bookmarkStart w:id="305" w:name="_Toc360204164"/>
      <w:r>
        <w:rPr>
          <w:rFonts w:hint="default" w:ascii="Times New Roman" w:hAnsi="Times New Roman" w:cs="Times New Roman"/>
          <w:color w:val="auto"/>
        </w:rPr>
        <w:t>废气处理设施</w:t>
      </w:r>
      <w:bookmarkEnd w:id="304"/>
      <w:bookmarkEnd w:id="305"/>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bookmarkStart w:id="306" w:name="_Toc359485595"/>
      <w:bookmarkStart w:id="307" w:name="_Toc360204165"/>
      <w:r>
        <w:rPr>
          <w:rFonts w:hint="default" w:ascii="Times New Roman" w:hAnsi="Times New Roman" w:cs="Times New Roman"/>
          <w:color w:val="auto"/>
          <w:lang w:eastAsia="zh-CN"/>
        </w:rPr>
        <w:t>加氢</w:t>
      </w:r>
      <w:r>
        <w:rPr>
          <w:rFonts w:hint="default" w:ascii="Times New Roman" w:hAnsi="Times New Roman" w:cs="Times New Roman"/>
          <w:color w:val="auto"/>
        </w:rPr>
        <w:t>催化剂项目废气</w:t>
      </w:r>
      <w:r>
        <w:rPr>
          <w:rFonts w:hint="default" w:ascii="Times New Roman" w:hAnsi="Times New Roman" w:cs="Times New Roman"/>
          <w:color w:val="auto"/>
          <w:lang w:eastAsia="zh-CN"/>
        </w:rPr>
        <w:t>包括原料贮存和进料过程逸散的少量有机废气、氮气加压时和使用过后携带的少量挥发性有机物。以上废气通过</w:t>
      </w:r>
      <w:r>
        <w:rPr>
          <w:rFonts w:hint="default" w:ascii="Times New Roman" w:hAnsi="Times New Roman" w:cs="Times New Roman"/>
          <w:color w:val="auto"/>
        </w:rPr>
        <w:t>本项目配套气体收集系统</w:t>
      </w:r>
      <w:r>
        <w:rPr>
          <w:rFonts w:hint="default" w:ascii="Times New Roman" w:hAnsi="Times New Roman" w:cs="Times New Roman"/>
          <w:color w:val="auto"/>
          <w:lang w:eastAsia="zh-CN"/>
        </w:rPr>
        <w:t>和</w:t>
      </w:r>
      <w:r>
        <w:rPr>
          <w:rFonts w:hint="default" w:ascii="Times New Roman" w:hAnsi="Times New Roman" w:cs="Times New Roman"/>
          <w:color w:val="auto"/>
        </w:rPr>
        <w:t>新增</w:t>
      </w:r>
      <w:r>
        <w:rPr>
          <w:rFonts w:hint="default" w:ascii="Times New Roman" w:hAnsi="Times New Roman" w:cs="Times New Roman"/>
          <w:color w:val="auto"/>
          <w:lang w:eastAsia="zh-CN"/>
        </w:rPr>
        <w:t>的</w:t>
      </w:r>
      <w:r>
        <w:rPr>
          <w:rFonts w:hint="default" w:ascii="Times New Roman" w:hAnsi="Times New Roman" w:cs="Times New Roman"/>
          <w:color w:val="auto"/>
        </w:rPr>
        <w:t>3000m3/h风机接入鑫达一期项目原有废气排放的管道，进入巴陵石化放空总管，排至巴陵石化公司火炬台进行燃烧处理，厂区内无排气筒。</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巴陵石化火炬系统按国内先进水平设计，对各装置产生的放空气首先进行回收，系统处理量为800Nm</w:t>
      </w:r>
      <w:r>
        <w:rPr>
          <w:rFonts w:hint="default" w:ascii="Times New Roman" w:hAnsi="Times New Roman" w:cs="Times New Roman"/>
          <w:color w:val="auto"/>
          <w:vertAlign w:val="superscript"/>
        </w:rPr>
        <w:t>3</w:t>
      </w:r>
      <w:r>
        <w:rPr>
          <w:rFonts w:hint="default" w:ascii="Times New Roman" w:hAnsi="Times New Roman" w:cs="Times New Roman"/>
          <w:color w:val="auto"/>
        </w:rPr>
        <w:t>/min，火炬直径0.8m，高80m，火炬系统符合相关节能、安全、环保要求，其冷凝回收效率为99%。</w:t>
      </w:r>
    </w:p>
    <w:p>
      <w:pPr>
        <w:pStyle w:val="7"/>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rPr>
      </w:pPr>
      <w:r>
        <w:rPr>
          <w:rFonts w:hint="default" w:ascii="Times New Roman" w:hAnsi="Times New Roman" w:cs="Times New Roman"/>
          <w:color w:val="auto"/>
        </w:rPr>
        <w:t>废水处理设施</w:t>
      </w:r>
      <w:bookmarkEnd w:id="306"/>
      <w:bookmarkEnd w:id="307"/>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本项目运营期废水主要为工艺废水、设备及地面清洗废水、</w:t>
      </w:r>
      <w:r>
        <w:rPr>
          <w:rFonts w:hint="default" w:ascii="Times New Roman" w:hAnsi="Times New Roman" w:cs="Times New Roman"/>
          <w:color w:val="auto"/>
          <w:lang w:eastAsia="zh-CN"/>
        </w:rPr>
        <w:t>真空泵</w:t>
      </w:r>
      <w:r>
        <w:rPr>
          <w:rFonts w:hint="default" w:ascii="Times New Roman" w:hAnsi="Times New Roman" w:cs="Times New Roman"/>
          <w:color w:val="auto"/>
        </w:rPr>
        <w:t>用水、生活污水及初期雨水；工艺废水主要为催化剂生产过程中产生的洗盐废水。生活污水经化粪池处理后</w:t>
      </w:r>
      <w:r>
        <w:rPr>
          <w:rFonts w:hint="default" w:ascii="Times New Roman" w:hAnsi="Times New Roman" w:cs="Times New Roman"/>
          <w:color w:val="auto"/>
          <w:lang w:eastAsia="zh-CN"/>
        </w:rPr>
        <w:t>排放，</w:t>
      </w:r>
      <w:r>
        <w:rPr>
          <w:rFonts w:hint="default" w:ascii="Times New Roman" w:hAnsi="Times New Roman" w:cs="Times New Roman"/>
          <w:color w:val="auto"/>
        </w:rPr>
        <w:t>初期雨水经</w:t>
      </w:r>
      <w:r>
        <w:rPr>
          <w:rFonts w:hint="default" w:ascii="Times New Roman" w:hAnsi="Times New Roman" w:cs="Times New Roman"/>
          <w:color w:val="auto"/>
          <w:lang w:eastAsia="zh-CN"/>
        </w:rPr>
        <w:t>切换阀门进入暗沟</w:t>
      </w:r>
      <w:r>
        <w:rPr>
          <w:rFonts w:hint="default" w:ascii="Times New Roman" w:hAnsi="Times New Roman" w:cs="Times New Roman"/>
          <w:color w:val="auto"/>
        </w:rPr>
        <w:t>；工艺废水经中和沉淀预处理后与设备清洗废水、地面清洗废水等废水混合排入场地内污水收集池；污水收集池内污水通过工业园污水管网排入巴陵石化处理厂进行处理，达标后排入长江。</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1）生产废水</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A、工艺废水（W1）</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本项目工艺废水主要为催化剂生产过程中产生的洗盐废水，废水量为</w:t>
      </w:r>
      <w:r>
        <w:rPr>
          <w:rFonts w:hint="default" w:ascii="Times New Roman" w:hAnsi="Times New Roman" w:cs="Times New Roman"/>
          <w:color w:val="auto"/>
          <w:lang w:val="en-US" w:eastAsia="zh-CN"/>
        </w:rPr>
        <w:t>2.2852</w:t>
      </w:r>
      <w:r>
        <w:rPr>
          <w:rFonts w:hint="default" w:ascii="Times New Roman" w:hAnsi="Times New Roman" w:cs="Times New Roman"/>
          <w:color w:val="auto"/>
        </w:rPr>
        <w:t>t/d，主要污染物为pH、SS、Ni。该部分废水排入污水收集池经碱法除镍工艺处理后排入工业园区污水管网。</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镍盐配制洗涤废水处理流程如下：</w:t>
      </w:r>
    </w:p>
    <w:p>
      <w:pPr>
        <w:pStyle w:val="39"/>
        <w:bidi w:val="0"/>
        <w:jc w:val="center"/>
        <w:rPr>
          <w:rFonts w:hint="default" w:ascii="Times New Roman" w:hAnsi="Times New Roman" w:cs="Times New Roman"/>
          <w:b/>
          <w:bCs/>
          <w:color w:val="auto"/>
          <w:sz w:val="21"/>
          <w:szCs w:val="21"/>
          <w:lang w:val="en-US" w:eastAsia="zh-CN"/>
        </w:rPr>
      </w:pPr>
      <w:r>
        <w:rPr>
          <w:rFonts w:hint="default" w:ascii="Times New Roman" w:hAnsi="Times New Roman" w:eastAsia="宋体" w:cs="Times New Roman"/>
          <w:color w:val="auto"/>
          <w:lang w:eastAsia="zh-CN"/>
        </w:rPr>
        <w:drawing>
          <wp:anchor distT="0" distB="0" distL="114300" distR="114300" simplePos="0" relativeHeight="251674624" behindDoc="1" locked="0" layoutInCell="1" allowOverlap="1">
            <wp:simplePos x="0" y="0"/>
            <wp:positionH relativeFrom="column">
              <wp:posOffset>304800</wp:posOffset>
            </wp:positionH>
            <wp:positionV relativeFrom="paragraph">
              <wp:posOffset>0</wp:posOffset>
            </wp:positionV>
            <wp:extent cx="5101590" cy="3312160"/>
            <wp:effectExtent l="0" t="0" r="3810" b="0"/>
            <wp:wrapTight wrapText="bothSides">
              <wp:wrapPolygon>
                <wp:start x="0" y="0"/>
                <wp:lineTo x="0" y="21492"/>
                <wp:lineTo x="21535" y="21492"/>
                <wp:lineTo x="21535" y="0"/>
                <wp:lineTo x="0" y="0"/>
              </wp:wrapPolygon>
            </wp:wrapTight>
            <wp:docPr id="19" name="图片 19" descr="含镍废水预处理工艺及指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含镍废水预处理工艺及指标"/>
                    <pic:cNvPicPr>
                      <a:picLocks noChangeAspect="1"/>
                    </pic:cNvPicPr>
                  </pic:nvPicPr>
                  <pic:blipFill>
                    <a:blip r:embed="rId31"/>
                    <a:stretch>
                      <a:fillRect/>
                    </a:stretch>
                  </pic:blipFill>
                  <pic:spPr>
                    <a:xfrm>
                      <a:off x="0" y="0"/>
                      <a:ext cx="5101590" cy="3312160"/>
                    </a:xfrm>
                    <a:prstGeom prst="rect">
                      <a:avLst/>
                    </a:prstGeom>
                  </pic:spPr>
                </pic:pic>
              </a:graphicData>
            </a:graphic>
          </wp:anchor>
        </w:drawing>
      </w:r>
      <w:r>
        <w:rPr>
          <w:rFonts w:hint="default" w:ascii="Times New Roman" w:hAnsi="Times New Roman" w:cs="Times New Roman"/>
          <w:b/>
          <w:bCs/>
          <w:color w:val="auto"/>
          <w:sz w:val="21"/>
          <w:szCs w:val="21"/>
          <w:lang w:val="en-US" w:eastAsia="zh-CN"/>
        </w:rPr>
        <w:t>图3-1  含镍污水预处理工艺流程及处理指标图</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含镍量为0.1%</w:t>
      </w:r>
      <w:r>
        <w:rPr>
          <w:rFonts w:hint="default" w:ascii="Times New Roman" w:hAnsi="Times New Roman" w:cs="Times New Roman"/>
          <w:color w:val="auto"/>
          <w:lang w:eastAsia="zh-CN"/>
        </w:rPr>
        <w:t>（约</w:t>
      </w:r>
      <w:r>
        <w:rPr>
          <w:rFonts w:hint="default" w:ascii="Times New Roman" w:hAnsi="Times New Roman" w:cs="Times New Roman"/>
          <w:color w:val="auto"/>
          <w:lang w:val="en-US" w:eastAsia="zh-CN"/>
        </w:rPr>
        <w:t xml:space="preserve">10000 </w:t>
      </w:r>
      <w:r>
        <w:rPr>
          <w:rFonts w:hint="default" w:ascii="Times New Roman" w:hAnsi="Times New Roman" w:cs="Times New Roman"/>
          <w:color w:val="auto"/>
        </w:rPr>
        <w:t>mg/L</w:t>
      </w:r>
      <w:r>
        <w:rPr>
          <w:rFonts w:hint="default" w:ascii="Times New Roman" w:hAnsi="Times New Roman" w:cs="Times New Roman"/>
          <w:color w:val="auto"/>
          <w:lang w:eastAsia="zh-CN"/>
        </w:rPr>
        <w:t>）</w:t>
      </w:r>
      <w:r>
        <w:rPr>
          <w:rFonts w:hint="default" w:ascii="Times New Roman" w:hAnsi="Times New Roman" w:cs="Times New Roman"/>
          <w:color w:val="auto"/>
        </w:rPr>
        <w:t>的洗涤废水采用氢氧化物沉淀法进行处理。在废水中加入氢氧化钠，生成难溶的氢氧化镍沉淀，分离并回收镍。废水加碱处理后</w:t>
      </w:r>
      <w:r>
        <w:rPr>
          <w:rFonts w:hint="default" w:ascii="Times New Roman" w:hAnsi="Times New Roman" w:cs="Times New Roman"/>
          <w:color w:val="auto"/>
          <w:lang w:val="en-US" w:eastAsia="zh-CN"/>
        </w:rPr>
        <w:t>p</w:t>
      </w:r>
      <w:r>
        <w:rPr>
          <w:rFonts w:hint="default" w:ascii="Times New Roman" w:hAnsi="Times New Roman" w:cs="Times New Roman"/>
          <w:color w:val="auto"/>
        </w:rPr>
        <w:t>H值约为12，送中和槽用酸中和至PH＜9，经处理后的废液中含镍量小于</w:t>
      </w:r>
      <w:r>
        <w:rPr>
          <w:rFonts w:hint="default" w:ascii="Times New Roman" w:hAnsi="Times New Roman" w:cs="Times New Roman"/>
          <w:color w:val="auto"/>
          <w:lang w:val="en-US" w:eastAsia="zh-CN"/>
        </w:rPr>
        <w:t>1mg</w:t>
      </w:r>
      <w:r>
        <w:rPr>
          <w:rFonts w:hint="default" w:ascii="Times New Roman" w:hAnsi="Times New Roman" w:cs="Times New Roman"/>
          <w:color w:val="auto"/>
        </w:rPr>
        <w:t>/</w:t>
      </w:r>
      <w:r>
        <w:rPr>
          <w:rFonts w:hint="default" w:ascii="Times New Roman" w:hAnsi="Times New Roman" w:cs="Times New Roman"/>
          <w:color w:val="auto"/>
          <w:lang w:val="en-US" w:eastAsia="zh-CN"/>
        </w:rPr>
        <w:t>l（经小型工业试验检测，实际排放浓度0.055</w:t>
      </w:r>
      <w:r>
        <w:rPr>
          <w:rFonts w:hint="default" w:ascii="Times New Roman" w:hAnsi="Times New Roman" w:cs="Times New Roman"/>
          <w:color w:val="auto"/>
        </w:rPr>
        <w:t>mg/L</w:t>
      </w:r>
      <w:r>
        <w:rPr>
          <w:rFonts w:hint="default" w:ascii="Times New Roman" w:hAnsi="Times New Roman" w:cs="Times New Roman"/>
          <w:color w:val="auto"/>
          <w:lang w:val="en-US" w:eastAsia="zh-CN"/>
        </w:rPr>
        <w:t>）</w:t>
      </w:r>
      <w:r>
        <w:rPr>
          <w:rFonts w:hint="default" w:ascii="Times New Roman" w:hAnsi="Times New Roman" w:cs="Times New Roman"/>
          <w:color w:val="auto"/>
        </w:rPr>
        <w:t>，达到排放标准（车间处理设施排出口允许最大浓度为1mg/L）</w:t>
      </w:r>
      <w:r>
        <w:rPr>
          <w:rFonts w:hint="default" w:ascii="Times New Roman" w:hAnsi="Times New Roman" w:cs="Times New Roman"/>
          <w:color w:val="auto"/>
          <w:lang w:eastAsia="zh-CN"/>
        </w:rPr>
        <w:t>，然后</w:t>
      </w:r>
      <w:r>
        <w:rPr>
          <w:rFonts w:hint="default" w:ascii="Times New Roman" w:hAnsi="Times New Roman" w:cs="Times New Roman"/>
          <w:color w:val="auto"/>
        </w:rPr>
        <w:t>排入污水处理厂。</w:t>
      </w:r>
      <w:r>
        <w:rPr>
          <w:rFonts w:hint="default" w:ascii="Times New Roman" w:hAnsi="Times New Roman" w:cs="Times New Roman"/>
          <w:color w:val="auto"/>
          <w:lang w:val="en-US" w:eastAsia="zh-CN"/>
        </w:rPr>
        <w:t>鑫达公司的氢氧化镍沉渣经干燥后，符合中华人民共和国有色金属行业标准（粗氢氧化镍）中一等品标准（镍含量&gt;35%），详见附件。鑫达公司</w:t>
      </w:r>
      <w:r>
        <w:rPr>
          <w:rFonts w:hint="default" w:ascii="Times New Roman" w:hAnsi="Times New Roman" w:cs="Times New Roman"/>
          <w:color w:val="auto"/>
          <w:lang w:eastAsia="zh-CN"/>
        </w:rPr>
        <w:t>经过滤</w:t>
      </w:r>
      <w:r>
        <w:rPr>
          <w:rFonts w:hint="default" w:ascii="Times New Roman" w:hAnsi="Times New Roman" w:cs="Times New Roman"/>
          <w:color w:val="auto"/>
        </w:rPr>
        <w:t>干燥</w:t>
      </w:r>
      <w:r>
        <w:rPr>
          <w:rFonts w:hint="default" w:ascii="Times New Roman" w:hAnsi="Times New Roman" w:cs="Times New Roman"/>
          <w:color w:val="auto"/>
          <w:lang w:val="en-US" w:eastAsia="zh-CN"/>
        </w:rPr>
        <w:t>后的</w:t>
      </w:r>
      <w:r>
        <w:rPr>
          <w:rFonts w:hint="default" w:ascii="Times New Roman" w:hAnsi="Times New Roman" w:cs="Times New Roman"/>
          <w:color w:val="auto"/>
        </w:rPr>
        <w:t>氢氧化镍</w:t>
      </w:r>
      <w:r>
        <w:rPr>
          <w:rFonts w:hint="default" w:ascii="Times New Roman" w:hAnsi="Times New Roman" w:cs="Times New Roman"/>
          <w:color w:val="auto"/>
          <w:lang w:eastAsia="zh-CN"/>
        </w:rPr>
        <w:t>沉渣</w:t>
      </w:r>
      <w:r>
        <w:rPr>
          <w:rFonts w:hint="default" w:ascii="Times New Roman" w:hAnsi="Times New Roman" w:cs="Times New Roman"/>
          <w:color w:val="auto"/>
          <w:lang w:val="en-US" w:eastAsia="zh-CN"/>
        </w:rPr>
        <w:t>作为副产品（镍含量41.2%）外售给</w:t>
      </w:r>
      <w:r>
        <w:rPr>
          <w:rFonts w:hint="default" w:ascii="Times New Roman" w:hAnsi="Times New Roman" w:cs="Times New Roman"/>
          <w:color w:val="auto"/>
        </w:rPr>
        <w:t>硝酸镍厂家</w:t>
      </w:r>
      <w:r>
        <w:rPr>
          <w:rFonts w:hint="default" w:ascii="Times New Roman" w:hAnsi="Times New Roman" w:cs="Times New Roman"/>
          <w:color w:val="auto"/>
          <w:lang w:val="en-US" w:eastAsia="zh-CN"/>
        </w:rPr>
        <w:t>淄博超川化工有限公司，产品质量符合淄博超川化工有限公司质量要求</w:t>
      </w:r>
      <w:r>
        <w:rPr>
          <w:rFonts w:hint="default" w:ascii="Times New Roman" w:hAnsi="Times New Roman" w:cs="Times New Roman"/>
          <w:color w:val="auto"/>
        </w:rPr>
        <w:t>。</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B、设备清洗废水（W2）</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本项目加氢催化剂生产线生产需定期对制备罐进行清洗，此过程产生设备清洗废水，主要污染物为SS、Ni，根据建设单位提供技术资料，SS的产生浓度为500mg/L、Ni的产生浓度为5mg/L。</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清洗设备废水产生量</w:t>
      </w:r>
      <w:r>
        <w:rPr>
          <w:rFonts w:hint="default" w:ascii="Times New Roman" w:hAnsi="Times New Roman" w:cs="Times New Roman"/>
          <w:color w:val="auto"/>
          <w:lang w:eastAsia="zh-CN"/>
        </w:rPr>
        <w:t>约</w:t>
      </w:r>
      <w:r>
        <w:rPr>
          <w:rFonts w:hint="default" w:ascii="Times New Roman" w:hAnsi="Times New Roman" w:cs="Times New Roman"/>
          <w:color w:val="auto"/>
        </w:rPr>
        <w:t>为3.</w:t>
      </w:r>
      <w:r>
        <w:rPr>
          <w:rFonts w:hint="default" w:ascii="Times New Roman" w:hAnsi="Times New Roman" w:cs="Times New Roman"/>
          <w:color w:val="auto"/>
          <w:lang w:val="en-US" w:eastAsia="zh-CN"/>
        </w:rPr>
        <w:t>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lang w:val="en-US" w:eastAsia="zh-CN"/>
        </w:rPr>
        <w:t>/d</w:t>
      </w:r>
      <w:r>
        <w:rPr>
          <w:rFonts w:hint="default" w:ascii="Times New Roman" w:hAnsi="Times New Roman" w:cs="Times New Roman"/>
          <w:color w:val="auto"/>
        </w:rPr>
        <w:t>，由于设备清洗前绝大部分物料已从设备排出，因此，本项目设备清洗废水中SS和Ni浓度不高</w:t>
      </w:r>
      <w:r>
        <w:rPr>
          <w:rFonts w:hint="default" w:ascii="Times New Roman" w:hAnsi="Times New Roman" w:cs="Times New Roman"/>
          <w:color w:val="auto"/>
          <w:lang w:eastAsia="zh-CN"/>
        </w:rPr>
        <w:t>，</w:t>
      </w:r>
      <w:r>
        <w:rPr>
          <w:rFonts w:hint="default" w:ascii="Times New Roman" w:hAnsi="Times New Roman" w:cs="Times New Roman"/>
          <w:color w:val="auto"/>
        </w:rPr>
        <w:t>清洗</w:t>
      </w:r>
      <w:r>
        <w:rPr>
          <w:rFonts w:hint="default" w:ascii="Times New Roman" w:hAnsi="Times New Roman" w:cs="Times New Roman"/>
          <w:color w:val="auto"/>
          <w:lang w:eastAsia="zh-CN"/>
        </w:rPr>
        <w:t>废水</w:t>
      </w:r>
      <w:r>
        <w:rPr>
          <w:rFonts w:hint="default" w:ascii="Times New Roman" w:hAnsi="Times New Roman" w:cs="Times New Roman"/>
          <w:color w:val="auto"/>
        </w:rPr>
        <w:t>年</w:t>
      </w:r>
      <w:r>
        <w:rPr>
          <w:rFonts w:hint="default" w:ascii="Times New Roman" w:hAnsi="Times New Roman" w:cs="Times New Roman"/>
          <w:color w:val="auto"/>
          <w:lang w:eastAsia="zh-CN"/>
        </w:rPr>
        <w:t>排放</w:t>
      </w:r>
      <w:r>
        <w:rPr>
          <w:rFonts w:hint="default" w:ascii="Times New Roman" w:hAnsi="Times New Roman" w:cs="Times New Roman"/>
          <w:color w:val="auto"/>
        </w:rPr>
        <w:t>量为816t/a。本项目设备清洗废水排入污水收集池经碱法除镍工艺处理后排入工业园区污水管网送巴陵石化污水处理厂进一步处理。</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C、地面清洗废水（W3）</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本项目生产装置区地面面积为600m</w:t>
      </w:r>
      <w:r>
        <w:rPr>
          <w:rFonts w:hint="default" w:ascii="Times New Roman" w:hAnsi="Times New Roman" w:cs="Times New Roman"/>
          <w:color w:val="auto"/>
          <w:vertAlign w:val="superscript"/>
        </w:rPr>
        <w:t>2</w:t>
      </w:r>
      <w:r>
        <w:rPr>
          <w:rFonts w:hint="default" w:ascii="Times New Roman" w:hAnsi="Times New Roman" w:cs="Times New Roman"/>
          <w:color w:val="auto"/>
        </w:rPr>
        <w:t>，参考《建筑给排水设计规范》（GBGB 50015-2003）（2009年版），地面清洗用水量约为3L/m</w:t>
      </w:r>
      <w:r>
        <w:rPr>
          <w:rFonts w:hint="default" w:ascii="Times New Roman" w:hAnsi="Times New Roman" w:cs="Times New Roman"/>
          <w:color w:val="auto"/>
          <w:vertAlign w:val="superscript"/>
        </w:rPr>
        <w:t>2</w:t>
      </w:r>
      <w:r>
        <w:rPr>
          <w:rFonts w:hint="default" w:ascii="Times New Roman" w:hAnsi="Times New Roman" w:cs="Times New Roman"/>
          <w:color w:val="auto"/>
        </w:rPr>
        <w:t>·次，车间地面平均每月清洗1次，清洗用水量为</w:t>
      </w:r>
      <w:r>
        <w:rPr>
          <w:rFonts w:hint="default" w:ascii="Times New Roman" w:hAnsi="Times New Roman" w:cs="Times New Roman"/>
          <w:color w:val="auto"/>
          <w:lang w:val="en-US" w:eastAsia="zh-CN"/>
        </w:rPr>
        <w:t>18.36</w:t>
      </w:r>
      <w:r>
        <w:rPr>
          <w:rFonts w:hint="default" w:ascii="Times New Roman" w:hAnsi="Times New Roman" w:cs="Times New Roman"/>
          <w:color w:val="auto"/>
        </w:rPr>
        <w:t>t/a（1.</w:t>
      </w:r>
      <w:r>
        <w:rPr>
          <w:rFonts w:hint="default" w:ascii="Times New Roman" w:hAnsi="Times New Roman" w:cs="Times New Roman"/>
          <w:color w:val="auto"/>
          <w:lang w:val="en-US" w:eastAsia="zh-CN"/>
        </w:rPr>
        <w:t>5</w:t>
      </w:r>
      <w:r>
        <w:rPr>
          <w:rFonts w:hint="default" w:ascii="Times New Roman" w:hAnsi="Times New Roman" w:cs="Times New Roman"/>
          <w:color w:val="auto"/>
        </w:rPr>
        <w:t>t/次），地面清洗废水排放量为18t/a，主要污染物为SS，产生浓度约为500mg/L。地面清洗废水排入污水收集池，经碱法除镍工艺处理后排入工业园区污水管网送巴陵石化污水处理厂进一步处理。</w:t>
      </w:r>
    </w:p>
    <w:p>
      <w:pPr>
        <w:pStyle w:val="3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w:t>
      </w:r>
      <w:r>
        <w:rPr>
          <w:rFonts w:hint="default" w:ascii="Times New Roman" w:hAnsi="Times New Roman" w:cs="Times New Roman"/>
          <w:b/>
          <w:bCs/>
          <w:color w:val="auto"/>
          <w:kern w:val="2"/>
          <w:sz w:val="21"/>
          <w:szCs w:val="21"/>
          <w:lang w:val="en-US" w:eastAsia="zh-CN" w:bidi="ar-SA"/>
        </w:rPr>
        <w:t>3-20</w:t>
      </w:r>
      <w:r>
        <w:rPr>
          <w:rFonts w:hint="default" w:ascii="Times New Roman" w:hAnsi="Times New Roman" w:eastAsia="宋体" w:cs="Times New Roman"/>
          <w:b/>
          <w:bCs/>
          <w:color w:val="auto"/>
          <w:kern w:val="2"/>
          <w:sz w:val="21"/>
          <w:szCs w:val="21"/>
          <w:lang w:val="en-US" w:eastAsia="zh-CN" w:bidi="ar-SA"/>
        </w:rPr>
        <w:t xml:space="preserve">  本项目工艺废水排放汇总表</w:t>
      </w:r>
    </w:p>
    <w:tbl>
      <w:tblPr>
        <w:tblStyle w:val="24"/>
        <w:tblW w:w="88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7" w:type="dxa"/>
          <w:bottom w:w="0" w:type="dxa"/>
          <w:right w:w="17" w:type="dxa"/>
        </w:tblCellMar>
      </w:tblPr>
      <w:tblGrid>
        <w:gridCol w:w="1637"/>
        <w:gridCol w:w="1853"/>
        <w:gridCol w:w="1333"/>
        <w:gridCol w:w="1333"/>
        <w:gridCol w:w="1333"/>
        <w:gridCol w:w="13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567" w:hRule="exact"/>
          <w:tblHeader/>
          <w:jc w:val="center"/>
        </w:trPr>
        <w:tc>
          <w:tcPr>
            <w:tcW w:w="163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    目</w:t>
            </w:r>
          </w:p>
        </w:tc>
        <w:tc>
          <w:tcPr>
            <w:tcW w:w="185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133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133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133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Ni</w:t>
            </w:r>
          </w:p>
        </w:tc>
        <w:tc>
          <w:tcPr>
            <w:tcW w:w="133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石油类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567" w:hRule="exact"/>
          <w:tblHeader/>
          <w:jc w:val="center"/>
        </w:trPr>
        <w:tc>
          <w:tcPr>
            <w:tcW w:w="1637"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工艺废水</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1538.1</w:t>
            </w:r>
            <w:r>
              <w:rPr>
                <w:rFonts w:hint="default" w:ascii="Times New Roman" w:hAnsi="Times New Roman" w:cs="Times New Roman"/>
                <w:color w:val="auto"/>
                <w:sz w:val="21"/>
                <w:szCs w:val="21"/>
              </w:rPr>
              <w:t>t/a）</w:t>
            </w:r>
          </w:p>
        </w:tc>
        <w:tc>
          <w:tcPr>
            <w:tcW w:w="185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产生浓度（mg/l）</w:t>
            </w:r>
          </w:p>
        </w:tc>
        <w:tc>
          <w:tcPr>
            <w:tcW w:w="133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400</w:t>
            </w:r>
          </w:p>
        </w:tc>
        <w:tc>
          <w:tcPr>
            <w:tcW w:w="133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500</w:t>
            </w:r>
          </w:p>
        </w:tc>
        <w:tc>
          <w:tcPr>
            <w:tcW w:w="133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5</w:t>
            </w:r>
          </w:p>
        </w:tc>
        <w:tc>
          <w:tcPr>
            <w:tcW w:w="133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567" w:hRule="exact"/>
          <w:tblHeader/>
          <w:jc w:val="center"/>
        </w:trPr>
        <w:tc>
          <w:tcPr>
            <w:tcW w:w="1637"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85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产生量（t/a）</w:t>
            </w:r>
          </w:p>
        </w:tc>
        <w:tc>
          <w:tcPr>
            <w:tcW w:w="133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0.61524</w:t>
            </w:r>
          </w:p>
        </w:tc>
        <w:tc>
          <w:tcPr>
            <w:tcW w:w="133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0.76905</w:t>
            </w:r>
          </w:p>
        </w:tc>
        <w:tc>
          <w:tcPr>
            <w:tcW w:w="133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0.0076905</w:t>
            </w:r>
          </w:p>
        </w:tc>
        <w:tc>
          <w:tcPr>
            <w:tcW w:w="133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0.0007691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567" w:hRule="exact"/>
          <w:jc w:val="center"/>
        </w:trPr>
        <w:tc>
          <w:tcPr>
            <w:tcW w:w="1637"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85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排放浓度（mg/l）</w:t>
            </w:r>
          </w:p>
        </w:tc>
        <w:tc>
          <w:tcPr>
            <w:tcW w:w="133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200</w:t>
            </w:r>
          </w:p>
        </w:tc>
        <w:tc>
          <w:tcPr>
            <w:tcW w:w="133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100</w:t>
            </w:r>
          </w:p>
        </w:tc>
        <w:tc>
          <w:tcPr>
            <w:tcW w:w="133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w:t>
            </w:r>
          </w:p>
        </w:tc>
        <w:tc>
          <w:tcPr>
            <w:tcW w:w="133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567" w:hRule="exact"/>
          <w:jc w:val="center"/>
        </w:trPr>
        <w:tc>
          <w:tcPr>
            <w:tcW w:w="1637"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85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排放量（t/a）</w:t>
            </w:r>
          </w:p>
        </w:tc>
        <w:tc>
          <w:tcPr>
            <w:tcW w:w="133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0.30762</w:t>
            </w:r>
          </w:p>
        </w:tc>
        <w:tc>
          <w:tcPr>
            <w:tcW w:w="133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0.15381</w:t>
            </w:r>
          </w:p>
        </w:tc>
        <w:tc>
          <w:tcPr>
            <w:tcW w:w="133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≦0.0015381</w:t>
            </w:r>
          </w:p>
        </w:tc>
        <w:tc>
          <w:tcPr>
            <w:tcW w:w="133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0.0003076</w:t>
            </w:r>
          </w:p>
        </w:tc>
      </w:tr>
    </w:tbl>
    <w:p>
      <w:pPr>
        <w:pStyle w:val="39"/>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color w:val="auto"/>
        </w:rPr>
      </w:pPr>
      <w:r>
        <w:rPr>
          <w:rFonts w:hint="default" w:ascii="Times New Roman" w:hAnsi="Times New Roman" w:cs="Times New Roman"/>
          <w:color w:val="auto"/>
        </w:rPr>
        <w:t>2）生活污水（W4）</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本项目不新增劳动定员，项目建成后，全厂生活污水量仍为391.68t/a，主要污染物为COD、BOD5、NH3-N、SS，生活污水经化粪池处理后，经厂区污水管道进入巴陵石化污水处理厂处理达标后外排至长江。</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3）初期雨水（W5）</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本项目主要利用厂区内现有成品库、原辅材料库、生产区和辅助生产区及生活区，不新增占地面积，因此，本工程后，初期雨水量不变，仍为489m</w:t>
      </w:r>
      <w:r>
        <w:rPr>
          <w:rFonts w:hint="default" w:ascii="Times New Roman" w:hAnsi="Times New Roman" w:cs="Times New Roman"/>
          <w:color w:val="auto"/>
          <w:vertAlign w:val="superscript"/>
        </w:rPr>
        <w:t>3</w:t>
      </w:r>
      <w:r>
        <w:rPr>
          <w:rFonts w:hint="default" w:ascii="Times New Roman" w:hAnsi="Times New Roman" w:cs="Times New Roman"/>
          <w:color w:val="auto"/>
        </w:rPr>
        <w:t>/a，主要污染物为COD、SS，其中SS浓度一般在100</w:t>
      </w:r>
      <w:r>
        <w:rPr>
          <w:rFonts w:hint="default" w:ascii="Times New Roman" w:hAnsi="Times New Roman" w:cs="Times New Roman"/>
          <w:color w:val="auto"/>
          <w:lang w:eastAsia="zh-CN"/>
        </w:rPr>
        <w:t>~</w:t>
      </w:r>
      <w:r>
        <w:rPr>
          <w:rFonts w:hint="default" w:ascii="Times New Roman" w:hAnsi="Times New Roman" w:cs="Times New Roman"/>
          <w:color w:val="auto"/>
        </w:rPr>
        <w:t>200mg/L，COD浓度一般在150</w:t>
      </w:r>
      <w:r>
        <w:rPr>
          <w:rFonts w:hint="default" w:ascii="Times New Roman" w:hAnsi="Times New Roman" w:cs="Times New Roman"/>
          <w:color w:val="auto"/>
          <w:lang w:eastAsia="zh-CN"/>
        </w:rPr>
        <w:t>~</w:t>
      </w:r>
      <w:r>
        <w:rPr>
          <w:rFonts w:hint="default" w:ascii="Times New Roman" w:hAnsi="Times New Roman" w:cs="Times New Roman"/>
          <w:color w:val="auto"/>
        </w:rPr>
        <w:t>300mg/L。初期雨水经</w:t>
      </w:r>
      <w:r>
        <w:rPr>
          <w:rFonts w:hint="default" w:ascii="Times New Roman" w:hAnsi="Times New Roman" w:cs="Times New Roman"/>
          <w:color w:val="auto"/>
          <w:lang w:eastAsia="zh-CN"/>
        </w:rPr>
        <w:t>阀门切换排入暗沟</w:t>
      </w:r>
      <w:r>
        <w:rPr>
          <w:rFonts w:hint="default" w:ascii="Times New Roman" w:hAnsi="Times New Roman" w:cs="Times New Roman"/>
          <w:color w:val="auto"/>
        </w:rPr>
        <w:t>，通过工业园污水管网排入巴陵石化公司污水处理厂进行处理，达标后排入长江。后期的清净雨水通过阀门切换进入园区雨水管道，最终汇入长江。</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本项目厂区露天硬质地面产生初期雨水收集后进入巴陵石化污水处理厂，项目初期雨水量约6.3m</w:t>
      </w:r>
      <w:r>
        <w:rPr>
          <w:rFonts w:hint="default" w:ascii="Times New Roman" w:hAnsi="Times New Roman" w:cs="Times New Roman"/>
          <w:color w:val="auto"/>
          <w:vertAlign w:val="superscript"/>
        </w:rPr>
        <w:t>3</w:t>
      </w:r>
      <w:r>
        <w:rPr>
          <w:rFonts w:hint="default" w:ascii="Times New Roman" w:hAnsi="Times New Roman" w:cs="Times New Roman"/>
          <w:color w:val="auto"/>
        </w:rPr>
        <w:t>/次，则年初期雨水量约为489m</w:t>
      </w:r>
      <w:r>
        <w:rPr>
          <w:rFonts w:hint="default" w:ascii="Times New Roman" w:hAnsi="Times New Roman" w:cs="Times New Roman"/>
          <w:color w:val="auto"/>
          <w:vertAlign w:val="superscript"/>
        </w:rPr>
        <w:t>3</w:t>
      </w:r>
      <w:r>
        <w:rPr>
          <w:rFonts w:hint="default" w:ascii="Times New Roman" w:hAnsi="Times New Roman" w:cs="Times New Roman"/>
          <w:color w:val="auto"/>
        </w:rPr>
        <w:t>。后期的清洁雨水通过关闭污水阀，打开明沟清水阀排入明沟至</w:t>
      </w:r>
      <w:r>
        <w:rPr>
          <w:rFonts w:hint="default" w:ascii="Times New Roman" w:hAnsi="Times New Roman" w:cs="Times New Roman"/>
          <w:color w:val="auto"/>
          <w:lang w:eastAsia="zh-CN"/>
        </w:rPr>
        <w:t>松杨湖</w:t>
      </w:r>
      <w:r>
        <w:rPr>
          <w:rFonts w:hint="default" w:ascii="Times New Roman" w:hAnsi="Times New Roman" w:cs="Times New Roman"/>
          <w:color w:val="auto"/>
        </w:rPr>
        <w:t>。</w:t>
      </w:r>
    </w:p>
    <w:p>
      <w:pPr>
        <w:pStyle w:val="7"/>
        <w:keepNext w:val="0"/>
        <w:keepLines w:val="0"/>
        <w:pageBreakBefore w:val="0"/>
        <w:widowControl w:val="0"/>
        <w:kinsoku/>
        <w:wordWrap/>
        <w:overflowPunct/>
        <w:topLinePunct w:val="0"/>
        <w:autoSpaceDE/>
        <w:autoSpaceDN/>
        <w:bidi w:val="0"/>
        <w:adjustRightInd w:val="0"/>
        <w:snapToGrid w:val="0"/>
        <w:spacing w:beforeLines="0" w:afterLines="0"/>
        <w:textAlignment w:val="auto"/>
        <w:outlineLvl w:val="3"/>
        <w:rPr>
          <w:rFonts w:hint="default" w:ascii="Times New Roman" w:hAnsi="Times New Roman" w:cs="Times New Roman"/>
          <w:color w:val="auto"/>
        </w:rPr>
      </w:pPr>
      <w:r>
        <w:rPr>
          <w:rFonts w:hint="default" w:ascii="Times New Roman" w:hAnsi="Times New Roman" w:cs="Times New Roman"/>
          <w:color w:val="auto"/>
        </w:rPr>
        <w:t>固废处置措施</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本工程利用现有</w:t>
      </w:r>
      <w:r>
        <w:rPr>
          <w:rFonts w:hint="default" w:ascii="Times New Roman" w:hAnsi="Times New Roman" w:cs="Times New Roman"/>
          <w:color w:val="auto"/>
          <w:lang w:val="en-US" w:eastAsia="zh-CN"/>
        </w:rPr>
        <w:t>30m2的</w:t>
      </w:r>
      <w:r>
        <w:rPr>
          <w:rFonts w:hint="default" w:ascii="Times New Roman" w:hAnsi="Times New Roman" w:cs="Times New Roman"/>
          <w:color w:val="auto"/>
        </w:rPr>
        <w:t>固废暂存措施，危废固废集中收集定期交有资质单位处理；废包装材料作为一般工业固废，一般外售或返回厂家综合利用；生活垃圾交由环卫部门清运，符合固体废物安全处理处置的管理要求。</w:t>
      </w:r>
    </w:p>
    <w:p>
      <w:pPr>
        <w:pStyle w:val="7"/>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rPr>
      </w:pPr>
      <w:r>
        <w:rPr>
          <w:rFonts w:hint="default" w:ascii="Times New Roman" w:hAnsi="Times New Roman" w:cs="Times New Roman"/>
          <w:color w:val="auto"/>
        </w:rPr>
        <w:t>噪声防治措施</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本项目的噪声主要来源于生产装置区各设备的搅拌机、泵、风机产生的噪声。采用低噪声设备，并采取基础减振、厂房隔声等降噪措施。</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rPr>
      </w:pPr>
      <w:bookmarkStart w:id="308" w:name="_Toc4941"/>
      <w:r>
        <w:rPr>
          <w:rFonts w:hint="default" w:ascii="Times New Roman" w:hAnsi="Times New Roman" w:cs="Times New Roman"/>
          <w:color w:val="auto"/>
        </w:rPr>
        <w:t>总平面布置</w:t>
      </w:r>
      <w:bookmarkEnd w:id="308"/>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 xml:space="preserve">本项目为扩建项目，主要利用湖南岳阳绿色化工产业园云溪片区岳阳鑫达实业有限公司现有生产装置区、辅助生产区及办公生活区，不新增占地面积及建筑面积，现有总平面布置分为生活区、生产区、仓库区等，均已建成投用。 </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本项目生产装置区位于氯化锂、TNP生产厂区北侧闲置房。本项目总平面布置见图</w:t>
      </w:r>
      <w:r>
        <w:rPr>
          <w:rFonts w:hint="default" w:ascii="Times New Roman" w:hAnsi="Times New Roman" w:cs="Times New Roman"/>
          <w:color w:val="auto"/>
          <w:lang w:val="en-US" w:eastAsia="zh-CN"/>
        </w:rPr>
        <w:t xml:space="preserve"> 3</w:t>
      </w: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w:t>
      </w:r>
    </w:p>
    <w:p>
      <w:pPr>
        <w:pStyle w:val="39"/>
        <w:bidi w:val="0"/>
        <w:ind w:left="0" w:leftChars="0" w:firstLine="0" w:firstLineChars="0"/>
        <w:jc w:val="both"/>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667456" behindDoc="0" locked="0" layoutInCell="1" allowOverlap="1">
                <wp:simplePos x="0" y="0"/>
                <wp:positionH relativeFrom="column">
                  <wp:posOffset>3783965</wp:posOffset>
                </wp:positionH>
                <wp:positionV relativeFrom="paragraph">
                  <wp:posOffset>901700</wp:posOffset>
                </wp:positionV>
                <wp:extent cx="967740" cy="461645"/>
                <wp:effectExtent l="496570" t="13970" r="21590" b="114935"/>
                <wp:wrapNone/>
                <wp:docPr id="167" name="自选图形 17"/>
                <wp:cNvGraphicFramePr/>
                <a:graphic xmlns:a="http://schemas.openxmlformats.org/drawingml/2006/main">
                  <a:graphicData uri="http://schemas.microsoft.com/office/word/2010/wordprocessingShape">
                    <wps:wsp>
                      <wps:cNvSpPr/>
                      <wps:spPr>
                        <a:xfrm>
                          <a:off x="0" y="0"/>
                          <a:ext cx="967740" cy="461645"/>
                        </a:xfrm>
                        <a:prstGeom prst="borderCallout1">
                          <a:avLst>
                            <a:gd name="adj1" fmla="val 18750"/>
                            <a:gd name="adj2" fmla="val -8333"/>
                            <a:gd name="adj3" fmla="val 119065"/>
                            <a:gd name="adj4" fmla="val -50208"/>
                          </a:avLst>
                        </a:prstGeom>
                        <a:solidFill>
                          <a:schemeClr val="bg1"/>
                        </a:solidFill>
                        <a:ln w="28575" cap="flat" cmpd="sng">
                          <a:solidFill>
                            <a:srgbClr val="FF0000"/>
                          </a:solidFill>
                          <a:prstDash val="solid"/>
                          <a:miter/>
                          <a:headEnd type="none" w="med" len="med"/>
                          <a:tailEnd type="none" w="med" len="med"/>
                        </a:ln>
                      </wps:spPr>
                      <wps:txbx>
                        <w:txbxContent>
                          <w:p>
                            <w:pPr>
                              <w:rPr>
                                <w:b/>
                              </w:rPr>
                            </w:pPr>
                            <w:r>
                              <w:rPr>
                                <w:b/>
                              </w:rPr>
                              <w:t>本项目拟建地</w:t>
                            </w:r>
                          </w:p>
                        </w:txbxContent>
                      </wps:txbx>
                      <wps:bodyPr upright="1"/>
                    </wps:wsp>
                  </a:graphicData>
                </a:graphic>
              </wp:anchor>
            </w:drawing>
          </mc:Choice>
          <mc:Fallback>
            <w:pict>
              <v:shape id="自选图形 17" o:spid="_x0000_s1026" o:spt="47" type="#_x0000_t47" style="position:absolute;left:0pt;margin-left:297.95pt;margin-top:71pt;height:36.35pt;width:76.2pt;z-index:251667456;mso-width-relative:page;mso-height-relative:page;" fillcolor="#FFFFFF [3212]" filled="t" stroked="t" coordsize="21600,21600" o:gfxdata="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U4BALaAAAA&#10;CwEAAA8AAAAAAAAAAQAgAAAAIgAAAGRycy9kb3ducmV2LnhtbFBLAQIUABQAAAAIAIdO4kBs4Kfn&#10;VAIAANcEAAAOAAAAAAAAAAEAIAAAACkBAABkcnMvZTJvRG9jLnhtbFBLBQYAAAAABgAGAFkBAADv&#10;BQAAAAA=&#10;" adj="-10845,25718,-1800,4050">
                <v:fill on="t" focussize="0,0"/>
                <v:stroke weight="2.25pt" color="#FF0000" joinstyle="miter"/>
                <v:imagedata o:title=""/>
                <o:lock v:ext="edit" aspectratio="f"/>
                <v:textbox>
                  <w:txbxContent>
                    <w:p>
                      <w:pPr>
                        <w:rPr>
                          <w:b/>
                        </w:rPr>
                      </w:pPr>
                      <w:r>
                        <w:rPr>
                          <w:b/>
                        </w:rPr>
                        <w:t>本项目拟建地</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66432" behindDoc="0" locked="0" layoutInCell="1" allowOverlap="1">
                <wp:simplePos x="0" y="0"/>
                <wp:positionH relativeFrom="column">
                  <wp:posOffset>3120390</wp:posOffset>
                </wp:positionH>
                <wp:positionV relativeFrom="paragraph">
                  <wp:posOffset>1344295</wp:posOffset>
                </wp:positionV>
                <wp:extent cx="276225" cy="329565"/>
                <wp:effectExtent l="12065" t="19050" r="16510" b="32385"/>
                <wp:wrapNone/>
                <wp:docPr id="166" name="自选图形 16"/>
                <wp:cNvGraphicFramePr/>
                <a:graphic xmlns:a="http://schemas.openxmlformats.org/drawingml/2006/main">
                  <a:graphicData uri="http://schemas.microsoft.com/office/word/2010/wordprocessingShape">
                    <wps:wsp>
                      <wps:cNvSpPr/>
                      <wps:spPr>
                        <a:xfrm>
                          <a:off x="0" y="0"/>
                          <a:ext cx="276225" cy="329565"/>
                        </a:xfrm>
                        <a:prstGeom prst="star5">
                          <a:avLst/>
                        </a:prstGeom>
                        <a:solidFill>
                          <a:srgbClr val="FF0000"/>
                        </a:solidFill>
                        <a:ln w="9525" cap="flat" cmpd="sng">
                          <a:solidFill>
                            <a:srgbClr val="FF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自选图形 16" o:spid="_x0000_s1026" style="position:absolute;left:0pt;margin-left:245.7pt;margin-top:105.85pt;height:25.95pt;width:21.75pt;z-index:251666432;mso-width-relative:page;mso-height-relative:page;" fillcolor="#FF0000" filled="t" stroked="t" coordsize="276225,329565" o:gfxdata="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OUZz2wAAAAsBAAAPAAAAAAAAAAEA&#10;IAAAACIAAABkcnMvZG93bnJldi54bWxQSwECFAAUAAAACACHTuJADr3+7AwCAAAyBAAADgAAAAAA&#10;AAABACAAAAAqAQAAZHJzL2Uyb0RvYy54bWxQSwUGAAAAAAYABgBZAQAAqAUAAAAA&#10;" path="m0,125882l105509,125883,138112,0,170715,125883,276224,125882,190865,203681,223470,329564,138112,251763,52754,329564,85359,203681xe">
                <v:path textboxrect="0,0,276225,329565" o:connectlocs="138112,0;0,125882;52754,329564;223470,329564;276224,125882" o:connectangles="247,164,82,82,0"/>
                <v:fill on="t" focussize="0,0"/>
                <v:stroke color="#FF0000" joinstyle="miter"/>
                <v:imagedata o:title=""/>
                <o:lock v:ext="edit" aspectratio="f"/>
                <v:textbox>
                  <w:txbxContent>
                    <w:p>
                      <w:pPr>
                        <w:jc w:val="center"/>
                      </w:pPr>
                    </w:p>
                  </w:txbxContent>
                </v:textbox>
              </v:shape>
            </w:pict>
          </mc:Fallback>
        </mc:AlternateContent>
      </w:r>
      <w:r>
        <w:rPr>
          <w:rFonts w:hint="default" w:ascii="Times New Roman" w:hAnsi="Times New Roman" w:cs="Times New Roman"/>
          <w:color w:val="auto"/>
        </w:rPr>
        <w:drawing>
          <wp:inline distT="0" distB="0" distL="114300" distR="114300">
            <wp:extent cx="5271135" cy="5582285"/>
            <wp:effectExtent l="0" t="0" r="5715" b="1841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32"/>
                    <a:stretch>
                      <a:fillRect/>
                    </a:stretch>
                  </pic:blipFill>
                  <pic:spPr>
                    <a:xfrm>
                      <a:off x="0" y="0"/>
                      <a:ext cx="5271135" cy="5582285"/>
                    </a:xfrm>
                    <a:prstGeom prst="rect">
                      <a:avLst/>
                    </a:prstGeom>
                    <a:noFill/>
                    <a:ln w="9525">
                      <a:noFill/>
                    </a:ln>
                  </pic:spPr>
                </pic:pic>
              </a:graphicData>
            </a:graphic>
          </wp:inline>
        </w:drawing>
      </w:r>
    </w:p>
    <w:p>
      <w:pPr>
        <w:pStyle w:val="14"/>
        <w:bidi w:val="0"/>
        <w:rPr>
          <w:rFonts w:hint="default" w:ascii="Times New Roman" w:hAnsi="Times New Roman" w:cs="Times New Roman"/>
          <w:color w:val="auto"/>
        </w:rPr>
      </w:pPr>
      <w:r>
        <w:rPr>
          <w:rFonts w:hint="default" w:ascii="Times New Roman" w:hAnsi="Times New Roman" w:cs="Times New Roman"/>
          <w:color w:val="auto"/>
        </w:rPr>
        <w:t xml:space="preserve">图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图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本</w:t>
      </w:r>
      <w:r>
        <w:rPr>
          <w:rFonts w:hint="default" w:ascii="Times New Roman" w:hAnsi="Times New Roman" w:cs="Times New Roman"/>
          <w:color w:val="auto"/>
        </w:rPr>
        <w:t>项目总平面布置图</w:t>
      </w:r>
    </w:p>
    <w:p>
      <w:pPr>
        <w:pStyle w:val="39"/>
        <w:bidi w:val="0"/>
        <w:rPr>
          <w:rFonts w:hint="default" w:ascii="Times New Roman" w:hAnsi="Times New Roman" w:cs="Times New Roman"/>
          <w:color w:val="auto"/>
        </w:rPr>
      </w:pP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rPr>
      </w:pPr>
      <w:bookmarkStart w:id="309" w:name="_Toc16319"/>
      <w:r>
        <w:rPr>
          <w:rFonts w:hint="default" w:ascii="Times New Roman" w:hAnsi="Times New Roman" w:cs="Times New Roman"/>
          <w:color w:val="auto"/>
        </w:rPr>
        <w:t>工作制度与劳动定员</w:t>
      </w:r>
      <w:bookmarkEnd w:id="309"/>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本项目不新增劳动定员，全厂现有职工总人数17人。本项目工作制度为三班制，每班8小时，年工作天数为300天。</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rPr>
      </w:pPr>
      <w:bookmarkStart w:id="310" w:name="_Toc15383"/>
      <w:r>
        <w:rPr>
          <w:rFonts w:hint="default" w:ascii="Times New Roman" w:hAnsi="Times New Roman" w:cs="Times New Roman"/>
          <w:color w:val="auto"/>
        </w:rPr>
        <w:t>建设周期</w:t>
      </w:r>
      <w:bookmarkEnd w:id="310"/>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sectPr>
          <w:pgSz w:w="11905" w:h="16838"/>
          <w:pgMar w:top="1417" w:right="1417" w:bottom="1134" w:left="1701" w:header="850" w:footer="992" w:gutter="0"/>
          <w:pgBorders>
            <w:top w:val="none" w:sz="0" w:space="0"/>
            <w:left w:val="none" w:sz="0" w:space="0"/>
            <w:bottom w:val="none" w:sz="0" w:space="0"/>
            <w:right w:val="none" w:sz="0" w:space="0"/>
          </w:pgBorders>
          <w:pgNumType w:fmt="decimal"/>
          <w:cols w:space="0" w:num="1"/>
          <w:rtlGutter w:val="0"/>
          <w:docGrid w:linePitch="312" w:charSpace="0"/>
        </w:sectPr>
      </w:pPr>
      <w:bookmarkStart w:id="311" w:name="_Toc19064"/>
      <w:bookmarkStart w:id="312" w:name="_Toc10292"/>
      <w:r>
        <w:rPr>
          <w:rFonts w:hint="default" w:ascii="Times New Roman" w:hAnsi="Times New Roman" w:cs="Times New Roman"/>
          <w:color w:val="auto"/>
        </w:rPr>
        <w:t>本项目计划于202</w:t>
      </w:r>
      <w:r>
        <w:rPr>
          <w:rFonts w:hint="default" w:ascii="Times New Roman" w:hAnsi="Times New Roman" w:cs="Times New Roman"/>
          <w:color w:val="auto"/>
          <w:lang w:val="en-US" w:eastAsia="zh-CN"/>
        </w:rPr>
        <w:t>1</w:t>
      </w:r>
      <w:r>
        <w:rPr>
          <w:rFonts w:hint="default" w:ascii="Times New Roman" w:hAnsi="Times New Roman" w:cs="Times New Roman"/>
          <w:color w:val="auto"/>
        </w:rPr>
        <w:t>年</w:t>
      </w:r>
      <w:r>
        <w:rPr>
          <w:rFonts w:hint="default" w:ascii="Times New Roman" w:hAnsi="Times New Roman" w:cs="Times New Roman"/>
          <w:color w:val="auto"/>
          <w:lang w:val="en-US" w:eastAsia="zh-CN"/>
        </w:rPr>
        <w:t>3</w:t>
      </w:r>
      <w:r>
        <w:rPr>
          <w:rFonts w:hint="default" w:ascii="Times New Roman" w:hAnsi="Times New Roman" w:cs="Times New Roman"/>
          <w:color w:val="auto"/>
        </w:rPr>
        <w:t>月开工，到202</w:t>
      </w:r>
      <w:r>
        <w:rPr>
          <w:rFonts w:hint="default" w:ascii="Times New Roman" w:hAnsi="Times New Roman" w:cs="Times New Roman"/>
          <w:color w:val="auto"/>
          <w:lang w:val="en-US" w:eastAsia="zh-CN"/>
        </w:rPr>
        <w:t>1</w:t>
      </w:r>
      <w:r>
        <w:rPr>
          <w:rFonts w:hint="default" w:ascii="Times New Roman" w:hAnsi="Times New Roman" w:cs="Times New Roman"/>
          <w:color w:val="auto"/>
        </w:rPr>
        <w:t>年</w:t>
      </w:r>
      <w:r>
        <w:rPr>
          <w:rFonts w:hint="default" w:ascii="Times New Roman" w:hAnsi="Times New Roman" w:cs="Times New Roman"/>
          <w:color w:val="auto"/>
          <w:lang w:val="en-US" w:eastAsia="zh-CN"/>
        </w:rPr>
        <w:t>5</w:t>
      </w:r>
      <w:r>
        <w:rPr>
          <w:rFonts w:hint="default" w:ascii="Times New Roman" w:hAnsi="Times New Roman" w:cs="Times New Roman"/>
          <w:color w:val="auto"/>
        </w:rPr>
        <w:t>月投入生产，建设周期为</w:t>
      </w:r>
      <w:r>
        <w:rPr>
          <w:rFonts w:hint="default" w:ascii="Times New Roman" w:hAnsi="Times New Roman" w:cs="Times New Roman"/>
          <w:color w:val="auto"/>
          <w:lang w:val="en-US" w:eastAsia="zh-CN"/>
        </w:rPr>
        <w:t>2</w:t>
      </w:r>
      <w:r>
        <w:rPr>
          <w:rFonts w:hint="default" w:ascii="Times New Roman" w:hAnsi="Times New Roman" w:cs="Times New Roman"/>
          <w:color w:val="auto"/>
        </w:rPr>
        <w:t>个月。</w:t>
      </w:r>
    </w:p>
    <w:p>
      <w:pPr>
        <w:pStyle w:val="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cs="Times New Roman"/>
          <w:color w:val="auto"/>
          <w:sz w:val="44"/>
          <w:szCs w:val="44"/>
          <w:highlight w:val="none"/>
        </w:rPr>
      </w:pPr>
      <w:bookmarkStart w:id="313" w:name="_Toc27087"/>
      <w:bookmarkStart w:id="314" w:name="_Toc8645"/>
      <w:bookmarkStart w:id="315" w:name="_Toc1842"/>
      <w:r>
        <w:rPr>
          <w:rFonts w:hint="default" w:ascii="Times New Roman" w:hAnsi="Times New Roman" w:cs="Times New Roman"/>
          <w:color w:val="auto"/>
          <w:sz w:val="44"/>
          <w:szCs w:val="44"/>
          <w:highlight w:val="none"/>
        </w:rPr>
        <w:t>工程分析</w:t>
      </w:r>
      <w:bookmarkEnd w:id="311"/>
      <w:bookmarkEnd w:id="312"/>
      <w:bookmarkEnd w:id="313"/>
      <w:bookmarkEnd w:id="314"/>
      <w:bookmarkEnd w:id="315"/>
    </w:p>
    <w:p>
      <w:pPr>
        <w:pStyle w:val="4"/>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rPr>
      </w:pPr>
      <w:bookmarkStart w:id="316" w:name="_Toc14509"/>
      <w:bookmarkStart w:id="317" w:name="_Toc23595"/>
      <w:bookmarkStart w:id="318" w:name="_Toc15784"/>
      <w:bookmarkStart w:id="319" w:name="_Toc21997"/>
      <w:r>
        <w:rPr>
          <w:rFonts w:hint="default" w:ascii="Times New Roman" w:hAnsi="Times New Roman" w:cs="Times New Roman"/>
          <w:color w:val="auto"/>
        </w:rPr>
        <w:t>工艺流程</w:t>
      </w:r>
      <w:bookmarkEnd w:id="316"/>
      <w:bookmarkEnd w:id="317"/>
      <w:r>
        <w:rPr>
          <w:rFonts w:hint="default" w:ascii="Times New Roman" w:hAnsi="Times New Roman" w:cs="Times New Roman"/>
          <w:color w:val="auto"/>
        </w:rPr>
        <w:t>简述及产污环节</w:t>
      </w:r>
      <w:bookmarkEnd w:id="318"/>
      <w:bookmarkEnd w:id="319"/>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本项目设置一条加氢催化剂生产线，主要产品</w:t>
      </w:r>
      <w:r>
        <w:rPr>
          <w:rFonts w:hint="default" w:ascii="Times New Roman" w:hAnsi="Times New Roman" w:cs="Times New Roman"/>
          <w:color w:val="auto"/>
          <w:lang w:eastAsia="zh-CN"/>
        </w:rPr>
        <w:t>加氢催化剂</w:t>
      </w:r>
      <w:r>
        <w:rPr>
          <w:rFonts w:hint="default" w:ascii="Times New Roman" w:hAnsi="Times New Roman" w:cs="Times New Roman"/>
          <w:color w:val="auto"/>
        </w:rPr>
        <w:t>。</w:t>
      </w:r>
    </w:p>
    <w:p>
      <w:pPr>
        <w:pStyle w:val="3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lang w:eastAsia="zh-CN"/>
        </w:rPr>
        <w:drawing>
          <wp:anchor distT="0" distB="0" distL="114300" distR="114300" simplePos="0" relativeHeight="251664384" behindDoc="0" locked="0" layoutInCell="1" allowOverlap="1">
            <wp:simplePos x="0" y="0"/>
            <wp:positionH relativeFrom="column">
              <wp:posOffset>93980</wp:posOffset>
            </wp:positionH>
            <wp:positionV relativeFrom="paragraph">
              <wp:posOffset>318135</wp:posOffset>
            </wp:positionV>
            <wp:extent cx="5450840" cy="4514215"/>
            <wp:effectExtent l="0" t="0" r="16510" b="635"/>
            <wp:wrapSquare wrapText="bothSides"/>
            <wp:docPr id="20" name="图片 20" descr="C:\Users\Administrator\Desktop\图片2.jp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图片2.jpg图片2"/>
                    <pic:cNvPicPr>
                      <a:picLocks noChangeAspect="1"/>
                    </pic:cNvPicPr>
                  </pic:nvPicPr>
                  <pic:blipFill>
                    <a:blip r:embed="rId33"/>
                    <a:srcRect/>
                    <a:stretch>
                      <a:fillRect/>
                    </a:stretch>
                  </pic:blipFill>
                  <pic:spPr>
                    <a:xfrm>
                      <a:off x="0" y="0"/>
                      <a:ext cx="5450840" cy="4514215"/>
                    </a:xfrm>
                    <a:prstGeom prst="rect">
                      <a:avLst/>
                    </a:prstGeom>
                  </pic:spPr>
                </pic:pic>
              </a:graphicData>
            </a:graphic>
          </wp:anchor>
        </w:drawing>
      </w:r>
      <w:r>
        <w:rPr>
          <w:rFonts w:hint="default" w:ascii="Times New Roman" w:hAnsi="Times New Roman" w:cs="Times New Roman"/>
          <w:color w:val="auto"/>
        </w:rPr>
        <w:t>加氢催化剂生产线主要工艺流程图见图</w:t>
      </w:r>
      <w:r>
        <w:rPr>
          <w:rFonts w:hint="default" w:ascii="Times New Roman" w:hAnsi="Times New Roman" w:cs="Times New Roman"/>
          <w:color w:val="auto"/>
          <w:lang w:val="en-US" w:eastAsia="zh-CN"/>
        </w:rPr>
        <w:t xml:space="preserve"> 4</w:t>
      </w:r>
      <w:r>
        <w:rPr>
          <w:rFonts w:hint="default" w:ascii="Times New Roman" w:hAnsi="Times New Roman" w:cs="Times New Roman"/>
          <w:color w:val="auto"/>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p>
    <w:p>
      <w:pPr>
        <w:pStyle w:val="14"/>
        <w:bidi w:val="0"/>
        <w:rPr>
          <w:rFonts w:hint="default" w:ascii="Times New Roman" w:hAnsi="Times New Roman" w:cs="Times New Roman"/>
          <w:color w:val="auto"/>
          <w:highlight w:val="none"/>
        </w:rPr>
      </w:pPr>
    </w:p>
    <w:p>
      <w:pPr>
        <w:pStyle w:val="39"/>
        <w:bidi w:val="0"/>
        <w:spacing w:line="360" w:lineRule="auto"/>
        <w:ind w:left="0" w:leftChars="0" w:firstLine="422" w:firstLineChars="20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 xml:space="preserve">图 </w:t>
      </w:r>
      <w:r>
        <w:rPr>
          <w:rFonts w:hint="default" w:ascii="Times New Roman" w:hAnsi="Times New Roman" w:cs="Times New Roman"/>
          <w:b/>
          <w:bCs/>
          <w:color w:val="auto"/>
          <w:sz w:val="21"/>
          <w:szCs w:val="21"/>
        </w:rPr>
        <w:fldChar w:fldCharType="begin"/>
      </w:r>
      <w:r>
        <w:rPr>
          <w:rFonts w:hint="default" w:ascii="Times New Roman" w:hAnsi="Times New Roman" w:cs="Times New Roman"/>
          <w:b/>
          <w:bCs/>
          <w:color w:val="auto"/>
          <w:sz w:val="21"/>
          <w:szCs w:val="21"/>
        </w:rPr>
        <w:instrText xml:space="preserve"> STYLEREF 1 \s </w:instrText>
      </w:r>
      <w:r>
        <w:rPr>
          <w:rFonts w:hint="default" w:ascii="Times New Roman" w:hAnsi="Times New Roman" w:cs="Times New Roman"/>
          <w:b/>
          <w:bCs/>
          <w:color w:val="auto"/>
          <w:sz w:val="21"/>
          <w:szCs w:val="21"/>
        </w:rPr>
        <w:fldChar w:fldCharType="separate"/>
      </w:r>
      <w:r>
        <w:rPr>
          <w:rFonts w:hint="default" w:ascii="Times New Roman" w:hAnsi="Times New Roman" w:cs="Times New Roman"/>
          <w:b/>
          <w:bCs/>
          <w:color w:val="auto"/>
          <w:sz w:val="21"/>
          <w:szCs w:val="21"/>
        </w:rPr>
        <w:t>4</w:t>
      </w:r>
      <w:r>
        <w:rPr>
          <w:rFonts w:hint="default" w:ascii="Times New Roman" w:hAnsi="Times New Roman" w:cs="Times New Roman"/>
          <w:b/>
          <w:bCs/>
          <w:color w:val="auto"/>
          <w:sz w:val="21"/>
          <w:szCs w:val="21"/>
        </w:rPr>
        <w:fldChar w:fldCharType="end"/>
      </w: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lang w:val="en-US" w:eastAsia="zh-CN"/>
        </w:rPr>
        <w:t xml:space="preserve">1  </w:t>
      </w:r>
      <w:r>
        <w:rPr>
          <w:rFonts w:hint="default" w:ascii="Times New Roman" w:hAnsi="Times New Roman" w:cs="Times New Roman"/>
          <w:b/>
          <w:bCs/>
          <w:color w:val="auto"/>
          <w:sz w:val="21"/>
          <w:szCs w:val="21"/>
        </w:rPr>
        <w:t>加氢催化剂生产工艺流程图</w:t>
      </w:r>
    </w:p>
    <w:p>
      <w:pPr>
        <w:pStyle w:val="39"/>
        <w:bidi w:val="0"/>
        <w:spacing w:line="360" w:lineRule="auto"/>
        <w:ind w:left="0" w:leftChars="0" w:firstLine="480" w:firstLineChars="200"/>
        <w:rPr>
          <w:rFonts w:hint="default" w:ascii="Times New Roman" w:hAnsi="Times New Roman" w:cs="Times New Roman"/>
          <w:color w:val="auto"/>
        </w:rPr>
      </w:pPr>
      <w:r>
        <w:rPr>
          <w:rFonts w:hint="default" w:ascii="Times New Roman" w:hAnsi="Times New Roman" w:cs="Times New Roman"/>
          <w:color w:val="auto"/>
        </w:rPr>
        <w:t>加氢催化剂生产主要反应方程式如下：</w:t>
      </w:r>
    </w:p>
    <w:p>
      <w:pPr>
        <w:pStyle w:val="39"/>
        <w:bidi w:val="0"/>
        <w:spacing w:line="360" w:lineRule="auto"/>
        <w:ind w:left="0" w:leftChars="0" w:firstLine="480" w:firstLineChars="200"/>
        <w:rPr>
          <w:rFonts w:hint="default" w:ascii="Times New Roman" w:hAnsi="Times New Roman" w:cs="Times New Roman"/>
          <w:color w:val="auto"/>
        </w:rPr>
      </w:pPr>
      <w:bookmarkStart w:id="320" w:name="_Toc3722"/>
      <w:r>
        <w:rPr>
          <w:rFonts w:hint="default" w:ascii="Times New Roman" w:hAnsi="Times New Roman" w:cs="Times New Roman"/>
          <w:color w:val="auto"/>
        </w:rPr>
        <w:t>1.皂化反应</w:t>
      </w:r>
      <w:bookmarkEnd w:id="320"/>
    </w:p>
    <w:p>
      <w:pPr>
        <w:pStyle w:val="39"/>
        <w:bidi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C</w:t>
      </w:r>
      <w:r>
        <w:rPr>
          <w:rFonts w:hint="default" w:ascii="Times New Roman" w:hAnsi="Times New Roman" w:cs="Times New Roman"/>
          <w:color w:val="auto"/>
          <w:vertAlign w:val="subscript"/>
        </w:rPr>
        <w:t>7</w:t>
      </w:r>
      <w:r>
        <w:rPr>
          <w:rFonts w:hint="default" w:ascii="Times New Roman" w:hAnsi="Times New Roman" w:cs="Times New Roman"/>
          <w:color w:val="auto"/>
        </w:rPr>
        <w:t>H</w:t>
      </w:r>
      <w:r>
        <w:rPr>
          <w:rFonts w:hint="default" w:ascii="Times New Roman" w:hAnsi="Times New Roman" w:cs="Times New Roman"/>
          <w:color w:val="auto"/>
          <w:vertAlign w:val="subscript"/>
        </w:rPr>
        <w:t>15</w:t>
      </w:r>
      <w:r>
        <w:rPr>
          <w:rFonts w:hint="default" w:ascii="Times New Roman" w:hAnsi="Times New Roman" w:cs="Times New Roman"/>
          <w:color w:val="auto"/>
        </w:rPr>
        <w:t>COOH + NaOH→ C</w:t>
      </w:r>
      <w:r>
        <w:rPr>
          <w:rFonts w:hint="default" w:ascii="Times New Roman" w:hAnsi="Times New Roman" w:cs="Times New Roman"/>
          <w:color w:val="auto"/>
          <w:vertAlign w:val="subscript"/>
        </w:rPr>
        <w:t>7</w:t>
      </w:r>
      <w:r>
        <w:rPr>
          <w:rFonts w:hint="default" w:ascii="Times New Roman" w:hAnsi="Times New Roman" w:cs="Times New Roman"/>
          <w:color w:val="auto"/>
        </w:rPr>
        <w:t>H</w:t>
      </w:r>
      <w:r>
        <w:rPr>
          <w:rFonts w:hint="default" w:ascii="Times New Roman" w:hAnsi="Times New Roman" w:cs="Times New Roman"/>
          <w:color w:val="auto"/>
          <w:vertAlign w:val="subscript"/>
        </w:rPr>
        <w:t>15</w:t>
      </w:r>
      <w:r>
        <w:rPr>
          <w:rFonts w:hint="default" w:ascii="Times New Roman" w:hAnsi="Times New Roman" w:cs="Times New Roman"/>
          <w:color w:val="auto"/>
        </w:rPr>
        <w:t>COONa + H</w:t>
      </w:r>
      <w:r>
        <w:rPr>
          <w:rFonts w:hint="default" w:ascii="Times New Roman" w:hAnsi="Times New Roman" w:cs="Times New Roman"/>
          <w:color w:val="auto"/>
          <w:vertAlign w:val="subscript"/>
        </w:rPr>
        <w:t>2</w:t>
      </w:r>
      <w:r>
        <w:rPr>
          <w:rFonts w:hint="default" w:ascii="Times New Roman" w:hAnsi="Times New Roman" w:cs="Times New Roman"/>
          <w:color w:val="auto"/>
        </w:rPr>
        <w:t>O</w:t>
      </w:r>
    </w:p>
    <w:p>
      <w:pPr>
        <w:pStyle w:val="39"/>
        <w:bidi w:val="0"/>
        <w:spacing w:line="360" w:lineRule="auto"/>
        <w:ind w:left="0" w:leftChars="0" w:firstLine="480" w:firstLineChars="200"/>
        <w:rPr>
          <w:rFonts w:hint="default" w:ascii="Times New Roman" w:hAnsi="Times New Roman" w:cs="Times New Roman"/>
          <w:color w:val="auto"/>
        </w:rPr>
      </w:pPr>
      <w:bookmarkStart w:id="321" w:name="_Toc20051"/>
      <w:r>
        <w:rPr>
          <w:rFonts w:hint="default" w:ascii="Times New Roman" w:hAnsi="Times New Roman" w:cs="Times New Roman"/>
          <w:color w:val="auto"/>
        </w:rPr>
        <w:t>2.复分解反应</w:t>
      </w:r>
      <w:bookmarkEnd w:id="321"/>
    </w:p>
    <w:p>
      <w:pPr>
        <w:pStyle w:val="39"/>
        <w:bidi w:val="0"/>
        <w:jc w:val="center"/>
        <w:rPr>
          <w:rFonts w:hint="default" w:ascii="Times New Roman" w:hAnsi="Times New Roman" w:cs="Times New Roman"/>
          <w:color w:val="auto"/>
        </w:rPr>
      </w:pPr>
      <w:r>
        <w:rPr>
          <w:rFonts w:hint="default" w:ascii="Times New Roman" w:hAnsi="Times New Roman" w:cs="Times New Roman"/>
          <w:color w:val="auto"/>
        </w:rPr>
        <w:t>2C</w:t>
      </w:r>
      <w:r>
        <w:rPr>
          <w:rFonts w:hint="default" w:ascii="Times New Roman" w:hAnsi="Times New Roman" w:cs="Times New Roman"/>
          <w:color w:val="auto"/>
          <w:vertAlign w:val="subscript"/>
        </w:rPr>
        <w:t>7</w:t>
      </w:r>
      <w:r>
        <w:rPr>
          <w:rFonts w:hint="default" w:ascii="Times New Roman" w:hAnsi="Times New Roman" w:cs="Times New Roman"/>
          <w:color w:val="auto"/>
        </w:rPr>
        <w:t>H</w:t>
      </w:r>
      <w:r>
        <w:rPr>
          <w:rFonts w:hint="default" w:ascii="Times New Roman" w:hAnsi="Times New Roman" w:cs="Times New Roman"/>
          <w:color w:val="auto"/>
          <w:vertAlign w:val="subscript"/>
        </w:rPr>
        <w:t>15</w:t>
      </w:r>
      <w:r>
        <w:rPr>
          <w:rFonts w:hint="default" w:ascii="Times New Roman" w:hAnsi="Times New Roman" w:cs="Times New Roman"/>
          <w:color w:val="auto"/>
        </w:rPr>
        <w:t>COONa + Ni(NO</w:t>
      </w:r>
      <w:r>
        <w:rPr>
          <w:rFonts w:hint="default" w:ascii="Times New Roman" w:hAnsi="Times New Roman" w:cs="Times New Roman"/>
          <w:color w:val="auto"/>
          <w:vertAlign w:val="subscript"/>
        </w:rPr>
        <w:t>3</w:t>
      </w:r>
      <w:r>
        <w:rPr>
          <w:rFonts w:hint="default" w:ascii="Times New Roman" w:hAnsi="Times New Roman" w:cs="Times New Roman"/>
          <w:color w:val="auto"/>
        </w:rPr>
        <w:t>)</w:t>
      </w:r>
      <w:r>
        <w:rPr>
          <w:rFonts w:hint="default" w:ascii="Times New Roman" w:hAnsi="Times New Roman" w:cs="Times New Roman"/>
          <w:color w:val="auto"/>
          <w:vertAlign w:val="subscript"/>
        </w:rPr>
        <w:t>2</w:t>
      </w:r>
      <w:r>
        <w:rPr>
          <w:rFonts w:hint="default" w:ascii="Times New Roman" w:hAnsi="Times New Roman" w:cs="Times New Roman"/>
          <w:color w:val="auto"/>
        </w:rPr>
        <w:t xml:space="preserve"> → Ni(C</w:t>
      </w:r>
      <w:r>
        <w:rPr>
          <w:rFonts w:hint="default" w:ascii="Times New Roman" w:hAnsi="Times New Roman" w:cs="Times New Roman"/>
          <w:color w:val="auto"/>
          <w:vertAlign w:val="subscript"/>
        </w:rPr>
        <w:t>7</w:t>
      </w:r>
      <w:r>
        <w:rPr>
          <w:rFonts w:hint="default" w:ascii="Times New Roman" w:hAnsi="Times New Roman" w:cs="Times New Roman"/>
          <w:color w:val="auto"/>
        </w:rPr>
        <w:t>H</w:t>
      </w:r>
      <w:r>
        <w:rPr>
          <w:rFonts w:hint="default" w:ascii="Times New Roman" w:hAnsi="Times New Roman" w:cs="Times New Roman"/>
          <w:color w:val="auto"/>
          <w:vertAlign w:val="subscript"/>
        </w:rPr>
        <w:t>15</w:t>
      </w:r>
      <w:r>
        <w:rPr>
          <w:rFonts w:hint="default" w:ascii="Times New Roman" w:hAnsi="Times New Roman" w:cs="Times New Roman"/>
          <w:color w:val="auto"/>
        </w:rPr>
        <w:t>COO)</w:t>
      </w:r>
      <w:r>
        <w:rPr>
          <w:rFonts w:hint="default" w:ascii="Times New Roman" w:hAnsi="Times New Roman" w:cs="Times New Roman"/>
          <w:color w:val="auto"/>
          <w:vertAlign w:val="subscript"/>
        </w:rPr>
        <w:t>2</w:t>
      </w:r>
      <w:r>
        <w:rPr>
          <w:rFonts w:hint="default" w:ascii="Times New Roman" w:hAnsi="Times New Roman" w:cs="Times New Roman"/>
          <w:color w:val="auto"/>
        </w:rPr>
        <w:t xml:space="preserve"> + 2NaNO</w:t>
      </w:r>
      <w:r>
        <w:rPr>
          <w:rFonts w:hint="default" w:ascii="Times New Roman" w:hAnsi="Times New Roman" w:cs="Times New Roman"/>
          <w:color w:val="auto"/>
          <w:vertAlign w:val="subscript"/>
        </w:rPr>
        <w:t>3</w:t>
      </w:r>
    </w:p>
    <w:p>
      <w:pPr>
        <w:pStyle w:val="39"/>
        <w:bidi w:val="0"/>
        <w:rPr>
          <w:rFonts w:hint="default" w:ascii="Times New Roman" w:hAnsi="Times New Roman" w:cs="Times New Roman"/>
          <w:color w:val="auto"/>
        </w:rPr>
      </w:pPr>
      <w:r>
        <w:rPr>
          <w:rFonts w:hint="default" w:ascii="Times New Roman" w:hAnsi="Times New Roman" w:cs="Times New Roman"/>
          <w:color w:val="auto"/>
        </w:rPr>
        <w:t>生产工艺分为原料、溶剂、抽真空加热、反应、废液处理共五个系统，</w:t>
      </w:r>
      <w:r>
        <w:rPr>
          <w:rFonts w:hint="default" w:ascii="Times New Roman" w:hAnsi="Times New Roman" w:cs="Times New Roman"/>
          <w:color w:val="auto"/>
          <w:lang w:eastAsia="zh-CN"/>
        </w:rPr>
        <w:t>设备</w:t>
      </w:r>
      <w:r>
        <w:rPr>
          <w:rFonts w:hint="default" w:ascii="Times New Roman" w:hAnsi="Times New Roman" w:cs="Times New Roman"/>
          <w:color w:val="auto"/>
        </w:rPr>
        <w:t>具体</w:t>
      </w:r>
      <w:r>
        <w:rPr>
          <w:rFonts w:hint="default" w:ascii="Times New Roman" w:hAnsi="Times New Roman" w:cs="Times New Roman"/>
          <w:color w:val="auto"/>
          <w:lang w:eastAsia="zh-CN"/>
        </w:rPr>
        <w:t>布局和物料流程图</w:t>
      </w:r>
      <w:r>
        <w:rPr>
          <w:rFonts w:hint="default" w:ascii="Times New Roman" w:hAnsi="Times New Roman" w:cs="Times New Roman"/>
          <w:color w:val="auto"/>
        </w:rPr>
        <w:t>见图</w:t>
      </w:r>
      <w:r>
        <w:rPr>
          <w:rFonts w:hint="default" w:ascii="Times New Roman" w:hAnsi="Times New Roman" w:cs="Times New Roman"/>
          <w:color w:val="auto"/>
          <w:lang w:val="en-US" w:eastAsia="zh-CN"/>
        </w:rPr>
        <w:t xml:space="preserve"> 4-2</w:t>
      </w:r>
      <w:r>
        <w:rPr>
          <w:rFonts w:hint="default" w:ascii="Times New Roman" w:hAnsi="Times New Roman" w:cs="Times New Roman"/>
          <w:color w:val="auto"/>
        </w:rPr>
        <w:t>。</w:t>
      </w:r>
    </w:p>
    <w:p>
      <w:pPr>
        <w:pStyle w:val="14"/>
        <w:bidi w:val="0"/>
        <w:spacing w:line="360" w:lineRule="auto"/>
        <w:rPr>
          <w:rFonts w:hint="default" w:ascii="Times New Roman" w:hAnsi="Times New Roman" w:cs="Times New Roman"/>
          <w:color w:val="auto"/>
        </w:rPr>
      </w:pPr>
    </w:p>
    <w:p>
      <w:pPr>
        <w:pStyle w:val="14"/>
        <w:bidi w:val="0"/>
        <w:spacing w:line="360" w:lineRule="auto"/>
        <w:rPr>
          <w:rFonts w:hint="default" w:ascii="Times New Roman" w:hAnsi="Times New Roman" w:cs="Times New Roman"/>
          <w:color w:val="auto"/>
        </w:rPr>
      </w:pPr>
    </w:p>
    <w:p>
      <w:pPr>
        <w:pStyle w:val="14"/>
        <w:bidi w:val="0"/>
        <w:spacing w:line="360" w:lineRule="auto"/>
        <w:rPr>
          <w:rFonts w:hint="default" w:ascii="Times New Roman" w:hAnsi="Times New Roman" w:cs="Times New Roman"/>
          <w:color w:val="auto"/>
        </w:rPr>
      </w:pPr>
      <w:r>
        <w:rPr>
          <w:rFonts w:hint="default" w:ascii="Times New Roman" w:hAnsi="Times New Roman" w:eastAsia="宋体" w:cs="Times New Roman"/>
          <w:color w:val="auto"/>
          <w:lang w:eastAsia="zh-CN"/>
        </w:rPr>
        <w:drawing>
          <wp:anchor distT="0" distB="0" distL="114300" distR="114300" simplePos="0" relativeHeight="251665408" behindDoc="1" locked="0" layoutInCell="1" allowOverlap="1">
            <wp:simplePos x="0" y="0"/>
            <wp:positionH relativeFrom="column">
              <wp:posOffset>-360045</wp:posOffset>
            </wp:positionH>
            <wp:positionV relativeFrom="paragraph">
              <wp:posOffset>-113030</wp:posOffset>
            </wp:positionV>
            <wp:extent cx="6316980" cy="8821420"/>
            <wp:effectExtent l="0" t="0" r="7620" b="55880"/>
            <wp:wrapTight wrapText="bothSides">
              <wp:wrapPolygon>
                <wp:start x="0" y="0"/>
                <wp:lineTo x="0" y="21550"/>
                <wp:lineTo x="21561" y="21550"/>
                <wp:lineTo x="21561" y="0"/>
                <wp:lineTo x="0" y="0"/>
              </wp:wrapPolygon>
            </wp:wrapTight>
            <wp:docPr id="56" name="图片 56" descr="C:\Users\Administrator\Desktop\图片11.jpg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Administrator\Desktop\图片11.jpg图片11"/>
                    <pic:cNvPicPr>
                      <a:picLocks noChangeAspect="1"/>
                    </pic:cNvPicPr>
                  </pic:nvPicPr>
                  <pic:blipFill>
                    <a:blip r:embed="rId34"/>
                    <a:srcRect/>
                    <a:stretch>
                      <a:fillRect/>
                    </a:stretch>
                  </pic:blipFill>
                  <pic:spPr>
                    <a:xfrm>
                      <a:off x="0" y="0"/>
                      <a:ext cx="6316980" cy="8821420"/>
                    </a:xfrm>
                    <a:prstGeom prst="rect">
                      <a:avLst/>
                    </a:prstGeom>
                  </pic:spPr>
                </pic:pic>
              </a:graphicData>
            </a:graphic>
          </wp:anchor>
        </w:drawing>
      </w:r>
    </w:p>
    <w:p>
      <w:pPr>
        <w:pStyle w:val="14"/>
        <w:bidi w:val="0"/>
        <w:spacing w:line="360" w:lineRule="auto"/>
        <w:rPr>
          <w:rFonts w:hint="default" w:ascii="Times New Roman" w:hAnsi="Times New Roman" w:cs="Times New Roman"/>
          <w:color w:val="auto"/>
        </w:rPr>
      </w:pPr>
      <w:r>
        <w:rPr>
          <w:rFonts w:hint="default" w:ascii="Times New Roman" w:hAnsi="Times New Roman" w:cs="Times New Roman"/>
          <w:color w:val="auto"/>
        </w:rPr>
        <w:t xml:space="preserve">图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4</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 xml:space="preserve">2 </w:t>
      </w:r>
      <w:r>
        <w:rPr>
          <w:rFonts w:hint="default" w:ascii="Times New Roman" w:hAnsi="Times New Roman" w:cs="Times New Roman"/>
          <w:color w:val="auto"/>
        </w:rPr>
        <w:t>加氢催化剂生产</w:t>
      </w:r>
      <w:r>
        <w:rPr>
          <w:rFonts w:hint="default" w:ascii="Times New Roman" w:hAnsi="Times New Roman" w:cs="Times New Roman"/>
          <w:color w:val="auto"/>
          <w:lang w:eastAsia="zh-CN"/>
        </w:rPr>
        <w:t>设备布置及物料流程图</w:t>
      </w:r>
    </w:p>
    <w:p>
      <w:pPr>
        <w:pStyle w:val="39"/>
        <w:bidi w:val="0"/>
        <w:spacing w:line="360" w:lineRule="auto"/>
        <w:rPr>
          <w:rFonts w:hint="default" w:ascii="Times New Roman" w:hAnsi="Times New Roman" w:cs="Times New Roman"/>
          <w:color w:val="auto"/>
        </w:rPr>
      </w:pPr>
      <w:r>
        <w:rPr>
          <w:rFonts w:hint="default" w:ascii="Times New Roman" w:hAnsi="Times New Roman" w:cs="Times New Roman"/>
          <w:color w:val="auto"/>
        </w:rPr>
        <w:t>原料系统由水洗、萃取釜、储罐和计量罐组成。设备配有液面计和压力显示仪表、充氮气管线。</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溶剂系统即以环己烷为溶剂，用于配料、萃取。该系统包括环己烷储罐、环己烷计量罐，设备配有压力和液位显示仪表，并备有氮气充压管线、真空管线，以便吸料和送料。</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真空系统、加热系统用于物料传送，包括缓冲罐和真空泵。加热系统包括汽水混合器，用于反应温度的调整。</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反应系统包括原材料计量罐及反应釜。原材料计量罐分别将各种原料准确计量后压入反应釜中，釜带搅拌，控制温度、压力、时间。</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u w:val="single"/>
        </w:rPr>
      </w:pPr>
      <w:r>
        <w:rPr>
          <w:rFonts w:hint="default" w:ascii="Times New Roman" w:hAnsi="Times New Roman" w:cs="Times New Roman"/>
          <w:color w:val="auto"/>
          <w:u w:val="single"/>
        </w:rPr>
        <w:t>废水处理系统，镍盐水洗的废水注入废水池，含镍量为0.1%</w:t>
      </w:r>
      <w:r>
        <w:rPr>
          <w:rFonts w:hint="default" w:ascii="Times New Roman" w:hAnsi="Times New Roman" w:cs="Times New Roman"/>
          <w:color w:val="auto"/>
          <w:u w:val="single"/>
          <w:lang w:eastAsia="zh-CN"/>
        </w:rPr>
        <w:t>（约</w:t>
      </w:r>
      <w:r>
        <w:rPr>
          <w:rFonts w:hint="default" w:ascii="Times New Roman" w:hAnsi="Times New Roman" w:cs="Times New Roman"/>
          <w:color w:val="auto"/>
          <w:u w:val="single"/>
          <w:lang w:val="en-US" w:eastAsia="zh-CN"/>
        </w:rPr>
        <w:t xml:space="preserve">10000 </w:t>
      </w:r>
      <w:r>
        <w:rPr>
          <w:rFonts w:hint="default" w:ascii="Times New Roman" w:hAnsi="Times New Roman" w:cs="Times New Roman"/>
          <w:color w:val="auto"/>
          <w:u w:val="single"/>
        </w:rPr>
        <w:t>mg/L</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的洗涤废水采用氢氧化物沉淀法进行处理。在废水中加入氢氧化钠，生成难溶的氢氧化镍沉淀，分离并回收镍。废水加碱处理后</w:t>
      </w:r>
      <w:r>
        <w:rPr>
          <w:rFonts w:hint="default" w:ascii="Times New Roman" w:hAnsi="Times New Roman" w:cs="Times New Roman"/>
          <w:color w:val="auto"/>
          <w:u w:val="single"/>
          <w:lang w:val="en-US" w:eastAsia="zh-CN"/>
        </w:rPr>
        <w:t>p</w:t>
      </w:r>
      <w:r>
        <w:rPr>
          <w:rFonts w:hint="default" w:ascii="Times New Roman" w:hAnsi="Times New Roman" w:cs="Times New Roman"/>
          <w:color w:val="auto"/>
          <w:u w:val="single"/>
        </w:rPr>
        <w:t>H值约为12，送中和槽用酸中和至PH＜9，经处理后的废液中含镍量小于</w:t>
      </w:r>
      <w:r>
        <w:rPr>
          <w:rFonts w:hint="default" w:ascii="Times New Roman" w:hAnsi="Times New Roman" w:cs="Times New Roman"/>
          <w:color w:val="auto"/>
          <w:u w:val="single"/>
          <w:lang w:val="en-US" w:eastAsia="zh-CN"/>
        </w:rPr>
        <w:t>1 mg</w:t>
      </w:r>
      <w:r>
        <w:rPr>
          <w:rFonts w:hint="default" w:ascii="Times New Roman" w:hAnsi="Times New Roman" w:cs="Times New Roman"/>
          <w:color w:val="auto"/>
          <w:u w:val="single"/>
        </w:rPr>
        <w:t>/</w:t>
      </w:r>
      <w:r>
        <w:rPr>
          <w:rFonts w:hint="default" w:ascii="Times New Roman" w:hAnsi="Times New Roman" w:cs="Times New Roman"/>
          <w:color w:val="auto"/>
          <w:u w:val="single"/>
          <w:lang w:val="en-US" w:eastAsia="zh-CN"/>
        </w:rPr>
        <w:t xml:space="preserve">l（经小试检测，实际排放浓度0.055 </w:t>
      </w:r>
      <w:r>
        <w:rPr>
          <w:rFonts w:hint="default" w:ascii="Times New Roman" w:hAnsi="Times New Roman" w:cs="Times New Roman"/>
          <w:color w:val="auto"/>
          <w:u w:val="single"/>
        </w:rPr>
        <w:t>mg/L</w:t>
      </w:r>
      <w:r>
        <w:rPr>
          <w:rFonts w:hint="default" w:ascii="Times New Roman" w:hAnsi="Times New Roman" w:cs="Times New Roman"/>
          <w:color w:val="auto"/>
          <w:u w:val="single"/>
          <w:lang w:val="en-US" w:eastAsia="zh-CN"/>
        </w:rPr>
        <w:t>）</w:t>
      </w:r>
      <w:r>
        <w:rPr>
          <w:rFonts w:hint="default" w:ascii="Times New Roman" w:hAnsi="Times New Roman" w:cs="Times New Roman"/>
          <w:color w:val="auto"/>
          <w:u w:val="single"/>
        </w:rPr>
        <w:t>，达到排放标准</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车间处理设施排出口允许最大浓度为1mg/L）</w:t>
      </w:r>
      <w:r>
        <w:rPr>
          <w:rFonts w:hint="default" w:ascii="Times New Roman" w:hAnsi="Times New Roman" w:cs="Times New Roman"/>
          <w:color w:val="auto"/>
          <w:u w:val="single"/>
          <w:lang w:eastAsia="zh-CN"/>
        </w:rPr>
        <w:t>，然后通过园区管网</w:t>
      </w:r>
      <w:r>
        <w:rPr>
          <w:rFonts w:hint="default" w:ascii="Times New Roman" w:hAnsi="Times New Roman" w:cs="Times New Roman"/>
          <w:color w:val="auto"/>
          <w:u w:val="single"/>
        </w:rPr>
        <w:t>排入污水处理厂。</w:t>
      </w:r>
      <w:r>
        <w:rPr>
          <w:rFonts w:hint="default" w:ascii="Times New Roman" w:hAnsi="Times New Roman" w:cs="Times New Roman"/>
          <w:color w:val="auto"/>
          <w:u w:val="single"/>
          <w:lang w:eastAsia="zh-CN"/>
        </w:rPr>
        <w:t>沉渣</w:t>
      </w:r>
      <w:r>
        <w:rPr>
          <w:rFonts w:hint="default" w:ascii="Times New Roman" w:hAnsi="Times New Roman" w:cs="Times New Roman"/>
          <w:color w:val="auto"/>
          <w:u w:val="single"/>
        </w:rPr>
        <w:t>氢氧化镍</w:t>
      </w:r>
      <w:r>
        <w:rPr>
          <w:rFonts w:hint="default" w:ascii="Times New Roman" w:hAnsi="Times New Roman" w:cs="Times New Roman"/>
          <w:color w:val="auto"/>
          <w:u w:val="single"/>
          <w:lang w:eastAsia="zh-CN"/>
        </w:rPr>
        <w:t>经过滤</w:t>
      </w:r>
      <w:r>
        <w:rPr>
          <w:rFonts w:hint="default" w:ascii="Times New Roman" w:hAnsi="Times New Roman" w:cs="Times New Roman"/>
          <w:color w:val="auto"/>
          <w:u w:val="single"/>
        </w:rPr>
        <w:t>干燥</w:t>
      </w:r>
      <w:r>
        <w:rPr>
          <w:rFonts w:hint="default" w:ascii="Times New Roman" w:hAnsi="Times New Roman" w:cs="Times New Roman"/>
          <w:color w:val="auto"/>
          <w:u w:val="single"/>
          <w:lang w:val="en-US" w:eastAsia="zh-CN"/>
        </w:rPr>
        <w:t>后作为副产品（镍含量41.2%）外售给</w:t>
      </w:r>
      <w:r>
        <w:rPr>
          <w:rFonts w:hint="default" w:ascii="Times New Roman" w:hAnsi="Times New Roman" w:cs="Times New Roman"/>
          <w:color w:val="auto"/>
          <w:u w:val="single"/>
        </w:rPr>
        <w:t>硝酸镍厂家。</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u w:val="single"/>
          <w:lang w:val="en-US" w:eastAsia="zh-CN"/>
        </w:rPr>
      </w:pPr>
      <w:r>
        <w:rPr>
          <w:rFonts w:hint="default" w:ascii="Times New Roman" w:hAnsi="Times New Roman" w:cs="Times New Roman"/>
          <w:color w:val="auto"/>
          <w:u w:val="single"/>
        </w:rPr>
        <w:t>镍盐水洗的</w:t>
      </w:r>
      <w:r>
        <w:rPr>
          <w:rFonts w:hint="default" w:ascii="Times New Roman" w:hAnsi="Times New Roman" w:cs="Times New Roman"/>
          <w:color w:val="auto"/>
          <w:u w:val="single"/>
          <w:lang w:eastAsia="zh-CN"/>
        </w:rPr>
        <w:t>含镍</w:t>
      </w:r>
      <w:r>
        <w:rPr>
          <w:rFonts w:hint="default" w:ascii="Times New Roman" w:hAnsi="Times New Roman" w:cs="Times New Roman"/>
          <w:color w:val="auto"/>
          <w:u w:val="single"/>
        </w:rPr>
        <w:t>废水</w:t>
      </w:r>
      <w:r>
        <w:rPr>
          <w:rFonts w:hint="default" w:ascii="Times New Roman" w:hAnsi="Times New Roman" w:cs="Times New Roman"/>
          <w:color w:val="auto"/>
          <w:u w:val="single"/>
          <w:lang w:eastAsia="zh-CN"/>
        </w:rPr>
        <w:t>处理工艺流程图见图</w:t>
      </w:r>
      <w:r>
        <w:rPr>
          <w:rFonts w:hint="default" w:ascii="Times New Roman" w:hAnsi="Times New Roman" w:cs="Times New Roman"/>
          <w:color w:val="auto"/>
          <w:u w:val="single"/>
          <w:lang w:val="en-US" w:eastAsia="zh-CN"/>
        </w:rPr>
        <w:t>4-3。</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p>
    <w:p>
      <w:pPr>
        <w:pStyle w:val="4"/>
        <w:numPr>
          <w:ilvl w:val="1"/>
          <w:numId w:val="0"/>
        </w:numPr>
        <w:ind w:leftChars="0"/>
        <w:jc w:val="center"/>
        <w:rPr>
          <w:rFonts w:hint="default" w:ascii="Times New Roman" w:hAnsi="Times New Roman" w:cs="Times New Roman"/>
          <w:color w:val="auto"/>
        </w:rPr>
      </w:pPr>
      <w:bookmarkStart w:id="322" w:name="_Toc27787"/>
      <w:bookmarkStart w:id="323" w:name="_Toc18503"/>
      <w:r>
        <w:rPr>
          <w:rFonts w:hint="default" w:ascii="Times New Roman" w:hAnsi="Times New Roman" w:eastAsia="宋体" w:cs="Times New Roman"/>
          <w:b w:val="0"/>
          <w:bCs w:val="0"/>
          <w:color w:val="auto"/>
          <w:kern w:val="2"/>
          <w:sz w:val="21"/>
          <w:szCs w:val="21"/>
          <w:lang w:val="en-US" w:eastAsia="zh-CN" w:bidi="ar-SA"/>
        </w:rPr>
        <w:drawing>
          <wp:anchor distT="0" distB="0" distL="114300" distR="114300" simplePos="0" relativeHeight="251673600" behindDoc="0" locked="0" layoutInCell="1" allowOverlap="1">
            <wp:simplePos x="0" y="0"/>
            <wp:positionH relativeFrom="column">
              <wp:posOffset>-138430</wp:posOffset>
            </wp:positionH>
            <wp:positionV relativeFrom="paragraph">
              <wp:posOffset>227965</wp:posOffset>
            </wp:positionV>
            <wp:extent cx="5576570" cy="6154420"/>
            <wp:effectExtent l="0" t="0" r="5080" b="17780"/>
            <wp:wrapTopAndBottom/>
            <wp:docPr id="26" name="图片 26" descr="含镍废水处理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含镍废水处理流程图"/>
                    <pic:cNvPicPr>
                      <a:picLocks noChangeAspect="1"/>
                    </pic:cNvPicPr>
                  </pic:nvPicPr>
                  <pic:blipFill>
                    <a:blip r:embed="rId35"/>
                    <a:stretch>
                      <a:fillRect/>
                    </a:stretch>
                  </pic:blipFill>
                  <pic:spPr>
                    <a:xfrm>
                      <a:off x="0" y="0"/>
                      <a:ext cx="5576570" cy="6154420"/>
                    </a:xfrm>
                    <a:prstGeom prst="rect">
                      <a:avLst/>
                    </a:prstGeom>
                  </pic:spPr>
                </pic:pic>
              </a:graphicData>
            </a:graphic>
          </wp:anchor>
        </w:drawing>
      </w:r>
      <w:r>
        <w:rPr>
          <w:rFonts w:hint="default" w:ascii="Times New Roman" w:hAnsi="Times New Roman" w:cs="Times New Roman"/>
          <w:color w:val="auto"/>
          <w:sz w:val="21"/>
          <w:szCs w:val="21"/>
        </w:rPr>
        <w:t xml:space="preserve">图 </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STYLEREF 1 \s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4</w:t>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 xml:space="preserve">3 </w:t>
      </w:r>
      <w:r>
        <w:rPr>
          <w:rFonts w:hint="default" w:ascii="Times New Roman" w:hAnsi="Times New Roman" w:cs="Times New Roman"/>
          <w:color w:val="auto"/>
          <w:sz w:val="21"/>
          <w:szCs w:val="21"/>
          <w:lang w:eastAsia="zh-CN"/>
        </w:rPr>
        <w:t>加氢催化剂含镍废水处理工艺流程图</w:t>
      </w:r>
      <w:bookmarkEnd w:id="322"/>
      <w:bookmarkEnd w:id="323"/>
    </w:p>
    <w:p>
      <w:pPr>
        <w:pStyle w:val="4"/>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bookmarkStart w:id="324" w:name="_Toc18820"/>
      <w:r>
        <w:rPr>
          <w:rFonts w:hint="default" w:ascii="Times New Roman" w:hAnsi="Times New Roman" w:cs="Times New Roman"/>
          <w:color w:val="auto"/>
        </w:rPr>
        <w:t>物料平衡</w:t>
      </w:r>
      <w:bookmarkEnd w:id="324"/>
    </w:p>
    <w:p>
      <w:pPr>
        <w:pStyle w:val="1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本项目年产500t加氢催化剂，生产批次为300批，按年生产时间300天计算，每天生产1批。</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本项目加氢催化剂物料平衡见表</w:t>
      </w:r>
      <w:r>
        <w:rPr>
          <w:rFonts w:hint="default" w:ascii="Times New Roman" w:hAnsi="Times New Roman" w:cs="Times New Roman"/>
          <w:color w:val="auto"/>
          <w:lang w:val="en-US" w:eastAsia="zh-CN"/>
        </w:rPr>
        <w:t xml:space="preserve"> 4-</w:t>
      </w:r>
      <w:r>
        <w:rPr>
          <w:rFonts w:hint="default" w:ascii="Times New Roman" w:hAnsi="Times New Roman" w:cs="Times New Roman"/>
          <w:color w:val="auto"/>
        </w:rPr>
        <w:t>1。</w:t>
      </w: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u w:val="single"/>
        </w:rPr>
      </w:pP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u w:val="single"/>
        </w:rPr>
      </w:pP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u w:val="single"/>
        </w:rPr>
      </w:pP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u w:val="single"/>
        </w:rPr>
      </w:pP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u w:val="single"/>
        </w:rPr>
      </w:pP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u w:val="single"/>
        </w:rPr>
      </w:pP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u w:val="single"/>
        </w:rPr>
      </w:pPr>
      <w:r>
        <w:rPr>
          <w:rFonts w:hint="default" w:ascii="Times New Roman" w:hAnsi="Times New Roman" w:cs="Times New Roman"/>
          <w:color w:val="auto"/>
          <w:u w:val="single"/>
        </w:rPr>
        <w:t xml:space="preserve">表 </w:t>
      </w:r>
      <w:r>
        <w:rPr>
          <w:rFonts w:hint="default" w:ascii="Times New Roman" w:hAnsi="Times New Roman" w:cs="Times New Roman"/>
          <w:color w:val="auto"/>
          <w:u w:val="single"/>
        </w:rPr>
        <w:fldChar w:fldCharType="begin"/>
      </w:r>
      <w:r>
        <w:rPr>
          <w:rFonts w:hint="default" w:ascii="Times New Roman" w:hAnsi="Times New Roman" w:cs="Times New Roman"/>
          <w:color w:val="auto"/>
          <w:u w:val="single"/>
        </w:rPr>
        <w:instrText xml:space="preserve"> STYLEREF 1 \s </w:instrText>
      </w:r>
      <w:r>
        <w:rPr>
          <w:rFonts w:hint="default" w:ascii="Times New Roman" w:hAnsi="Times New Roman" w:cs="Times New Roman"/>
          <w:color w:val="auto"/>
          <w:u w:val="single"/>
        </w:rPr>
        <w:fldChar w:fldCharType="separate"/>
      </w:r>
      <w:r>
        <w:rPr>
          <w:rFonts w:hint="default" w:ascii="Times New Roman" w:hAnsi="Times New Roman" w:cs="Times New Roman"/>
          <w:color w:val="auto"/>
          <w:u w:val="single"/>
        </w:rPr>
        <w:t>4</w:t>
      </w:r>
      <w:r>
        <w:rPr>
          <w:rFonts w:hint="default" w:ascii="Times New Roman" w:hAnsi="Times New Roman" w:cs="Times New Roman"/>
          <w:color w:val="auto"/>
          <w:u w:val="single"/>
        </w:rPr>
        <w:fldChar w:fldCharType="end"/>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fldChar w:fldCharType="begin"/>
      </w:r>
      <w:r>
        <w:rPr>
          <w:rFonts w:hint="default" w:ascii="Times New Roman" w:hAnsi="Times New Roman" w:cs="Times New Roman"/>
          <w:color w:val="auto"/>
          <w:u w:val="single"/>
        </w:rPr>
        <w:instrText xml:space="preserve"> SEQ 表 \* ARABIC \s 1 </w:instrText>
      </w:r>
      <w:r>
        <w:rPr>
          <w:rFonts w:hint="default" w:ascii="Times New Roman" w:hAnsi="Times New Roman" w:cs="Times New Roman"/>
          <w:color w:val="auto"/>
          <w:u w:val="single"/>
        </w:rPr>
        <w:fldChar w:fldCharType="separate"/>
      </w:r>
      <w:r>
        <w:rPr>
          <w:rFonts w:hint="default" w:ascii="Times New Roman" w:hAnsi="Times New Roman" w:cs="Times New Roman"/>
          <w:color w:val="auto"/>
          <w:u w:val="single"/>
        </w:rPr>
        <w:t>1</w:t>
      </w:r>
      <w:r>
        <w:rPr>
          <w:rFonts w:hint="default" w:ascii="Times New Roman" w:hAnsi="Times New Roman" w:cs="Times New Roman"/>
          <w:color w:val="auto"/>
          <w:u w:val="single"/>
        </w:rPr>
        <w:fldChar w:fldCharType="end"/>
      </w:r>
      <w:r>
        <w:rPr>
          <w:rFonts w:hint="default" w:ascii="Times New Roman" w:hAnsi="Times New Roman" w:cs="Times New Roman"/>
          <w:color w:val="auto"/>
          <w:u w:val="single"/>
          <w:lang w:val="en-US" w:eastAsia="zh-CN"/>
        </w:rPr>
        <w:t xml:space="preserve"> </w:t>
      </w:r>
      <w:r>
        <w:rPr>
          <w:rFonts w:hint="default" w:ascii="Times New Roman" w:hAnsi="Times New Roman" w:cs="Times New Roman"/>
          <w:color w:val="auto"/>
          <w:u w:val="single"/>
        </w:rPr>
        <w:t>加氢精制催化剂年生产物料平衡一览表</w:t>
      </w:r>
    </w:p>
    <w:tbl>
      <w:tblPr>
        <w:tblStyle w:val="24"/>
        <w:tblW w:w="920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3"/>
        <w:gridCol w:w="1695"/>
        <w:gridCol w:w="1282"/>
        <w:gridCol w:w="1155"/>
        <w:gridCol w:w="2100"/>
        <w:gridCol w:w="1230"/>
        <w:gridCol w:w="11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3"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695"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物料名称</w:t>
            </w:r>
          </w:p>
        </w:tc>
        <w:tc>
          <w:tcPr>
            <w:tcW w:w="2437"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投入量</w:t>
            </w:r>
          </w:p>
        </w:tc>
        <w:tc>
          <w:tcPr>
            <w:tcW w:w="2100"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物料名称</w:t>
            </w:r>
          </w:p>
        </w:tc>
        <w:tc>
          <w:tcPr>
            <w:tcW w:w="2413"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3"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695"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28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eastAsia="zh-CN"/>
              </w:rPr>
              <w:t>吨</w:t>
            </w:r>
            <w:r>
              <w:rPr>
                <w:rFonts w:hint="default" w:ascii="Times New Roman" w:hAnsi="Times New Roman" w:cs="Times New Roman"/>
                <w:color w:val="auto"/>
                <w:sz w:val="21"/>
                <w:szCs w:val="21"/>
              </w:rPr>
              <w:t>/批次</w:t>
            </w:r>
            <w:r>
              <w:rPr>
                <w:rFonts w:hint="default" w:ascii="Times New Roman" w:hAnsi="Times New Roman" w:cs="Times New Roman"/>
                <w:color w:val="auto"/>
                <w:sz w:val="21"/>
                <w:szCs w:val="21"/>
                <w:lang w:val="en-US" w:eastAsia="zh-CN"/>
              </w:rPr>
              <w:t>)</w:t>
            </w:r>
          </w:p>
        </w:tc>
        <w:tc>
          <w:tcPr>
            <w:tcW w:w="11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2100"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23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吨</w:t>
            </w:r>
            <w:r>
              <w:rPr>
                <w:rFonts w:hint="default" w:ascii="Times New Roman" w:hAnsi="Times New Roman" w:cs="Times New Roman"/>
                <w:color w:val="auto"/>
                <w:sz w:val="21"/>
                <w:szCs w:val="21"/>
              </w:rPr>
              <w:t>/批次）</w:t>
            </w:r>
          </w:p>
        </w:tc>
        <w:tc>
          <w:tcPr>
            <w:tcW w:w="118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69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异辛酸</w:t>
            </w:r>
          </w:p>
        </w:tc>
        <w:tc>
          <w:tcPr>
            <w:tcW w:w="128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0.301</w:t>
            </w:r>
          </w:p>
        </w:tc>
        <w:tc>
          <w:tcPr>
            <w:tcW w:w="11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90.16</w:t>
            </w:r>
          </w:p>
        </w:tc>
        <w:tc>
          <w:tcPr>
            <w:tcW w:w="210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加氢催化剂</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eastAsia="zh-CN"/>
              </w:rPr>
              <w:t>异辛酸镍，含环己烷</w:t>
            </w:r>
            <w:r>
              <w:rPr>
                <w:rFonts w:hint="default" w:ascii="Times New Roman" w:hAnsi="Times New Roman" w:cs="Times New Roman"/>
                <w:color w:val="auto"/>
                <w:sz w:val="21"/>
                <w:szCs w:val="21"/>
                <w:lang w:val="en-US" w:eastAsia="zh-CN"/>
              </w:rPr>
              <w:t>)</w:t>
            </w:r>
          </w:p>
        </w:tc>
        <w:tc>
          <w:tcPr>
            <w:tcW w:w="123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1.667</w:t>
            </w:r>
          </w:p>
        </w:tc>
        <w:tc>
          <w:tcPr>
            <w:tcW w:w="118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69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环己烷</w:t>
            </w:r>
          </w:p>
        </w:tc>
        <w:tc>
          <w:tcPr>
            <w:tcW w:w="128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1.228</w:t>
            </w:r>
          </w:p>
        </w:tc>
        <w:tc>
          <w:tcPr>
            <w:tcW w:w="11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368.49</w:t>
            </w:r>
          </w:p>
        </w:tc>
        <w:tc>
          <w:tcPr>
            <w:tcW w:w="210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123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2.27</w:t>
            </w:r>
          </w:p>
        </w:tc>
        <w:tc>
          <w:tcPr>
            <w:tcW w:w="118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69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30%</w:t>
            </w:r>
            <w:r>
              <w:rPr>
                <w:rFonts w:hint="default" w:ascii="Times New Roman" w:hAnsi="Times New Roman" w:cs="Times New Roman"/>
                <w:color w:val="auto"/>
                <w:sz w:val="21"/>
                <w:szCs w:val="21"/>
              </w:rPr>
              <w:t>液碱</w:t>
            </w:r>
          </w:p>
        </w:tc>
        <w:tc>
          <w:tcPr>
            <w:tcW w:w="128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0.278</w:t>
            </w:r>
          </w:p>
        </w:tc>
        <w:tc>
          <w:tcPr>
            <w:tcW w:w="11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83.36</w:t>
            </w:r>
          </w:p>
        </w:tc>
        <w:tc>
          <w:tcPr>
            <w:tcW w:w="2100" w:type="dxa"/>
            <w:vAlign w:val="center"/>
          </w:tcPr>
          <w:p>
            <w:pPr>
              <w:pStyle w:val="40"/>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氢氧化镍</w:t>
            </w:r>
          </w:p>
        </w:tc>
        <w:tc>
          <w:tcPr>
            <w:tcW w:w="1230" w:type="dxa"/>
            <w:vAlign w:val="center"/>
          </w:tcPr>
          <w:p>
            <w:pPr>
              <w:pStyle w:val="40"/>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0.005</w:t>
            </w:r>
          </w:p>
        </w:tc>
        <w:tc>
          <w:tcPr>
            <w:tcW w:w="1183" w:type="dxa"/>
            <w:vAlign w:val="center"/>
          </w:tcPr>
          <w:p>
            <w:pPr>
              <w:pStyle w:val="40"/>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69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硝酸镍</w:t>
            </w:r>
            <w:r>
              <w:rPr>
                <w:rFonts w:hint="default" w:ascii="Times New Roman" w:hAnsi="Times New Roman" w:cs="Times New Roman"/>
                <w:color w:val="auto"/>
                <w:sz w:val="21"/>
                <w:szCs w:val="21"/>
                <w:lang w:eastAsia="zh-CN"/>
              </w:rPr>
              <w:t>水溶液</w:t>
            </w:r>
          </w:p>
        </w:tc>
        <w:tc>
          <w:tcPr>
            <w:tcW w:w="128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0.788</w:t>
            </w:r>
          </w:p>
        </w:tc>
        <w:tc>
          <w:tcPr>
            <w:tcW w:w="11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236.288</w:t>
            </w:r>
          </w:p>
        </w:tc>
        <w:tc>
          <w:tcPr>
            <w:tcW w:w="2100" w:type="dxa"/>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残液</w:t>
            </w:r>
            <w:r>
              <w:rPr>
                <w:rFonts w:hint="default" w:ascii="Times New Roman" w:hAnsi="Times New Roman" w:cs="Times New Roman"/>
                <w:color w:val="auto"/>
                <w:sz w:val="21"/>
                <w:szCs w:val="21"/>
                <w:lang w:val="en-US" w:eastAsia="zh-CN"/>
              </w:rPr>
              <w:t>(含环己烷)</w:t>
            </w:r>
          </w:p>
        </w:tc>
        <w:tc>
          <w:tcPr>
            <w:tcW w:w="1230" w:type="dxa"/>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0.1607</w:t>
            </w:r>
          </w:p>
        </w:tc>
        <w:tc>
          <w:tcPr>
            <w:tcW w:w="1183" w:type="dxa"/>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49.2888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69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新鲜</w:t>
            </w:r>
            <w:r>
              <w:rPr>
                <w:rFonts w:hint="default" w:ascii="Times New Roman" w:hAnsi="Times New Roman" w:cs="Times New Roman"/>
                <w:color w:val="auto"/>
                <w:sz w:val="21"/>
                <w:szCs w:val="21"/>
              </w:rPr>
              <w:t>水</w:t>
            </w:r>
          </w:p>
        </w:tc>
        <w:tc>
          <w:tcPr>
            <w:tcW w:w="128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1.542</w:t>
            </w:r>
          </w:p>
        </w:tc>
        <w:tc>
          <w:tcPr>
            <w:tcW w:w="11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462.6</w:t>
            </w:r>
          </w:p>
        </w:tc>
        <w:tc>
          <w:tcPr>
            <w:tcW w:w="2100" w:type="dxa"/>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干燥水分</w:t>
            </w:r>
          </w:p>
        </w:tc>
        <w:tc>
          <w:tcPr>
            <w:tcW w:w="1230" w:type="dxa"/>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0.0303</w:t>
            </w:r>
          </w:p>
        </w:tc>
        <w:tc>
          <w:tcPr>
            <w:tcW w:w="1183" w:type="dxa"/>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169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128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4.137</w:t>
            </w:r>
          </w:p>
        </w:tc>
        <w:tc>
          <w:tcPr>
            <w:tcW w:w="11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1240.898</w:t>
            </w:r>
          </w:p>
        </w:tc>
        <w:tc>
          <w:tcPr>
            <w:tcW w:w="210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1230" w:type="dxa"/>
            <w:vAlign w:val="center"/>
          </w:tcPr>
          <w:p>
            <w:pPr>
              <w:pStyle w:val="40"/>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4.137</w:t>
            </w:r>
          </w:p>
        </w:tc>
        <w:tc>
          <w:tcPr>
            <w:tcW w:w="1183" w:type="dxa"/>
            <w:vAlign w:val="center"/>
          </w:tcPr>
          <w:p>
            <w:pPr>
              <w:pStyle w:val="40"/>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1240.898</w:t>
            </w:r>
          </w:p>
        </w:tc>
      </w:tr>
    </w:tbl>
    <w:p>
      <w:pPr>
        <w:pStyle w:val="4"/>
        <w:keepNext w:val="0"/>
        <w:keepLines w:val="0"/>
        <w:pageBreakBefore w:val="0"/>
        <w:widowControl w:val="0"/>
        <w:kinsoku/>
        <w:wordWrap/>
        <w:overflowPunct/>
        <w:topLinePunct w:val="0"/>
        <w:autoSpaceDE/>
        <w:autoSpaceDN/>
        <w:bidi w:val="0"/>
        <w:adjustRightInd w:val="0"/>
        <w:snapToGrid w:val="0"/>
        <w:spacing w:beforeLines="0"/>
        <w:textAlignment w:val="auto"/>
        <w:outlineLvl w:val="1"/>
        <w:rPr>
          <w:rFonts w:hint="default" w:ascii="Times New Roman" w:hAnsi="Times New Roman" w:cs="Times New Roman"/>
          <w:color w:val="auto"/>
          <w:highlight w:val="none"/>
        </w:rPr>
      </w:pPr>
      <w:bookmarkStart w:id="325" w:name="_Toc8476"/>
      <w:bookmarkStart w:id="326" w:name="_Toc328548591"/>
      <w:bookmarkStart w:id="327" w:name="_Toc298838825"/>
      <w:bookmarkStart w:id="328" w:name="_Toc373328295"/>
      <w:r>
        <w:rPr>
          <w:rFonts w:hint="default" w:ascii="Times New Roman" w:hAnsi="Times New Roman" w:cs="Times New Roman"/>
          <w:color w:val="auto"/>
          <w:highlight w:val="none"/>
          <w:lang w:eastAsia="zh-CN"/>
        </w:rPr>
        <w:t>镍平衡</w:t>
      </w:r>
      <w:bookmarkEnd w:id="325"/>
    </w:p>
    <w:p>
      <w:pPr>
        <w:rPr>
          <w:rFonts w:hint="default" w:ascii="Times New Roman" w:hAnsi="Times New Roman" w:cs="Times New Roman"/>
          <w:color w:val="auto"/>
          <w:highlight w:val="green"/>
          <w:u w:val="single"/>
          <w:lang w:eastAsia="zh-CN"/>
        </w:rPr>
      </w:pPr>
      <w:r>
        <w:rPr>
          <w:rFonts w:hint="default" w:ascii="Times New Roman" w:hAnsi="Times New Roman" w:cs="Times New Roman"/>
          <w:color w:val="auto"/>
          <w:sz w:val="24"/>
          <w:szCs w:val="24"/>
          <w:u w:val="single"/>
        </w:rPr>
        <w:t>本项目</w:t>
      </w:r>
      <w:r>
        <w:rPr>
          <w:rFonts w:hint="default" w:ascii="Times New Roman" w:hAnsi="Times New Roman" w:cs="Times New Roman"/>
          <w:color w:val="auto"/>
          <w:sz w:val="24"/>
          <w:szCs w:val="24"/>
          <w:u w:val="single"/>
          <w:lang w:eastAsia="zh-CN"/>
        </w:rPr>
        <w:t>金属镍</w:t>
      </w:r>
      <w:r>
        <w:rPr>
          <w:rFonts w:hint="default" w:ascii="Times New Roman" w:hAnsi="Times New Roman" w:cs="Times New Roman"/>
          <w:color w:val="auto"/>
          <w:sz w:val="24"/>
          <w:szCs w:val="24"/>
          <w:u w:val="single"/>
        </w:rPr>
        <w:t>平衡</w:t>
      </w:r>
      <w:r>
        <w:rPr>
          <w:rFonts w:hint="default" w:ascii="Times New Roman" w:hAnsi="Times New Roman" w:cs="Times New Roman"/>
          <w:color w:val="auto"/>
          <w:sz w:val="24"/>
          <w:szCs w:val="24"/>
          <w:u w:val="single"/>
          <w:lang w:eastAsia="zh-CN"/>
        </w:rPr>
        <w:t>图</w:t>
      </w:r>
      <w:r>
        <w:rPr>
          <w:rFonts w:hint="default" w:ascii="Times New Roman" w:hAnsi="Times New Roman" w:cs="Times New Roman"/>
          <w:color w:val="auto"/>
          <w:sz w:val="24"/>
          <w:szCs w:val="24"/>
          <w:u w:val="single"/>
        </w:rPr>
        <w:t>见图</w:t>
      </w:r>
      <w:r>
        <w:rPr>
          <w:rFonts w:hint="default" w:ascii="Times New Roman" w:hAnsi="Times New Roman" w:cs="Times New Roman"/>
          <w:color w:val="auto"/>
          <w:sz w:val="24"/>
          <w:szCs w:val="24"/>
          <w:u w:val="single"/>
          <w:lang w:val="en-US" w:eastAsia="zh-CN"/>
        </w:rPr>
        <w:t>4-3</w:t>
      </w:r>
      <w:r>
        <w:rPr>
          <w:rFonts w:hint="default" w:ascii="Times New Roman" w:hAnsi="Times New Roman" w:cs="Times New Roman"/>
          <w:color w:val="auto"/>
          <w:sz w:val="24"/>
          <w:szCs w:val="24"/>
          <w:u w:val="single"/>
        </w:rPr>
        <w:t>。</w:t>
      </w:r>
    </w:p>
    <w:p>
      <w:pPr>
        <w:bidi w:val="0"/>
        <w:rPr>
          <w:rFonts w:hint="default" w:ascii="Times New Roman" w:hAnsi="Times New Roman" w:cs="Times New Roman"/>
          <w:color w:val="auto"/>
        </w:rPr>
      </w:pPr>
      <w:r>
        <w:rPr>
          <w:rFonts w:hint="default" w:ascii="Times New Roman" w:hAnsi="Times New Roman" w:cs="Times New Roman"/>
          <w:color w:val="auto"/>
          <w:lang w:eastAsia="zh-CN"/>
        </w:rPr>
        <w:drawing>
          <wp:anchor distT="0" distB="0" distL="114300" distR="114300" simplePos="0" relativeHeight="251671552" behindDoc="0" locked="0" layoutInCell="1" allowOverlap="1">
            <wp:simplePos x="0" y="0"/>
            <wp:positionH relativeFrom="column">
              <wp:posOffset>-15240</wp:posOffset>
            </wp:positionH>
            <wp:positionV relativeFrom="paragraph">
              <wp:posOffset>328295</wp:posOffset>
            </wp:positionV>
            <wp:extent cx="5282565" cy="4128135"/>
            <wp:effectExtent l="0" t="0" r="13335" b="5715"/>
            <wp:wrapSquare wrapText="bothSides"/>
            <wp:docPr id="127" name="图片 127" descr="C:\Users\Administrator\Desktop\图片2.jp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C:\Users\Administrator\Desktop\图片2.jpg图片2"/>
                    <pic:cNvPicPr>
                      <a:picLocks noChangeAspect="1"/>
                    </pic:cNvPicPr>
                  </pic:nvPicPr>
                  <pic:blipFill>
                    <a:blip r:embed="rId36"/>
                    <a:srcRect/>
                    <a:stretch>
                      <a:fillRect/>
                    </a:stretch>
                  </pic:blipFill>
                  <pic:spPr>
                    <a:xfrm>
                      <a:off x="0" y="0"/>
                      <a:ext cx="5282565" cy="4128135"/>
                    </a:xfrm>
                    <a:prstGeom prst="rect">
                      <a:avLst/>
                    </a:prstGeom>
                  </pic:spPr>
                </pic:pic>
              </a:graphicData>
            </a:graphic>
          </wp:anchor>
        </w:drawing>
      </w:r>
    </w:p>
    <w:p>
      <w:pPr>
        <w:jc w:val="center"/>
        <w:rPr>
          <w:rFonts w:hint="default" w:ascii="Times New Roman" w:hAnsi="Times New Roman" w:cs="Times New Roman"/>
          <w:b/>
          <w:bCs/>
          <w:color w:val="auto"/>
          <w:highlight w:val="none"/>
        </w:rPr>
      </w:pPr>
    </w:p>
    <w:p>
      <w:pPr>
        <w:jc w:val="center"/>
        <w:rPr>
          <w:rFonts w:hint="default" w:ascii="Times New Roman" w:hAnsi="Times New Roman" w:cs="Times New Roman"/>
          <w:b/>
          <w:bCs/>
          <w:color w:val="auto"/>
          <w:highlight w:val="none"/>
          <w:u w:val="single"/>
        </w:rPr>
      </w:pPr>
      <w:r>
        <w:rPr>
          <w:rFonts w:hint="default" w:ascii="Times New Roman" w:hAnsi="Times New Roman" w:cs="Times New Roman"/>
          <w:b/>
          <w:bCs/>
          <w:color w:val="auto"/>
          <w:highlight w:val="none"/>
          <w:u w:val="single"/>
        </w:rPr>
        <w:t xml:space="preserve">图 </w:t>
      </w:r>
      <w:r>
        <w:rPr>
          <w:rFonts w:hint="default" w:ascii="Times New Roman" w:hAnsi="Times New Roman" w:cs="Times New Roman"/>
          <w:b/>
          <w:bCs/>
          <w:color w:val="auto"/>
          <w:highlight w:val="none"/>
          <w:u w:val="single"/>
        </w:rPr>
        <w:fldChar w:fldCharType="begin"/>
      </w:r>
      <w:r>
        <w:rPr>
          <w:rFonts w:hint="default" w:ascii="Times New Roman" w:hAnsi="Times New Roman" w:cs="Times New Roman"/>
          <w:b/>
          <w:bCs/>
          <w:color w:val="auto"/>
          <w:highlight w:val="none"/>
          <w:u w:val="single"/>
        </w:rPr>
        <w:instrText xml:space="preserve"> STYLEREF 1 \s </w:instrText>
      </w:r>
      <w:r>
        <w:rPr>
          <w:rFonts w:hint="default" w:ascii="Times New Roman" w:hAnsi="Times New Roman" w:cs="Times New Roman"/>
          <w:b/>
          <w:bCs/>
          <w:color w:val="auto"/>
          <w:highlight w:val="none"/>
          <w:u w:val="single"/>
        </w:rPr>
        <w:fldChar w:fldCharType="separate"/>
      </w:r>
      <w:r>
        <w:rPr>
          <w:rFonts w:hint="default" w:ascii="Times New Roman" w:hAnsi="Times New Roman" w:cs="Times New Roman"/>
          <w:b/>
          <w:bCs/>
          <w:color w:val="auto"/>
          <w:highlight w:val="none"/>
          <w:u w:val="single"/>
        </w:rPr>
        <w:t>4</w:t>
      </w:r>
      <w:r>
        <w:rPr>
          <w:rFonts w:hint="default" w:ascii="Times New Roman" w:hAnsi="Times New Roman" w:cs="Times New Roman"/>
          <w:b/>
          <w:bCs/>
          <w:color w:val="auto"/>
          <w:highlight w:val="none"/>
          <w:u w:val="single"/>
        </w:rPr>
        <w:fldChar w:fldCharType="end"/>
      </w:r>
      <w:r>
        <w:rPr>
          <w:rFonts w:hint="default" w:ascii="Times New Roman" w:hAnsi="Times New Roman" w:cs="Times New Roman"/>
          <w:b/>
          <w:bCs/>
          <w:color w:val="auto"/>
          <w:highlight w:val="none"/>
          <w:u w:val="single"/>
          <w:lang w:eastAsia="zh-CN"/>
        </w:rPr>
        <w:t>-</w:t>
      </w:r>
      <w:r>
        <w:rPr>
          <w:rFonts w:hint="default" w:ascii="Times New Roman" w:hAnsi="Times New Roman" w:cs="Times New Roman"/>
          <w:b/>
          <w:bCs/>
          <w:color w:val="auto"/>
          <w:highlight w:val="none"/>
          <w:u w:val="single"/>
          <w:lang w:val="en-US" w:eastAsia="zh-CN"/>
        </w:rPr>
        <w:t xml:space="preserve">3  </w:t>
      </w:r>
      <w:r>
        <w:rPr>
          <w:rFonts w:hint="default" w:ascii="Times New Roman" w:hAnsi="Times New Roman" w:cs="Times New Roman"/>
          <w:b/>
          <w:bCs/>
          <w:color w:val="auto"/>
          <w:highlight w:val="none"/>
          <w:u w:val="single"/>
        </w:rPr>
        <w:t>加氢催化剂生产</w:t>
      </w:r>
      <w:r>
        <w:rPr>
          <w:rFonts w:hint="default" w:ascii="Times New Roman" w:hAnsi="Times New Roman" w:cs="Times New Roman"/>
          <w:b/>
          <w:bCs/>
          <w:color w:val="auto"/>
          <w:highlight w:val="none"/>
          <w:u w:val="single"/>
          <w:lang w:eastAsia="zh-CN"/>
        </w:rPr>
        <w:t>镍平衡</w:t>
      </w:r>
      <w:r>
        <w:rPr>
          <w:rFonts w:hint="default" w:ascii="Times New Roman" w:hAnsi="Times New Roman" w:cs="Times New Roman"/>
          <w:b/>
          <w:bCs/>
          <w:color w:val="auto"/>
          <w:highlight w:val="none"/>
          <w:u w:val="single"/>
        </w:rPr>
        <w:t>图</w:t>
      </w:r>
    </w:p>
    <w:p>
      <w:pPr>
        <w:pStyle w:val="4"/>
        <w:keepNext w:val="0"/>
        <w:keepLines w:val="0"/>
        <w:pageBreakBefore w:val="0"/>
        <w:widowControl w:val="0"/>
        <w:kinsoku/>
        <w:wordWrap/>
        <w:overflowPunct/>
        <w:topLinePunct w:val="0"/>
        <w:autoSpaceDE/>
        <w:autoSpaceDN/>
        <w:bidi w:val="0"/>
        <w:adjustRightInd w:val="0"/>
        <w:snapToGrid w:val="0"/>
        <w:spacing w:beforeLines="0" w:afterLines="0"/>
        <w:textAlignment w:val="auto"/>
        <w:outlineLvl w:val="1"/>
        <w:rPr>
          <w:rFonts w:hint="default" w:ascii="Times New Roman" w:hAnsi="Times New Roman" w:cs="Times New Roman"/>
          <w:color w:val="auto"/>
          <w:highlight w:val="none"/>
        </w:rPr>
      </w:pPr>
      <w:bookmarkStart w:id="329" w:name="_Toc7131"/>
      <w:r>
        <w:rPr>
          <w:rFonts w:hint="default" w:ascii="Times New Roman" w:hAnsi="Times New Roman" w:cs="Times New Roman"/>
          <w:color w:val="auto"/>
          <w:highlight w:val="none"/>
          <w:lang w:eastAsia="zh-CN"/>
        </w:rPr>
        <w:t>溶剂平衡</w:t>
      </w:r>
      <w:bookmarkEnd w:id="329"/>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rPr>
      </w:pPr>
      <w:r>
        <w:rPr>
          <w:rFonts w:hint="default" w:ascii="Times New Roman" w:hAnsi="Times New Roman" w:cs="Times New Roman"/>
          <w:color w:val="auto"/>
          <w:u w:val="single"/>
        </w:rPr>
        <w:t>本项目</w:t>
      </w:r>
      <w:r>
        <w:rPr>
          <w:rFonts w:hint="default" w:ascii="Times New Roman" w:hAnsi="Times New Roman" w:cs="Times New Roman"/>
          <w:color w:val="auto"/>
          <w:u w:val="single"/>
          <w:lang w:eastAsia="zh-CN"/>
        </w:rPr>
        <w:t>溶剂环己烷</w:t>
      </w:r>
      <w:r>
        <w:rPr>
          <w:rFonts w:hint="default" w:ascii="Times New Roman" w:hAnsi="Times New Roman" w:cs="Times New Roman"/>
          <w:color w:val="auto"/>
          <w:u w:val="single"/>
        </w:rPr>
        <w:t>平衡</w:t>
      </w:r>
      <w:r>
        <w:rPr>
          <w:rFonts w:hint="default" w:ascii="Times New Roman" w:hAnsi="Times New Roman" w:cs="Times New Roman"/>
          <w:color w:val="auto"/>
          <w:u w:val="single"/>
          <w:lang w:eastAsia="zh-CN"/>
        </w:rPr>
        <w:t>图</w:t>
      </w:r>
      <w:r>
        <w:rPr>
          <w:rFonts w:hint="default" w:ascii="Times New Roman" w:hAnsi="Times New Roman" w:cs="Times New Roman"/>
          <w:color w:val="auto"/>
          <w:u w:val="single"/>
        </w:rPr>
        <w:t>见图</w:t>
      </w:r>
      <w:r>
        <w:rPr>
          <w:rFonts w:hint="default" w:ascii="Times New Roman" w:hAnsi="Times New Roman" w:cs="Times New Roman"/>
          <w:color w:val="auto"/>
          <w:u w:val="single"/>
          <w:lang w:val="en-US" w:eastAsia="zh-CN"/>
        </w:rPr>
        <w:t>4-4</w:t>
      </w:r>
      <w:r>
        <w:rPr>
          <w:rFonts w:hint="default" w:ascii="Times New Roman" w:hAnsi="Times New Roman" w:cs="Times New Roman"/>
          <w:color w:val="auto"/>
          <w:u w:val="single"/>
        </w:rPr>
        <w:t>。</w:t>
      </w:r>
    </w:p>
    <w:p>
      <w:pPr>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drawing>
          <wp:inline distT="0" distB="0" distL="114300" distR="114300">
            <wp:extent cx="5033010" cy="3877310"/>
            <wp:effectExtent l="0" t="0" r="15240" b="8890"/>
            <wp:docPr id="11" name="图片 11" descr="C:\Users\Administrator\Desktop\图片3.jp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图片3.jpg图片3"/>
                    <pic:cNvPicPr>
                      <a:picLocks noChangeAspect="1"/>
                    </pic:cNvPicPr>
                  </pic:nvPicPr>
                  <pic:blipFill>
                    <a:blip r:embed="rId37"/>
                    <a:srcRect/>
                    <a:stretch>
                      <a:fillRect/>
                    </a:stretch>
                  </pic:blipFill>
                  <pic:spPr>
                    <a:xfrm>
                      <a:off x="0" y="0"/>
                      <a:ext cx="5033010" cy="3877310"/>
                    </a:xfrm>
                    <a:prstGeom prst="rect">
                      <a:avLst/>
                    </a:prstGeom>
                  </pic:spPr>
                </pic:pic>
              </a:graphicData>
            </a:graphic>
          </wp:inline>
        </w:drawing>
      </w:r>
    </w:p>
    <w:p>
      <w:pPr>
        <w:pStyle w:val="14"/>
        <w:bidi w:val="0"/>
        <w:rPr>
          <w:rFonts w:hint="default" w:ascii="Times New Roman" w:hAnsi="Times New Roman" w:cs="Times New Roman"/>
          <w:color w:val="auto"/>
          <w:highlight w:val="none"/>
          <w:u w:val="single"/>
        </w:rPr>
      </w:pPr>
    </w:p>
    <w:p>
      <w:pPr>
        <w:pStyle w:val="14"/>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 xml:space="preserve">图 </w:t>
      </w:r>
      <w:r>
        <w:rPr>
          <w:rFonts w:hint="default" w:ascii="Times New Roman" w:hAnsi="Times New Roman" w:cs="Times New Roman"/>
          <w:color w:val="auto"/>
          <w:highlight w:val="none"/>
          <w:u w:val="single"/>
        </w:rPr>
        <w:fldChar w:fldCharType="begin"/>
      </w:r>
      <w:r>
        <w:rPr>
          <w:rFonts w:hint="default" w:ascii="Times New Roman" w:hAnsi="Times New Roman" w:cs="Times New Roman"/>
          <w:color w:val="auto"/>
          <w:highlight w:val="none"/>
          <w:u w:val="single"/>
        </w:rPr>
        <w:instrText xml:space="preserve"> STYLEREF 1 \s </w:instrText>
      </w:r>
      <w:r>
        <w:rPr>
          <w:rFonts w:hint="default" w:ascii="Times New Roman" w:hAnsi="Times New Roman" w:cs="Times New Roman"/>
          <w:color w:val="auto"/>
          <w:highlight w:val="none"/>
          <w:u w:val="single"/>
        </w:rPr>
        <w:fldChar w:fldCharType="separate"/>
      </w:r>
      <w:r>
        <w:rPr>
          <w:rFonts w:hint="default" w:ascii="Times New Roman" w:hAnsi="Times New Roman" w:cs="Times New Roman"/>
          <w:color w:val="auto"/>
          <w:highlight w:val="none"/>
          <w:u w:val="single"/>
        </w:rPr>
        <w:t>4</w:t>
      </w:r>
      <w:r>
        <w:rPr>
          <w:rFonts w:hint="default" w:ascii="Times New Roman" w:hAnsi="Times New Roman" w:cs="Times New Roman"/>
          <w:color w:val="auto"/>
          <w:highlight w:val="none"/>
          <w:u w:val="single"/>
        </w:rPr>
        <w:fldChar w:fldCharType="end"/>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 xml:space="preserve">4  </w:t>
      </w:r>
      <w:r>
        <w:rPr>
          <w:rFonts w:hint="default" w:ascii="Times New Roman" w:hAnsi="Times New Roman" w:cs="Times New Roman"/>
          <w:color w:val="auto"/>
          <w:highlight w:val="none"/>
          <w:u w:val="single"/>
        </w:rPr>
        <w:t>加氢催化剂生产</w:t>
      </w:r>
      <w:r>
        <w:rPr>
          <w:rFonts w:hint="default" w:ascii="Times New Roman" w:hAnsi="Times New Roman" w:cs="Times New Roman"/>
          <w:color w:val="auto"/>
          <w:highlight w:val="none"/>
          <w:u w:val="single"/>
          <w:lang w:eastAsia="zh-CN"/>
        </w:rPr>
        <w:t>溶剂</w:t>
      </w:r>
      <w:r>
        <w:rPr>
          <w:rFonts w:hint="default" w:ascii="Times New Roman" w:hAnsi="Times New Roman" w:cs="Times New Roman"/>
          <w:color w:val="auto"/>
          <w:u w:val="single"/>
          <w:lang w:eastAsia="zh-CN"/>
        </w:rPr>
        <w:t>环己烷</w:t>
      </w:r>
      <w:r>
        <w:rPr>
          <w:rFonts w:hint="default" w:ascii="Times New Roman" w:hAnsi="Times New Roman" w:cs="Times New Roman"/>
          <w:color w:val="auto"/>
          <w:highlight w:val="none"/>
          <w:u w:val="single"/>
          <w:lang w:eastAsia="zh-CN"/>
        </w:rPr>
        <w:t>平衡</w:t>
      </w:r>
      <w:r>
        <w:rPr>
          <w:rFonts w:hint="default" w:ascii="Times New Roman" w:hAnsi="Times New Roman" w:cs="Times New Roman"/>
          <w:color w:val="auto"/>
          <w:highlight w:val="none"/>
          <w:u w:val="single"/>
        </w:rPr>
        <w:t>图</w:t>
      </w:r>
    </w:p>
    <w:p>
      <w:pPr>
        <w:rPr>
          <w:rFonts w:hint="default"/>
          <w:color w:val="auto"/>
        </w:rPr>
      </w:pPr>
    </w:p>
    <w:p>
      <w:pPr>
        <w:pStyle w:val="4"/>
        <w:keepNext w:val="0"/>
        <w:keepLines w:val="0"/>
        <w:pageBreakBefore w:val="0"/>
        <w:widowControl w:val="0"/>
        <w:kinsoku/>
        <w:wordWrap/>
        <w:overflowPunct/>
        <w:topLinePunct w:val="0"/>
        <w:autoSpaceDE/>
        <w:autoSpaceDN/>
        <w:bidi w:val="0"/>
        <w:adjustRightInd w:val="0"/>
        <w:snapToGrid w:val="0"/>
        <w:spacing w:beforeLines="0" w:afterLines="0"/>
        <w:textAlignment w:val="auto"/>
        <w:outlineLvl w:val="1"/>
        <w:rPr>
          <w:rFonts w:hint="default" w:ascii="Times New Roman" w:hAnsi="Times New Roman" w:cs="Times New Roman"/>
          <w:color w:val="auto"/>
          <w:highlight w:val="none"/>
        </w:rPr>
      </w:pPr>
      <w:bookmarkStart w:id="330" w:name="_Toc11452"/>
      <w:r>
        <w:rPr>
          <w:rFonts w:hint="default" w:ascii="Times New Roman" w:hAnsi="Times New Roman" w:cs="Times New Roman"/>
          <w:color w:val="auto"/>
          <w:highlight w:val="none"/>
        </w:rPr>
        <w:t>水平衡</w:t>
      </w:r>
      <w:bookmarkEnd w:id="330"/>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本项目水平衡</w:t>
      </w:r>
      <w:r>
        <w:rPr>
          <w:rFonts w:hint="default" w:ascii="Times New Roman" w:hAnsi="Times New Roman" w:cs="Times New Roman"/>
          <w:color w:val="auto"/>
          <w:lang w:eastAsia="zh-CN"/>
        </w:rPr>
        <w:t>图</w:t>
      </w:r>
      <w:r>
        <w:rPr>
          <w:rFonts w:hint="default" w:ascii="Times New Roman" w:hAnsi="Times New Roman" w:cs="Times New Roman"/>
          <w:color w:val="auto"/>
        </w:rPr>
        <w:t>见图</w:t>
      </w:r>
      <w:r>
        <w:rPr>
          <w:rFonts w:hint="default" w:ascii="Times New Roman" w:hAnsi="Times New Roman" w:cs="Times New Roman"/>
          <w:color w:val="auto"/>
          <w:lang w:val="en-US" w:eastAsia="zh-CN"/>
        </w:rPr>
        <w:t>4-5</w:t>
      </w:r>
      <w:r>
        <w:rPr>
          <w:rFonts w:hint="default" w:ascii="Times New Roman" w:hAnsi="Times New Roman" w:cs="Times New Roman"/>
          <w:color w:val="auto"/>
        </w:rPr>
        <w:t>。</w:t>
      </w:r>
    </w:p>
    <w:p>
      <w:pPr>
        <w:pStyle w:val="39"/>
        <w:bidi w:val="0"/>
        <w:jc w:val="center"/>
        <w:rPr>
          <w:rFonts w:hint="default" w:ascii="Times New Roman" w:hAnsi="Times New Roman" w:cs="Times New Roman"/>
          <w:b/>
          <w:bCs/>
          <w:color w:val="auto"/>
          <w:sz w:val="21"/>
          <w:szCs w:val="21"/>
        </w:rPr>
      </w:pPr>
      <w:r>
        <w:rPr>
          <w:rFonts w:hint="default" w:ascii="Times New Roman" w:hAnsi="Times New Roman" w:eastAsia="宋体" w:cs="Times New Roman"/>
          <w:color w:val="auto"/>
          <w:lang w:eastAsia="zh-CN"/>
        </w:rPr>
        <w:drawing>
          <wp:anchor distT="0" distB="0" distL="114300" distR="114300" simplePos="0" relativeHeight="251672576" behindDoc="1" locked="0" layoutInCell="1" allowOverlap="1">
            <wp:simplePos x="0" y="0"/>
            <wp:positionH relativeFrom="column">
              <wp:posOffset>9525</wp:posOffset>
            </wp:positionH>
            <wp:positionV relativeFrom="paragraph">
              <wp:posOffset>31750</wp:posOffset>
            </wp:positionV>
            <wp:extent cx="5577840" cy="3299460"/>
            <wp:effectExtent l="0" t="0" r="3810" b="15240"/>
            <wp:wrapTight wrapText="bothSides">
              <wp:wrapPolygon>
                <wp:start x="0" y="0"/>
                <wp:lineTo x="0" y="21450"/>
                <wp:lineTo x="21541" y="21450"/>
                <wp:lineTo x="21541" y="0"/>
                <wp:lineTo x="0" y="0"/>
              </wp:wrapPolygon>
            </wp:wrapTight>
            <wp:docPr id="61" name="图片 61" descr="鑫达水平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鑫达水平衡图"/>
                    <pic:cNvPicPr>
                      <a:picLocks noChangeAspect="1"/>
                    </pic:cNvPicPr>
                  </pic:nvPicPr>
                  <pic:blipFill>
                    <a:blip r:embed="rId38"/>
                    <a:stretch>
                      <a:fillRect/>
                    </a:stretch>
                  </pic:blipFill>
                  <pic:spPr>
                    <a:xfrm>
                      <a:off x="0" y="0"/>
                      <a:ext cx="5577840" cy="3299460"/>
                    </a:xfrm>
                    <a:prstGeom prst="rect">
                      <a:avLst/>
                    </a:prstGeom>
                  </pic:spPr>
                </pic:pic>
              </a:graphicData>
            </a:graphic>
          </wp:anchor>
        </w:drawing>
      </w:r>
    </w:p>
    <w:p>
      <w:pPr>
        <w:pStyle w:val="39"/>
        <w:bidi w:val="0"/>
        <w:jc w:val="center"/>
        <w:rPr>
          <w:rFonts w:hint="default" w:ascii="Times New Roman" w:hAnsi="Times New Roman" w:cs="Times New Roman"/>
          <w:color w:val="auto"/>
        </w:rPr>
      </w:pPr>
      <w:r>
        <w:rPr>
          <w:rFonts w:hint="default" w:ascii="Times New Roman" w:hAnsi="Times New Roman" w:cs="Times New Roman"/>
          <w:b/>
          <w:bCs/>
          <w:color w:val="auto"/>
          <w:sz w:val="21"/>
          <w:szCs w:val="21"/>
        </w:rPr>
        <w:t>图</w:t>
      </w:r>
      <w:r>
        <w:rPr>
          <w:rFonts w:hint="default" w:ascii="Times New Roman" w:hAnsi="Times New Roman" w:cs="Times New Roman"/>
          <w:b/>
          <w:bCs/>
          <w:color w:val="auto"/>
          <w:sz w:val="21"/>
          <w:szCs w:val="21"/>
          <w:lang w:val="en-US" w:eastAsia="zh-CN"/>
        </w:rPr>
        <w:t>4-5</w:t>
      </w:r>
      <w:r>
        <w:rPr>
          <w:rFonts w:hint="default" w:ascii="Times New Roman" w:hAnsi="Times New Roman" w:cs="Times New Roman"/>
          <w:b/>
          <w:bCs/>
          <w:color w:val="auto"/>
          <w:sz w:val="21"/>
          <w:szCs w:val="21"/>
        </w:rPr>
        <w:t xml:space="preserve">  加氢催化剂生产水平衡图</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本项目生产过程中涉及的蒸汽由</w:t>
      </w:r>
      <w:r>
        <w:rPr>
          <w:rFonts w:hint="default" w:ascii="Times New Roman" w:hAnsi="Times New Roman" w:cs="Times New Roman"/>
          <w:color w:val="auto"/>
          <w:lang w:eastAsia="zh-CN"/>
        </w:rPr>
        <w:t>巴陵石化公司</w:t>
      </w:r>
      <w:r>
        <w:rPr>
          <w:rFonts w:hint="default" w:ascii="Times New Roman" w:hAnsi="Times New Roman" w:cs="Times New Roman"/>
          <w:color w:val="auto"/>
        </w:rPr>
        <w:t>提供，不与物料接触，仅有巴陵石化计量统计中心每月结算，本次不纳入水平衡分析中。</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highlight w:val="none"/>
          <w:u w:val="single"/>
        </w:rPr>
      </w:pPr>
      <w:r>
        <w:rPr>
          <w:rFonts w:hint="default" w:ascii="Times New Roman" w:hAnsi="Times New Roman" w:cs="Times New Roman"/>
          <w:color w:val="auto"/>
          <w:u w:val="single"/>
        </w:rPr>
        <w:t>项目厂区总体水平衡</w:t>
      </w:r>
      <w:r>
        <w:rPr>
          <w:rFonts w:hint="default" w:ascii="Times New Roman" w:hAnsi="Times New Roman" w:cs="Times New Roman"/>
          <w:color w:val="auto"/>
          <w:highlight w:val="none"/>
          <w:u w:val="single"/>
        </w:rPr>
        <w:t>分析见表</w:t>
      </w:r>
      <w:r>
        <w:rPr>
          <w:rFonts w:hint="default" w:ascii="Times New Roman" w:hAnsi="Times New Roman" w:cs="Times New Roman"/>
          <w:color w:val="auto"/>
          <w:highlight w:val="none"/>
          <w:u w:val="single"/>
          <w:lang w:val="en-US" w:eastAsia="zh-CN"/>
        </w:rPr>
        <w:t xml:space="preserve"> </w:t>
      </w:r>
      <w:r>
        <w:rPr>
          <w:rFonts w:hint="eastAsia" w:cs="Times New Roman"/>
          <w:color w:val="auto"/>
          <w:highlight w:val="none"/>
          <w:u w:val="single"/>
          <w:lang w:val="en-US" w:eastAsia="zh-CN"/>
        </w:rPr>
        <w:t>4</w:t>
      </w:r>
      <w:r>
        <w:rPr>
          <w:rFonts w:hint="default" w:ascii="Times New Roman" w:hAnsi="Times New Roman" w:cs="Times New Roman"/>
          <w:color w:val="auto"/>
          <w:highlight w:val="none"/>
          <w:u w:val="single"/>
          <w:lang w:val="en-US" w:eastAsia="zh-CN"/>
        </w:rPr>
        <w:t>-2</w:t>
      </w:r>
      <w:r>
        <w:rPr>
          <w:rFonts w:hint="default" w:ascii="Times New Roman" w:hAnsi="Times New Roman" w:cs="Times New Roman"/>
          <w:color w:val="auto"/>
          <w:highlight w:val="none"/>
          <w:u w:val="single"/>
        </w:rPr>
        <w:t>和图</w:t>
      </w:r>
      <w:r>
        <w:rPr>
          <w:rFonts w:hint="default" w:ascii="Times New Roman" w:hAnsi="Times New Roman" w:cs="Times New Roman"/>
          <w:color w:val="auto"/>
          <w:highlight w:val="none"/>
          <w:u w:val="single"/>
          <w:lang w:val="en-US" w:eastAsia="zh-CN"/>
        </w:rPr>
        <w:t>4-5</w:t>
      </w:r>
      <w:r>
        <w:rPr>
          <w:rFonts w:hint="default" w:ascii="Times New Roman" w:hAnsi="Times New Roman" w:cs="Times New Roman"/>
          <w:color w:val="auto"/>
          <w:highlight w:val="none"/>
          <w:u w:val="single"/>
        </w:rPr>
        <w:t>。</w:t>
      </w: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表</w:t>
      </w:r>
      <w:r>
        <w:rPr>
          <w:rFonts w:hint="eastAsia" w:cs="Times New Roman"/>
          <w:color w:val="auto"/>
          <w:highlight w:val="none"/>
          <w:u w:val="single"/>
          <w:lang w:val="en-US" w:eastAsia="zh-CN"/>
        </w:rPr>
        <w:t>4</w:t>
      </w:r>
      <w:r>
        <w:rPr>
          <w:rFonts w:hint="default" w:ascii="Times New Roman" w:hAnsi="Times New Roman" w:cs="Times New Roman"/>
          <w:color w:val="auto"/>
          <w:highlight w:val="none"/>
          <w:u w:val="single"/>
          <w:lang w:val="en-US" w:eastAsia="zh-CN"/>
        </w:rPr>
        <w:t xml:space="preserve">-2  </w:t>
      </w:r>
      <w:r>
        <w:rPr>
          <w:rFonts w:hint="default" w:ascii="Times New Roman" w:hAnsi="Times New Roman" w:cs="Times New Roman"/>
          <w:color w:val="auto"/>
          <w:highlight w:val="none"/>
          <w:u w:val="single"/>
        </w:rPr>
        <w:t>总体水平衡表</w:t>
      </w:r>
    </w:p>
    <w:tbl>
      <w:tblPr>
        <w:tblStyle w:val="24"/>
        <w:tblW w:w="96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4"/>
        <w:gridCol w:w="758"/>
        <w:gridCol w:w="882"/>
        <w:gridCol w:w="750"/>
        <w:gridCol w:w="960"/>
        <w:gridCol w:w="962"/>
        <w:gridCol w:w="832"/>
        <w:gridCol w:w="873"/>
        <w:gridCol w:w="900"/>
        <w:gridCol w:w="22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2" w:type="dxa"/>
            <w:gridSpan w:val="2"/>
            <w:vMerge w:val="restart"/>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2592" w:type="dxa"/>
            <w:gridSpan w:val="3"/>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输入水量（m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3567" w:type="dxa"/>
            <w:gridSpan w:val="4"/>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输出水量（m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2290" w:type="dxa"/>
            <w:vMerge w:val="restart"/>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 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2" w:type="dxa"/>
            <w:gridSpan w:val="2"/>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p>
        </w:tc>
        <w:tc>
          <w:tcPr>
            <w:tcW w:w="88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新鲜水</w:t>
            </w:r>
          </w:p>
        </w:tc>
        <w:tc>
          <w:tcPr>
            <w:tcW w:w="7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物料</w:t>
            </w:r>
          </w:p>
        </w:tc>
        <w:tc>
          <w:tcPr>
            <w:tcW w:w="96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小计</w:t>
            </w:r>
          </w:p>
        </w:tc>
        <w:tc>
          <w:tcPr>
            <w:tcW w:w="96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损耗</w:t>
            </w:r>
          </w:p>
        </w:tc>
        <w:tc>
          <w:tcPr>
            <w:tcW w:w="83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回用</w:t>
            </w:r>
          </w:p>
        </w:tc>
        <w:tc>
          <w:tcPr>
            <w:tcW w:w="87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排水</w:t>
            </w:r>
          </w:p>
        </w:tc>
        <w:tc>
          <w:tcPr>
            <w:tcW w:w="9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小计</w:t>
            </w:r>
          </w:p>
        </w:tc>
        <w:tc>
          <w:tcPr>
            <w:tcW w:w="2290"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172" w:type="dxa"/>
            <w:gridSpan w:val="2"/>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生活用水</w:t>
            </w:r>
          </w:p>
        </w:tc>
        <w:tc>
          <w:tcPr>
            <w:tcW w:w="88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489.6</w:t>
            </w:r>
          </w:p>
        </w:tc>
        <w:tc>
          <w:tcPr>
            <w:tcW w:w="7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6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489.6</w:t>
            </w:r>
          </w:p>
        </w:tc>
        <w:tc>
          <w:tcPr>
            <w:tcW w:w="96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97.92</w:t>
            </w:r>
          </w:p>
        </w:tc>
        <w:tc>
          <w:tcPr>
            <w:tcW w:w="83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87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391.68</w:t>
            </w:r>
          </w:p>
        </w:tc>
        <w:tc>
          <w:tcPr>
            <w:tcW w:w="9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489.6</w:t>
            </w:r>
          </w:p>
        </w:tc>
        <w:tc>
          <w:tcPr>
            <w:tcW w:w="229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化粪池处理后排入厂区污水管网进巴陵石化污水处理厂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172" w:type="dxa"/>
            <w:gridSpan w:val="2"/>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TNP</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生产用水</w:t>
            </w:r>
          </w:p>
        </w:tc>
        <w:tc>
          <w:tcPr>
            <w:tcW w:w="88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7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1300</w:t>
            </w:r>
          </w:p>
        </w:tc>
        <w:tc>
          <w:tcPr>
            <w:tcW w:w="96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1300</w:t>
            </w:r>
          </w:p>
        </w:tc>
        <w:tc>
          <w:tcPr>
            <w:tcW w:w="96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1007.65</w:t>
            </w:r>
          </w:p>
        </w:tc>
        <w:tc>
          <w:tcPr>
            <w:tcW w:w="83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87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292.34</w:t>
            </w:r>
          </w:p>
        </w:tc>
        <w:tc>
          <w:tcPr>
            <w:tcW w:w="9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1300</w:t>
            </w:r>
          </w:p>
        </w:tc>
        <w:tc>
          <w:tcPr>
            <w:tcW w:w="229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排水进防腐水池处理后排至厂区污水管网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1172" w:type="dxa"/>
            <w:gridSpan w:val="2"/>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氯化锂</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生产用水</w:t>
            </w:r>
          </w:p>
        </w:tc>
        <w:tc>
          <w:tcPr>
            <w:tcW w:w="88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7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1184</w:t>
            </w:r>
          </w:p>
        </w:tc>
        <w:tc>
          <w:tcPr>
            <w:tcW w:w="96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1184</w:t>
            </w:r>
          </w:p>
        </w:tc>
        <w:tc>
          <w:tcPr>
            <w:tcW w:w="96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400.00</w:t>
            </w:r>
          </w:p>
        </w:tc>
        <w:tc>
          <w:tcPr>
            <w:tcW w:w="83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87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783.99</w:t>
            </w:r>
          </w:p>
        </w:tc>
        <w:tc>
          <w:tcPr>
            <w:tcW w:w="9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1184</w:t>
            </w:r>
          </w:p>
        </w:tc>
        <w:tc>
          <w:tcPr>
            <w:tcW w:w="229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进入废水收集池处理后排入厂区污水管网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414" w:type="dxa"/>
            <w:vMerge w:val="restart"/>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循环冷却水</w:t>
            </w:r>
          </w:p>
        </w:tc>
        <w:tc>
          <w:tcPr>
            <w:tcW w:w="75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TNP</w:t>
            </w:r>
          </w:p>
        </w:tc>
        <w:tc>
          <w:tcPr>
            <w:tcW w:w="88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6000</w:t>
            </w:r>
          </w:p>
        </w:tc>
        <w:tc>
          <w:tcPr>
            <w:tcW w:w="7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6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6000</w:t>
            </w:r>
          </w:p>
        </w:tc>
        <w:tc>
          <w:tcPr>
            <w:tcW w:w="96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83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6000</w:t>
            </w:r>
          </w:p>
        </w:tc>
        <w:tc>
          <w:tcPr>
            <w:tcW w:w="87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6000</w:t>
            </w:r>
          </w:p>
        </w:tc>
        <w:tc>
          <w:tcPr>
            <w:tcW w:w="2290" w:type="dxa"/>
            <w:vMerge w:val="restart"/>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项目生产循环冷却水由巴陵石化公司经冷却循环水管道统一提供，使用后经由管道回用，厂内不损耗，无排水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4"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p>
        </w:tc>
        <w:tc>
          <w:tcPr>
            <w:tcW w:w="75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氯化锂</w:t>
            </w:r>
          </w:p>
        </w:tc>
        <w:tc>
          <w:tcPr>
            <w:tcW w:w="88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240</w:t>
            </w:r>
          </w:p>
        </w:tc>
        <w:tc>
          <w:tcPr>
            <w:tcW w:w="7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6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240</w:t>
            </w:r>
          </w:p>
        </w:tc>
        <w:tc>
          <w:tcPr>
            <w:tcW w:w="96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83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240</w:t>
            </w:r>
          </w:p>
        </w:tc>
        <w:tc>
          <w:tcPr>
            <w:tcW w:w="87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240</w:t>
            </w:r>
          </w:p>
        </w:tc>
        <w:tc>
          <w:tcPr>
            <w:tcW w:w="2290"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p>
        </w:tc>
        <w:tc>
          <w:tcPr>
            <w:tcW w:w="758"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二氯二茂钛</w:t>
            </w:r>
          </w:p>
        </w:tc>
        <w:tc>
          <w:tcPr>
            <w:tcW w:w="88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13500</w:t>
            </w:r>
          </w:p>
        </w:tc>
        <w:tc>
          <w:tcPr>
            <w:tcW w:w="7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6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13500</w:t>
            </w:r>
          </w:p>
        </w:tc>
        <w:tc>
          <w:tcPr>
            <w:tcW w:w="96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83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13500</w:t>
            </w:r>
          </w:p>
        </w:tc>
        <w:tc>
          <w:tcPr>
            <w:tcW w:w="87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13500</w:t>
            </w:r>
          </w:p>
        </w:tc>
        <w:tc>
          <w:tcPr>
            <w:tcW w:w="2290"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72" w:type="dxa"/>
            <w:gridSpan w:val="2"/>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加氢催化剂生产用水</w:t>
            </w:r>
          </w:p>
        </w:tc>
        <w:tc>
          <w:tcPr>
            <w:tcW w:w="88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1475.1</w:t>
            </w:r>
          </w:p>
        </w:tc>
        <w:tc>
          <w:tcPr>
            <w:tcW w:w="7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218.4</w:t>
            </w:r>
          </w:p>
        </w:tc>
        <w:tc>
          <w:tcPr>
            <w:tcW w:w="96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1693.5</w:t>
            </w:r>
          </w:p>
        </w:tc>
        <w:tc>
          <w:tcPr>
            <w:tcW w:w="96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155.4</w:t>
            </w:r>
          </w:p>
        </w:tc>
        <w:tc>
          <w:tcPr>
            <w:tcW w:w="83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w:t>
            </w:r>
          </w:p>
        </w:tc>
        <w:tc>
          <w:tcPr>
            <w:tcW w:w="87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1538.1</w:t>
            </w:r>
          </w:p>
        </w:tc>
        <w:tc>
          <w:tcPr>
            <w:tcW w:w="9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1693.5</w:t>
            </w:r>
          </w:p>
        </w:tc>
        <w:tc>
          <w:tcPr>
            <w:tcW w:w="229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进入废水收集池</w:t>
            </w:r>
            <w:r>
              <w:rPr>
                <w:rFonts w:hint="default" w:ascii="Times New Roman" w:hAnsi="Times New Roman" w:cs="Times New Roman"/>
                <w:color w:val="auto"/>
                <w:sz w:val="21"/>
                <w:szCs w:val="21"/>
                <w:lang w:eastAsia="zh-CN"/>
              </w:rPr>
              <w:t>沉淀、中和</w:t>
            </w:r>
            <w:r>
              <w:rPr>
                <w:rFonts w:hint="default" w:ascii="Times New Roman" w:hAnsi="Times New Roman" w:cs="Times New Roman"/>
                <w:color w:val="auto"/>
                <w:sz w:val="21"/>
                <w:szCs w:val="21"/>
              </w:rPr>
              <w:t>处理后排入厂区污水管网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72" w:type="dxa"/>
            <w:gridSpan w:val="2"/>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初期雨水</w:t>
            </w:r>
          </w:p>
        </w:tc>
        <w:tc>
          <w:tcPr>
            <w:tcW w:w="88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489</w:t>
            </w:r>
          </w:p>
        </w:tc>
        <w:tc>
          <w:tcPr>
            <w:tcW w:w="7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6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489</w:t>
            </w:r>
          </w:p>
        </w:tc>
        <w:tc>
          <w:tcPr>
            <w:tcW w:w="96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83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87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489</w:t>
            </w:r>
          </w:p>
        </w:tc>
        <w:tc>
          <w:tcPr>
            <w:tcW w:w="9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489</w:t>
            </w:r>
          </w:p>
        </w:tc>
        <w:tc>
          <w:tcPr>
            <w:tcW w:w="229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经收集后排入厂区污水管网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27" w:hRule="atLeast"/>
          <w:jc w:val="center"/>
        </w:trPr>
        <w:tc>
          <w:tcPr>
            <w:tcW w:w="1172" w:type="dxa"/>
            <w:gridSpan w:val="2"/>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小计</w:t>
            </w:r>
          </w:p>
        </w:tc>
        <w:tc>
          <w:tcPr>
            <w:tcW w:w="88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20</w:t>
            </w:r>
            <w:r>
              <w:rPr>
                <w:rFonts w:hint="default" w:ascii="Times New Roman" w:hAnsi="Times New Roman" w:cs="Times New Roman"/>
                <w:color w:val="auto"/>
                <w:sz w:val="21"/>
                <w:szCs w:val="21"/>
                <w:lang w:val="en-US" w:eastAsia="zh-CN"/>
              </w:rPr>
              <w:t>718</w:t>
            </w:r>
          </w:p>
        </w:tc>
        <w:tc>
          <w:tcPr>
            <w:tcW w:w="75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2484</w:t>
            </w:r>
          </w:p>
        </w:tc>
        <w:tc>
          <w:tcPr>
            <w:tcW w:w="96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23202</w:t>
            </w:r>
          </w:p>
        </w:tc>
        <w:tc>
          <w:tcPr>
            <w:tcW w:w="96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1505</w:t>
            </w:r>
          </w:p>
        </w:tc>
        <w:tc>
          <w:tcPr>
            <w:tcW w:w="83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19740</w:t>
            </w:r>
          </w:p>
        </w:tc>
        <w:tc>
          <w:tcPr>
            <w:tcW w:w="87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val="en-US" w:eastAsia="zh-CN"/>
              </w:rPr>
              <w:t>957</w:t>
            </w:r>
          </w:p>
        </w:tc>
        <w:tc>
          <w:tcPr>
            <w:tcW w:w="9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23202</w:t>
            </w:r>
          </w:p>
        </w:tc>
        <w:tc>
          <w:tcPr>
            <w:tcW w:w="229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pPr>
        <w:pStyle w:val="4"/>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bookmarkStart w:id="331" w:name="_Toc8164"/>
      <w:bookmarkStart w:id="332" w:name="_Toc5576"/>
      <w:bookmarkStart w:id="333" w:name="_Toc9644"/>
      <w:r>
        <w:rPr>
          <w:rFonts w:hint="default" w:ascii="Times New Roman" w:hAnsi="Times New Roman" w:cs="Times New Roman"/>
          <w:color w:val="auto"/>
        </w:rPr>
        <w:t>污染源源强核算</w:t>
      </w:r>
      <w:bookmarkEnd w:id="326"/>
      <w:bookmarkEnd w:id="327"/>
      <w:bookmarkEnd w:id="328"/>
      <w:bookmarkEnd w:id="331"/>
      <w:bookmarkEnd w:id="332"/>
      <w:bookmarkEnd w:id="333"/>
    </w:p>
    <w:p>
      <w:pPr>
        <w:pStyle w:val="5"/>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334" w:name="_Toc282789390"/>
      <w:bookmarkStart w:id="335" w:name="_Toc27474"/>
      <w:r>
        <w:rPr>
          <w:rFonts w:hint="default" w:ascii="Times New Roman" w:hAnsi="Times New Roman" w:cs="Times New Roman"/>
          <w:color w:val="auto"/>
        </w:rPr>
        <w:t>施工期污染源分析</w:t>
      </w:r>
      <w:bookmarkEnd w:id="334"/>
      <w:bookmarkEnd w:id="335"/>
    </w:p>
    <w:p>
      <w:pPr>
        <w:pStyle w:val="39"/>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利用现有工程的建构筑物和相关公用工程，施工期仅安装少量设备，对车间内给排水管网、供热管网进行铺设，以及对生产设备进行调试，因此，施工期较短，产生的污染源主要为噪声、施工人员生活污水、少量的废气和固废等。</w:t>
      </w:r>
    </w:p>
    <w:p>
      <w:pPr>
        <w:pStyle w:val="14"/>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p>
    <w:p>
      <w:pPr>
        <w:pStyle w:val="14"/>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p>
    <w:p>
      <w:pPr>
        <w:pStyle w:val="14"/>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p>
    <w:p>
      <w:pPr>
        <w:pStyle w:val="14"/>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p>
    <w:p>
      <w:pPr>
        <w:pStyle w:val="14"/>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p>
    <w:p>
      <w:pPr>
        <w:pStyle w:val="14"/>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p>
    <w:p>
      <w:pPr>
        <w:pStyle w:val="14"/>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表</w:t>
      </w:r>
      <w:r>
        <w:rPr>
          <w:rFonts w:hint="default" w:ascii="Times New Roman" w:hAnsi="Times New Roman" w:cs="Times New Roman"/>
          <w:color w:val="auto"/>
          <w:lang w:val="en-US" w:eastAsia="zh-CN"/>
        </w:rPr>
        <w:t>4-2</w:t>
      </w:r>
      <w:r>
        <w:rPr>
          <w:rFonts w:hint="eastAsia" w:cs="Times New Roman"/>
          <w:color w:val="auto"/>
          <w:lang w:val="en-US" w:eastAsia="zh-CN"/>
        </w:rPr>
        <w:t>-1</w:t>
      </w:r>
      <w:r>
        <w:rPr>
          <w:rFonts w:hint="default" w:ascii="Times New Roman" w:hAnsi="Times New Roman" w:cs="Times New Roman"/>
          <w:color w:val="auto"/>
        </w:rPr>
        <w:t xml:space="preserve">  本项目施工期主要污染工序</w:t>
      </w:r>
      <w:r>
        <w:rPr>
          <w:rFonts w:hint="default" w:ascii="Times New Roman" w:hAnsi="Times New Roman" w:cs="Times New Roman"/>
          <w:color w:val="auto"/>
          <w:lang w:eastAsia="zh-CN"/>
        </w:rPr>
        <w:t>及污染源</w:t>
      </w:r>
    </w:p>
    <w:tbl>
      <w:tblPr>
        <w:tblStyle w:val="24"/>
        <w:tblW w:w="909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82"/>
        <w:gridCol w:w="1075"/>
        <w:gridCol w:w="63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168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施工阶段</w:t>
            </w:r>
          </w:p>
        </w:tc>
        <w:tc>
          <w:tcPr>
            <w:tcW w:w="7414"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污染源及污染物产生情况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1682"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设备安装、车间内管网铺设</w:t>
            </w:r>
          </w:p>
        </w:tc>
        <w:tc>
          <w:tcPr>
            <w:tcW w:w="107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633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施工车辆行驶过程中产生的扬尘、材料设备装卸产生的扬尘等。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1682"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07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633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施工人员生活污水。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1682"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07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633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电钻等小型施工机械产生的间断性突发噪声。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1682"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07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633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少量设备包装材料、施工人员生活垃圾等。</w:t>
            </w:r>
          </w:p>
        </w:tc>
      </w:tr>
    </w:tbl>
    <w:p>
      <w:pPr>
        <w:pStyle w:val="7"/>
        <w:keepNext/>
        <w:keepLines/>
        <w:pageBreakBefore w:val="0"/>
        <w:widowControl w:val="0"/>
        <w:numPr>
          <w:ilvl w:val="3"/>
          <w:numId w:val="0"/>
        </w:numPr>
        <w:kinsoku/>
        <w:wordWrap/>
        <w:overflowPunct/>
        <w:topLinePunct w:val="0"/>
        <w:autoSpaceDE/>
        <w:autoSpaceDN/>
        <w:bidi w:val="0"/>
        <w:adjustRightInd w:val="0"/>
        <w:snapToGrid w:val="0"/>
        <w:spacing w:beforeLines="0" w:afterLines="0" w:line="360" w:lineRule="auto"/>
        <w:ind w:leftChars="0"/>
        <w:textAlignment w:val="auto"/>
        <w:outlineLvl w:val="3"/>
        <w:rPr>
          <w:rFonts w:hint="default" w:ascii="Times New Roman" w:hAnsi="Times New Roman" w:cs="Times New Roman"/>
          <w:color w:val="auto"/>
        </w:rPr>
      </w:pPr>
    </w:p>
    <w:p>
      <w:pPr>
        <w:pStyle w:val="7"/>
        <w:keepNext/>
        <w:keepLines/>
        <w:pageBreakBefore w:val="0"/>
        <w:widowControl w:val="0"/>
        <w:kinsoku/>
        <w:wordWrap/>
        <w:overflowPunct/>
        <w:topLinePunct w:val="0"/>
        <w:autoSpaceDE/>
        <w:autoSpaceDN/>
        <w:bidi w:val="0"/>
        <w:adjustRightInd w:val="0"/>
        <w:snapToGrid w:val="0"/>
        <w:spacing w:beforeLines="0" w:afterLines="0" w:line="360" w:lineRule="auto"/>
        <w:textAlignment w:val="auto"/>
        <w:outlineLvl w:val="3"/>
        <w:rPr>
          <w:rFonts w:hint="default" w:ascii="Times New Roman" w:hAnsi="Times New Roman" w:cs="Times New Roman"/>
          <w:color w:val="auto"/>
        </w:rPr>
      </w:pPr>
      <w:r>
        <w:rPr>
          <w:rFonts w:hint="default" w:ascii="Times New Roman" w:hAnsi="Times New Roman" w:cs="Times New Roman"/>
          <w:color w:val="auto"/>
        </w:rPr>
        <w:t>废气</w:t>
      </w:r>
    </w:p>
    <w:p>
      <w:pPr>
        <w:pStyle w:val="39"/>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施工过程中的废气主要为施工车辆行驶过程中产生的扬尘、建筑材料装卸时产生的扬尘。这些扬尘的产生与地面干燥程度和风速大小有关，地面越干燥，风速越大，产生扬尘越大。据类比资料显示，在路旁和装卸处下风向5</w:t>
      </w:r>
      <w:r>
        <w:rPr>
          <w:rFonts w:hint="default" w:ascii="Times New Roman" w:hAnsi="Times New Roman" w:cs="Times New Roman"/>
          <w:color w:val="auto"/>
          <w:lang w:eastAsia="zh-CN"/>
        </w:rPr>
        <w:t>~</w:t>
      </w:r>
      <w:r>
        <w:rPr>
          <w:rFonts w:hint="default" w:ascii="Times New Roman" w:hAnsi="Times New Roman" w:cs="Times New Roman"/>
          <w:color w:val="auto"/>
        </w:rPr>
        <w:t>10m处，TSP浓度可达500</w:t>
      </w:r>
      <w:r>
        <w:rPr>
          <w:rFonts w:hint="default" w:ascii="Times New Roman" w:hAnsi="Times New Roman" w:cs="Times New Roman"/>
          <w:color w:val="auto"/>
          <w:lang w:eastAsia="zh-CN"/>
        </w:rPr>
        <w:t>~</w:t>
      </w:r>
      <w:r>
        <w:rPr>
          <w:rFonts w:hint="default" w:ascii="Times New Roman" w:hAnsi="Times New Roman" w:cs="Times New Roman"/>
          <w:color w:val="auto"/>
        </w:rPr>
        <w:t>1000mg/m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pStyle w:val="7"/>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r>
        <w:rPr>
          <w:rFonts w:hint="default" w:ascii="Times New Roman" w:hAnsi="Times New Roman" w:cs="Times New Roman"/>
          <w:color w:val="auto"/>
        </w:rPr>
        <w:t>废水</w:t>
      </w:r>
    </w:p>
    <w:p>
      <w:pPr>
        <w:pStyle w:val="39"/>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施工过程中产生的废水为施工人员生活污水。本项目施工人员均为附近闲散劳动力，且施工人员较少，不设施工营地。本项目施工期约4个月，平均施工人数约10人，生活用水量按50L/(人•d)，排水量按总用水量的85%计算，则施工期生活用水量约为30t（0.5t/d），生活污水产生量约为25.5t（0.43t/d），主要包括洗手废水、粪便污水等，主要污染物为COD、BOD</w:t>
      </w:r>
      <w:r>
        <w:rPr>
          <w:rFonts w:hint="default" w:ascii="Times New Roman" w:hAnsi="Times New Roman" w:cs="Times New Roman"/>
          <w:color w:val="auto"/>
          <w:vertAlign w:val="subscript"/>
        </w:rPr>
        <w:t>5</w:t>
      </w:r>
      <w:r>
        <w:rPr>
          <w:rFonts w:hint="default" w:ascii="Times New Roman" w:hAnsi="Times New Roman" w:cs="Times New Roman"/>
          <w:color w:val="auto"/>
        </w:rPr>
        <w:t>、氨氮、SS等，本项目施工人员生活污水经厂区现有化粪池处理后排入园区污水管网。</w:t>
      </w:r>
    </w:p>
    <w:p>
      <w:pPr>
        <w:pStyle w:val="3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w:t>
      </w:r>
      <w:r>
        <w:rPr>
          <w:rFonts w:hint="default" w:ascii="Times New Roman" w:hAnsi="Times New Roman" w:cs="Times New Roman"/>
          <w:b/>
          <w:bCs/>
          <w:color w:val="auto"/>
          <w:kern w:val="2"/>
          <w:sz w:val="21"/>
          <w:szCs w:val="21"/>
          <w:lang w:val="en-US" w:eastAsia="zh-CN" w:bidi="ar-SA"/>
        </w:rPr>
        <w:t>4-3</w:t>
      </w:r>
      <w:r>
        <w:rPr>
          <w:rFonts w:hint="default" w:ascii="Times New Roman" w:hAnsi="Times New Roman" w:eastAsia="宋体" w:cs="Times New Roman"/>
          <w:b/>
          <w:bCs/>
          <w:color w:val="auto"/>
          <w:kern w:val="2"/>
          <w:sz w:val="21"/>
          <w:szCs w:val="21"/>
          <w:lang w:val="en-US" w:eastAsia="zh-CN" w:bidi="ar-SA"/>
        </w:rPr>
        <w:t xml:space="preserve">  施工期废水产生及排放情况一览表</w:t>
      </w:r>
    </w:p>
    <w:tbl>
      <w:tblPr>
        <w:tblStyle w:val="24"/>
        <w:tblW w:w="909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71"/>
        <w:gridCol w:w="1621"/>
        <w:gridCol w:w="2566"/>
        <w:gridCol w:w="28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exact"/>
          <w:jc w:val="center"/>
        </w:trPr>
        <w:tc>
          <w:tcPr>
            <w:tcW w:w="3692"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污染源</w:t>
            </w:r>
          </w:p>
        </w:tc>
        <w:tc>
          <w:tcPr>
            <w:tcW w:w="256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产生浓度及产生量</w:t>
            </w:r>
          </w:p>
        </w:tc>
        <w:tc>
          <w:tcPr>
            <w:tcW w:w="283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处理措施及排放去向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exact"/>
          <w:jc w:val="center"/>
        </w:trPr>
        <w:tc>
          <w:tcPr>
            <w:tcW w:w="2071"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38.25t（0.43t/d）</w:t>
            </w:r>
          </w:p>
        </w:tc>
        <w:tc>
          <w:tcPr>
            <w:tcW w:w="162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256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300mg/L，0.13kg/d</w:t>
            </w:r>
          </w:p>
        </w:tc>
        <w:tc>
          <w:tcPr>
            <w:tcW w:w="2838"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经化粪池处理后排入园区污水管网。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exact"/>
          <w:jc w:val="center"/>
        </w:trPr>
        <w:tc>
          <w:tcPr>
            <w:tcW w:w="2071"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62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BOD5</w:t>
            </w:r>
          </w:p>
        </w:tc>
        <w:tc>
          <w:tcPr>
            <w:tcW w:w="256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200mg/L，0.09kg/d</w:t>
            </w:r>
          </w:p>
        </w:tc>
        <w:tc>
          <w:tcPr>
            <w:tcW w:w="2838"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exact"/>
          <w:jc w:val="center"/>
        </w:trPr>
        <w:tc>
          <w:tcPr>
            <w:tcW w:w="2071"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62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氨氮</w:t>
            </w:r>
          </w:p>
        </w:tc>
        <w:tc>
          <w:tcPr>
            <w:tcW w:w="256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20mg/L，0.01kg/d</w:t>
            </w:r>
          </w:p>
        </w:tc>
        <w:tc>
          <w:tcPr>
            <w:tcW w:w="2838"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exact"/>
          <w:jc w:val="center"/>
        </w:trPr>
        <w:tc>
          <w:tcPr>
            <w:tcW w:w="2071"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62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256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150mg/L，0.06kg/d</w:t>
            </w:r>
          </w:p>
        </w:tc>
        <w:tc>
          <w:tcPr>
            <w:tcW w:w="2838"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bl>
    <w:p>
      <w:pPr>
        <w:pStyle w:val="7"/>
        <w:keepNext w:val="0"/>
        <w:keepLines w:val="0"/>
        <w:pageBreakBefore w:val="0"/>
        <w:widowControl w:val="0"/>
        <w:numPr>
          <w:ilvl w:val="3"/>
          <w:numId w:val="0"/>
        </w:numPr>
        <w:kinsoku/>
        <w:wordWrap/>
        <w:overflowPunct/>
        <w:topLinePunct w:val="0"/>
        <w:autoSpaceDE/>
        <w:autoSpaceDN/>
        <w:bidi w:val="0"/>
        <w:adjustRightInd w:val="0"/>
        <w:snapToGrid w:val="0"/>
        <w:spacing w:beforeLines="0" w:afterLines="0" w:line="360" w:lineRule="auto"/>
        <w:ind w:leftChars="0"/>
        <w:textAlignment w:val="auto"/>
        <w:outlineLvl w:val="3"/>
        <w:rPr>
          <w:rFonts w:hint="default" w:ascii="Times New Roman" w:hAnsi="Times New Roman" w:cs="Times New Roman"/>
          <w:color w:val="auto"/>
        </w:rPr>
      </w:pPr>
    </w:p>
    <w:p>
      <w:pPr>
        <w:pStyle w:val="7"/>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outlineLvl w:val="3"/>
        <w:rPr>
          <w:rFonts w:hint="default" w:ascii="Times New Roman" w:hAnsi="Times New Roman" w:cs="Times New Roman"/>
          <w:color w:val="auto"/>
        </w:rPr>
      </w:pPr>
      <w:r>
        <w:rPr>
          <w:rFonts w:hint="default" w:ascii="Times New Roman" w:hAnsi="Times New Roman" w:cs="Times New Roman"/>
          <w:color w:val="auto"/>
        </w:rPr>
        <w:t>噪声</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施工期噪声主要为设备安装及车间内管网铺设时电钻等小型施工机械产生的间断性突发噪声。根据类比调查，施工机械作业期间电钻产生的噪声源强为90dB(A)。</w:t>
      </w:r>
    </w:p>
    <w:p>
      <w:pPr>
        <w:pStyle w:val="7"/>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r>
        <w:rPr>
          <w:rFonts w:hint="default" w:ascii="Times New Roman" w:hAnsi="Times New Roman" w:cs="Times New Roman"/>
          <w:color w:val="auto"/>
        </w:rPr>
        <w:t>固体废物</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施工期仅安装少量设备，对车间内给排水管网、供热管网进行铺设，本项目施工期固体废物主要为少量建筑垃圾（包括设备包装材料、设备基础施工产生的废渣等）、施工人员生活垃圾。建筑垃圾产生量约为0.5t，可回收的建筑垃圾应进行回收利用，不能回收的应及时清运到指定地点。施工人员每人每天产生的生活垃圾按0.5kg计算，平均施工人数约10人，施工人员生活垃圾产生量约为0.3t，汇同现有工程职工生活垃圾一起分类收集后交由环卫部门统一清运处理。</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336" w:name="_Toc12142"/>
      <w:r>
        <w:rPr>
          <w:rFonts w:hint="default" w:ascii="Times New Roman" w:hAnsi="Times New Roman" w:cs="Times New Roman"/>
          <w:color w:val="auto"/>
        </w:rPr>
        <w:t>营运期污染源分析</w:t>
      </w:r>
      <w:bookmarkEnd w:id="336"/>
    </w:p>
    <w:p>
      <w:pPr>
        <w:pStyle w:val="7"/>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废气</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1）有组织废气（G1）</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eastAsia="zh-CN"/>
        </w:rPr>
        <w:t>原料由</w:t>
      </w:r>
      <w:r>
        <w:rPr>
          <w:rFonts w:hint="default" w:ascii="Times New Roman" w:hAnsi="Times New Roman" w:cs="Times New Roman"/>
          <w:color w:val="auto"/>
          <w:highlight w:val="none"/>
          <w:lang w:val="en-US" w:eastAsia="zh-CN"/>
        </w:rPr>
        <w:t>200L的原料桶在密封及负压状态下抽吸入计量罐，原则上没有原料向大气逸散。反应釜每日抽吸两次由计量罐加料，加料过程用氮气压入，加料完毕，氮气放空。放空的氮气中夹带有少量挥发性有机废气，</w:t>
      </w:r>
      <w:r>
        <w:rPr>
          <w:rFonts w:hint="default" w:ascii="Times New Roman" w:hAnsi="Times New Roman" w:cs="Times New Roman"/>
          <w:color w:val="auto"/>
          <w:highlight w:val="none"/>
          <w:lang w:eastAsia="zh-CN"/>
        </w:rPr>
        <w:t>通过企业半工艺试验得知氮气加压每批次带走</w:t>
      </w:r>
      <w:r>
        <w:rPr>
          <w:rFonts w:hint="default" w:ascii="Times New Roman" w:hAnsi="Times New Roman" w:cs="Times New Roman"/>
          <w:color w:val="auto"/>
          <w:highlight w:val="none"/>
          <w:lang w:val="en-US" w:eastAsia="zh-CN"/>
        </w:rPr>
        <w:t>50克左右的溶剂和产物。氮气放空夹带的挥发性有机废气1.2kg/a。</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2）无组织排放废气（G2）</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highlight w:val="none"/>
          <w:u w:val="single"/>
        </w:rPr>
      </w:pPr>
      <w:r>
        <w:rPr>
          <w:rFonts w:hint="default" w:ascii="Times New Roman" w:hAnsi="Times New Roman" w:cs="Times New Roman"/>
          <w:color w:val="auto"/>
          <w:u w:val="single"/>
        </w:rPr>
        <w:t>在项目加氢催化剂异辛酸镍生产过程中，生产装置全部为密闭反应容器，其中包括密闭反应釜和原料储罐等，各个生产装置之间以密封管道连接，生产废气直接通入巴陵石化放空总管。但仍存在由于生产装置</w:t>
      </w:r>
      <w:r>
        <w:rPr>
          <w:rFonts w:hint="default" w:ascii="Times New Roman" w:hAnsi="Times New Roman" w:cs="Times New Roman"/>
          <w:color w:val="auto"/>
          <w:highlight w:val="none"/>
          <w:u w:val="single"/>
        </w:rPr>
        <w:t>阀门、管线、塔体的跑、冒、滴、漏或安全阀超压释放逸散到大气中的无组织废气，根据建设单位</w:t>
      </w:r>
      <w:r>
        <w:rPr>
          <w:rFonts w:hint="default" w:ascii="Times New Roman" w:hAnsi="Times New Roman" w:cs="Times New Roman"/>
          <w:color w:val="auto"/>
          <w:highlight w:val="none"/>
          <w:u w:val="single"/>
          <w:lang w:eastAsia="zh-CN"/>
        </w:rPr>
        <w:t>试生产测算的数据</w:t>
      </w:r>
      <w:r>
        <w:rPr>
          <w:rFonts w:hint="default" w:ascii="Times New Roman" w:hAnsi="Times New Roman" w:cs="Times New Roman"/>
          <w:color w:val="auto"/>
          <w:highlight w:val="none"/>
          <w:u w:val="single"/>
        </w:rPr>
        <w:t>可知，催化剂正常生产过程中管道逸散的无组织废气控制在废气产生的</w:t>
      </w:r>
      <w:r>
        <w:rPr>
          <w:rFonts w:hint="default" w:ascii="Times New Roman" w:hAnsi="Times New Roman" w:cs="Times New Roman"/>
          <w:color w:val="auto"/>
          <w:highlight w:val="none"/>
          <w:u w:val="single"/>
          <w:lang w:val="en-US" w:eastAsia="zh-CN"/>
        </w:rPr>
        <w:t>0.01</w:t>
      </w:r>
      <w:r>
        <w:rPr>
          <w:rFonts w:hint="default" w:ascii="Times New Roman" w:hAnsi="Times New Roman" w:cs="Times New Roman"/>
          <w:color w:val="auto"/>
          <w:highlight w:val="none"/>
          <w:u w:val="single"/>
        </w:rPr>
        <w:t>%以内，挥发性有机物无组织排放量一共约为</w:t>
      </w:r>
      <w:r>
        <w:rPr>
          <w:rFonts w:hint="default" w:ascii="Times New Roman" w:hAnsi="Times New Roman" w:cs="Times New Roman"/>
          <w:color w:val="auto"/>
          <w:highlight w:val="none"/>
          <w:u w:val="single"/>
          <w:lang w:val="en-US" w:eastAsia="zh-CN"/>
        </w:rPr>
        <w:t>36.8 kg</w:t>
      </w:r>
      <w:r>
        <w:rPr>
          <w:rFonts w:hint="default" w:ascii="Times New Roman" w:hAnsi="Times New Roman" w:cs="Times New Roman"/>
          <w:color w:val="auto"/>
          <w:highlight w:val="none"/>
          <w:u w:val="single"/>
        </w:rPr>
        <w:t>/a</w:t>
      </w:r>
      <w:r>
        <w:rPr>
          <w:rFonts w:hint="default" w:ascii="Times New Roman" w:hAnsi="Times New Roman" w:cs="Times New Roman"/>
          <w:color w:val="auto"/>
          <w:highlight w:val="none"/>
          <w:u w:val="single"/>
          <w:lang w:val="en-US" w:eastAsia="zh-CN"/>
        </w:rPr>
        <w:t>,其中放空氮气夹带3 kg</w:t>
      </w:r>
      <w:r>
        <w:rPr>
          <w:rFonts w:hint="default" w:ascii="Times New Roman" w:hAnsi="Times New Roman" w:cs="Times New Roman"/>
          <w:color w:val="auto"/>
          <w:highlight w:val="none"/>
          <w:u w:val="single"/>
        </w:rPr>
        <w:t>/a</w:t>
      </w:r>
      <w:r>
        <w:rPr>
          <w:rFonts w:hint="default" w:ascii="Times New Roman" w:hAnsi="Times New Roman" w:cs="Times New Roman"/>
          <w:color w:val="auto"/>
          <w:highlight w:val="none"/>
          <w:u w:val="single"/>
          <w:lang w:val="en-US" w:eastAsia="zh-CN"/>
        </w:rPr>
        <w:t>，环己烷回收蒸馏逸散20 kg</w:t>
      </w:r>
      <w:r>
        <w:rPr>
          <w:rFonts w:hint="default" w:ascii="Times New Roman" w:hAnsi="Times New Roman" w:cs="Times New Roman"/>
          <w:color w:val="auto"/>
          <w:highlight w:val="none"/>
          <w:u w:val="single"/>
        </w:rPr>
        <w:t>/a。</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项目有组织废气（G1）依托巴陵石化火炬台系统现有的一套火炬气回收装置采用压缩-冷凝-油吸收-解析工艺。火炬气回收装置首先利用碳四组分较高的露点，将废气经过压缩后用冷冻盐水冷却，其中大部分碳四组分因冷凝而分离；然后利用气柜气中有机组分与氮气等无机组分在吸收油中溶解度的极大差异，用60</w:t>
      </w:r>
      <w:r>
        <w:rPr>
          <w:rFonts w:hint="default" w:ascii="Times New Roman" w:hAnsi="Times New Roman" w:cs="Times New Roman"/>
          <w:color w:val="auto"/>
          <w:lang w:eastAsia="zh-CN"/>
        </w:rPr>
        <w:t>~</w:t>
      </w:r>
      <w:r>
        <w:rPr>
          <w:rFonts w:hint="default" w:ascii="Times New Roman" w:hAnsi="Times New Roman" w:cs="Times New Roman"/>
          <w:color w:val="auto"/>
        </w:rPr>
        <w:t>92℃馏份的吸收油吸收气柜气中的有机组分，吸收油变为富油，N</w:t>
      </w:r>
      <w:r>
        <w:rPr>
          <w:rFonts w:hint="default" w:ascii="Times New Roman" w:hAnsi="Times New Roman" w:cs="Times New Roman"/>
          <w:color w:val="auto"/>
          <w:vertAlign w:val="subscript"/>
        </w:rPr>
        <w:t>2</w:t>
      </w:r>
      <w:r>
        <w:rPr>
          <w:rFonts w:hint="default" w:ascii="Times New Roman" w:hAnsi="Times New Roman" w:cs="Times New Roman"/>
          <w:color w:val="auto"/>
        </w:rPr>
        <w:t>等不凝气体则从塔顶排出；再利用被吸收的有机组分与吸收油的沸点不同，通过精馏的方式使其分离出来，经冷凝后得到液化气产品，吸收油则变为贫油循环使用。</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lang w:eastAsia="zh-CN"/>
        </w:rPr>
      </w:pPr>
      <w:r>
        <w:rPr>
          <w:rFonts w:hint="default" w:ascii="Times New Roman" w:hAnsi="Times New Roman" w:cs="Times New Roman"/>
          <w:color w:val="auto"/>
        </w:rPr>
        <w:t>现有火炬系统</w:t>
      </w:r>
      <w:r>
        <w:rPr>
          <w:rFonts w:hint="default" w:ascii="Times New Roman" w:hAnsi="Times New Roman" w:cs="Times New Roman"/>
          <w:color w:val="auto"/>
          <w:lang w:eastAsia="zh-CN"/>
        </w:rPr>
        <w:t>是</w:t>
      </w:r>
      <w:r>
        <w:rPr>
          <w:rFonts w:hint="default" w:ascii="Times New Roman" w:hAnsi="Times New Roman" w:cs="Times New Roman"/>
          <w:color w:val="auto"/>
        </w:rPr>
        <w:t>通过管道输送至巴陵石化放空总管，再通过低温冷凝+压缩冷凝回收装置处理后，回收有机废气，由冷凝器顶外排至火炬回收系统，火炬头高空燃烧，燃烧后排放的烟气成分主要为二氧化碳和水。现有火炬系统处理量为800Nm</w:t>
      </w:r>
      <w:r>
        <w:rPr>
          <w:rFonts w:hint="default" w:ascii="Times New Roman" w:hAnsi="Times New Roman" w:cs="Times New Roman"/>
          <w:color w:val="auto"/>
          <w:vertAlign w:val="superscript"/>
        </w:rPr>
        <w:t>3</w:t>
      </w:r>
      <w:r>
        <w:rPr>
          <w:rFonts w:hint="default" w:ascii="Times New Roman" w:hAnsi="Times New Roman" w:cs="Times New Roman"/>
          <w:color w:val="auto"/>
        </w:rPr>
        <w:t>/min，火炬直径0.8m，高80m</w:t>
      </w:r>
      <w:r>
        <w:rPr>
          <w:rFonts w:hint="default" w:ascii="Times New Roman" w:hAnsi="Times New Roman" w:cs="Times New Roman"/>
          <w:color w:val="auto"/>
          <w:lang w:eastAsia="zh-CN"/>
        </w:rPr>
        <w:t>。</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本项目运营期</w:t>
      </w:r>
      <w:r>
        <w:rPr>
          <w:rFonts w:hint="default" w:ascii="Times New Roman" w:hAnsi="Times New Roman" w:cs="Times New Roman"/>
          <w:color w:val="auto"/>
          <w:lang w:eastAsia="zh-CN"/>
        </w:rPr>
        <w:t>排放的废气</w:t>
      </w:r>
      <w:r>
        <w:rPr>
          <w:rFonts w:hint="default" w:ascii="Times New Roman" w:hAnsi="Times New Roman" w:cs="Times New Roman"/>
          <w:color w:val="auto"/>
        </w:rPr>
        <w:t>配套气体收集系统</w:t>
      </w:r>
      <w:r>
        <w:rPr>
          <w:rFonts w:hint="default" w:ascii="Times New Roman" w:hAnsi="Times New Roman" w:cs="Times New Roman"/>
          <w:color w:val="auto"/>
          <w:lang w:eastAsia="zh-CN"/>
        </w:rPr>
        <w:t>后</w:t>
      </w:r>
      <w:r>
        <w:rPr>
          <w:rFonts w:hint="default" w:ascii="Times New Roman" w:hAnsi="Times New Roman" w:cs="Times New Roman"/>
          <w:color w:val="auto"/>
        </w:rPr>
        <w:t>，生产废气</w:t>
      </w:r>
      <w:r>
        <w:rPr>
          <w:rFonts w:hint="default" w:ascii="Times New Roman" w:hAnsi="Times New Roman" w:cs="Times New Roman"/>
          <w:color w:val="auto"/>
          <w:lang w:eastAsia="zh-CN"/>
        </w:rPr>
        <w:t>及无组织排放废气接入鑫达一期项目原有废气排放管道，新增</w:t>
      </w:r>
      <w:r>
        <w:rPr>
          <w:rFonts w:hint="default" w:ascii="Times New Roman" w:hAnsi="Times New Roman" w:cs="Times New Roman"/>
          <w:color w:val="auto"/>
          <w:lang w:val="en-US" w:eastAsia="zh-CN"/>
        </w:rPr>
        <w:t>3000m3/h风机系统，</w:t>
      </w:r>
      <w:r>
        <w:rPr>
          <w:rFonts w:hint="default" w:ascii="Times New Roman" w:hAnsi="Times New Roman" w:cs="Times New Roman"/>
          <w:color w:val="auto"/>
        </w:rPr>
        <w:t>进入巴陵石化放空总管，排至</w:t>
      </w:r>
      <w:r>
        <w:rPr>
          <w:rFonts w:hint="default" w:ascii="Times New Roman" w:hAnsi="Times New Roman" w:cs="Times New Roman"/>
          <w:color w:val="auto"/>
          <w:lang w:eastAsia="zh-CN"/>
        </w:rPr>
        <w:t>巴陵石化公司</w:t>
      </w:r>
      <w:r>
        <w:rPr>
          <w:rFonts w:hint="default" w:ascii="Times New Roman" w:hAnsi="Times New Roman" w:cs="Times New Roman"/>
          <w:color w:val="auto"/>
        </w:rPr>
        <w:t>火炬台进行燃烧处理</w:t>
      </w:r>
      <w:r>
        <w:rPr>
          <w:rFonts w:hint="default" w:ascii="Times New Roman" w:hAnsi="Times New Roman" w:cs="Times New Roman"/>
          <w:color w:val="auto"/>
          <w:lang w:eastAsia="zh-CN"/>
        </w:rPr>
        <w:t>。</w:t>
      </w:r>
      <w:r>
        <w:rPr>
          <w:rFonts w:hint="default" w:ascii="Times New Roman" w:hAnsi="Times New Roman" w:cs="Times New Roman"/>
          <w:color w:val="auto"/>
        </w:rPr>
        <w:t>本项目产生的收集的各种工艺废气，完全可依托现有火炬系统处理。</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巴陵石化火炬系统按国内先进水平设计，对各装置产生的放空气首先进行回收，火炬系统符合熄灭火炬的节能、安全、环保要求，其冷凝回收效率为99%。</w:t>
      </w:r>
    </w:p>
    <w:p>
      <w:pPr>
        <w:pStyle w:val="3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kern w:val="2"/>
          <w:sz w:val="21"/>
          <w:szCs w:val="21"/>
          <w:u w:val="single"/>
          <w:lang w:val="en-US" w:eastAsia="zh-CN" w:bidi="ar-SA"/>
        </w:rPr>
      </w:pPr>
      <w:r>
        <w:rPr>
          <w:rFonts w:hint="default" w:ascii="Times New Roman" w:hAnsi="Times New Roman" w:eastAsia="宋体" w:cs="Times New Roman"/>
          <w:b/>
          <w:bCs/>
          <w:color w:val="auto"/>
          <w:kern w:val="2"/>
          <w:sz w:val="21"/>
          <w:szCs w:val="21"/>
          <w:u w:val="single"/>
          <w:lang w:val="en-US" w:eastAsia="zh-CN" w:bidi="ar-SA"/>
        </w:rPr>
        <w:t>表</w:t>
      </w:r>
      <w:r>
        <w:rPr>
          <w:rFonts w:hint="default" w:ascii="Times New Roman" w:hAnsi="Times New Roman" w:cs="Times New Roman"/>
          <w:b/>
          <w:bCs/>
          <w:color w:val="auto"/>
          <w:kern w:val="2"/>
          <w:sz w:val="21"/>
          <w:szCs w:val="21"/>
          <w:u w:val="single"/>
          <w:lang w:val="en-US" w:eastAsia="zh-CN" w:bidi="ar-SA"/>
        </w:rPr>
        <w:t>4-4</w:t>
      </w:r>
      <w:r>
        <w:rPr>
          <w:rFonts w:hint="default" w:ascii="Times New Roman" w:hAnsi="Times New Roman" w:eastAsia="宋体" w:cs="Times New Roman"/>
          <w:b/>
          <w:bCs/>
          <w:color w:val="auto"/>
          <w:kern w:val="2"/>
          <w:sz w:val="21"/>
          <w:szCs w:val="21"/>
          <w:u w:val="single"/>
          <w:lang w:val="en-US" w:eastAsia="zh-CN" w:bidi="ar-SA"/>
        </w:rPr>
        <w:t xml:space="preserve">  </w:t>
      </w:r>
      <w:r>
        <w:rPr>
          <w:rFonts w:hint="default" w:ascii="Times New Roman" w:hAnsi="Times New Roman" w:cs="Times New Roman"/>
          <w:b/>
          <w:bCs/>
          <w:color w:val="auto"/>
          <w:kern w:val="2"/>
          <w:sz w:val="21"/>
          <w:szCs w:val="21"/>
          <w:u w:val="single"/>
          <w:lang w:val="en-US" w:eastAsia="zh-CN" w:bidi="ar-SA"/>
        </w:rPr>
        <w:t>鑫达公司</w:t>
      </w:r>
      <w:r>
        <w:rPr>
          <w:rFonts w:hint="default" w:ascii="Times New Roman" w:hAnsi="Times New Roman" w:eastAsia="宋体" w:cs="Times New Roman"/>
          <w:b/>
          <w:bCs/>
          <w:color w:val="auto"/>
          <w:kern w:val="2"/>
          <w:sz w:val="21"/>
          <w:szCs w:val="21"/>
          <w:u w:val="single"/>
          <w:lang w:val="en-US" w:eastAsia="zh-CN" w:bidi="ar-SA"/>
        </w:rPr>
        <w:t>废气源强汇总表</w:t>
      </w:r>
    </w:p>
    <w:tbl>
      <w:tblPr>
        <w:tblStyle w:val="24"/>
        <w:tblpPr w:leftFromText="180" w:rightFromText="180" w:vertAnchor="text" w:horzAnchor="page" w:tblpX="1473" w:tblpY="147"/>
        <w:tblOverlap w:val="never"/>
        <w:tblW w:w="906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5"/>
        <w:gridCol w:w="885"/>
        <w:gridCol w:w="1101"/>
        <w:gridCol w:w="930"/>
        <w:gridCol w:w="855"/>
        <w:gridCol w:w="1110"/>
        <w:gridCol w:w="1140"/>
        <w:gridCol w:w="1080"/>
        <w:gridCol w:w="10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8" w:hRule="atLeast"/>
          <w:tblHeader/>
        </w:trPr>
        <w:tc>
          <w:tcPr>
            <w:tcW w:w="88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88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110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项目</w:t>
            </w:r>
          </w:p>
        </w:tc>
        <w:tc>
          <w:tcPr>
            <w:tcW w:w="9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污染物</w:t>
            </w:r>
            <w:r>
              <w:rPr>
                <w:rFonts w:hint="default" w:ascii="Times New Roman" w:hAnsi="Times New Roman" w:cs="Times New Roman"/>
                <w:color w:val="auto"/>
                <w:sz w:val="21"/>
                <w:szCs w:val="21"/>
              </w:rPr>
              <w:t>产生量</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(t</w:t>
            </w: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lang w:val="en-US" w:eastAsia="zh-CN"/>
              </w:rPr>
              <w:t>)</w:t>
            </w:r>
          </w:p>
        </w:tc>
        <w:tc>
          <w:tcPr>
            <w:tcW w:w="85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污染物去除率</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w:t>
            </w:r>
          </w:p>
        </w:tc>
        <w:tc>
          <w:tcPr>
            <w:tcW w:w="111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废气风</w:t>
            </w:r>
            <w:r>
              <w:rPr>
                <w:rFonts w:hint="default" w:ascii="Times New Roman" w:hAnsi="Times New Roman" w:cs="Times New Roman"/>
                <w:color w:val="auto"/>
                <w:sz w:val="21"/>
                <w:szCs w:val="21"/>
              </w:rPr>
              <w:t>量</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lang w:val="en-US" w:eastAsia="zh-CN"/>
              </w:rPr>
              <w:t>)</w:t>
            </w:r>
          </w:p>
        </w:tc>
        <w:tc>
          <w:tcPr>
            <w:tcW w:w="114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污染物</w:t>
            </w:r>
            <w:r>
              <w:rPr>
                <w:rFonts w:hint="default" w:ascii="Times New Roman" w:hAnsi="Times New Roman" w:cs="Times New Roman"/>
                <w:color w:val="auto"/>
                <w:sz w:val="21"/>
                <w:szCs w:val="21"/>
              </w:rPr>
              <w:t>排放量</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(kg</w:t>
            </w: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lang w:val="en-US" w:eastAsia="zh-CN"/>
              </w:rPr>
              <w:t>)</w:t>
            </w:r>
          </w:p>
        </w:tc>
        <w:tc>
          <w:tcPr>
            <w:tcW w:w="108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污染物</w:t>
            </w:r>
            <w:r>
              <w:rPr>
                <w:rFonts w:hint="default" w:ascii="Times New Roman" w:hAnsi="Times New Roman" w:cs="Times New Roman"/>
                <w:color w:val="auto"/>
                <w:sz w:val="21"/>
                <w:szCs w:val="21"/>
              </w:rPr>
              <w:t>排放速率</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g/h</w:t>
            </w:r>
            <w:r>
              <w:rPr>
                <w:rFonts w:hint="default" w:ascii="Times New Roman" w:hAnsi="Times New Roman" w:cs="Times New Roman"/>
                <w:color w:val="auto"/>
                <w:sz w:val="21"/>
                <w:szCs w:val="21"/>
                <w:lang w:val="en-US" w:eastAsia="zh-CN"/>
              </w:rPr>
              <w:t>)</w:t>
            </w:r>
          </w:p>
        </w:tc>
        <w:tc>
          <w:tcPr>
            <w:tcW w:w="108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排放浓度</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885" w:type="dxa"/>
            <w:vMerge w:val="restart"/>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有组织废气</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（巴陵石化火炬台）</w:t>
            </w:r>
          </w:p>
        </w:tc>
        <w:tc>
          <w:tcPr>
            <w:tcW w:w="885" w:type="dxa"/>
            <w:vMerge w:val="restart"/>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VOCs</w:t>
            </w:r>
          </w:p>
        </w:tc>
        <w:tc>
          <w:tcPr>
            <w:tcW w:w="110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一期项目</w:t>
            </w:r>
          </w:p>
        </w:tc>
        <w:tc>
          <w:tcPr>
            <w:tcW w:w="9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u w:val="none"/>
                <w:lang w:val="en-US" w:eastAsia="zh-CN"/>
              </w:rPr>
              <w:t>59.252</w:t>
            </w:r>
          </w:p>
        </w:tc>
        <w:tc>
          <w:tcPr>
            <w:tcW w:w="85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99</w:t>
            </w:r>
          </w:p>
        </w:tc>
        <w:tc>
          <w:tcPr>
            <w:tcW w:w="111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48000</w:t>
            </w:r>
          </w:p>
        </w:tc>
        <w:tc>
          <w:tcPr>
            <w:tcW w:w="114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1178.6</w:t>
            </w:r>
          </w:p>
        </w:tc>
        <w:tc>
          <w:tcPr>
            <w:tcW w:w="108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163.7</w:t>
            </w:r>
          </w:p>
        </w:tc>
        <w:tc>
          <w:tcPr>
            <w:tcW w:w="108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885"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cs="Times New Roman"/>
                <w:color w:val="auto"/>
              </w:rPr>
            </w:pPr>
          </w:p>
        </w:tc>
        <w:tc>
          <w:tcPr>
            <w:tcW w:w="885"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cs="Times New Roman"/>
                <w:color w:val="auto"/>
              </w:rPr>
            </w:pPr>
          </w:p>
        </w:tc>
        <w:tc>
          <w:tcPr>
            <w:tcW w:w="1101"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催化剂项目</w:t>
            </w:r>
          </w:p>
        </w:tc>
        <w:tc>
          <w:tcPr>
            <w:tcW w:w="93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0.0368</w:t>
            </w:r>
          </w:p>
        </w:tc>
        <w:tc>
          <w:tcPr>
            <w:tcW w:w="85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w:t>
            </w:r>
          </w:p>
        </w:tc>
        <w:tc>
          <w:tcPr>
            <w:tcW w:w="111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5000</w:t>
            </w:r>
          </w:p>
        </w:tc>
        <w:tc>
          <w:tcPr>
            <w:tcW w:w="114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36.8</w:t>
            </w:r>
          </w:p>
        </w:tc>
        <w:tc>
          <w:tcPr>
            <w:tcW w:w="108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5.11</w:t>
            </w:r>
          </w:p>
        </w:tc>
        <w:tc>
          <w:tcPr>
            <w:tcW w:w="108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1.02</w:t>
            </w:r>
          </w:p>
        </w:tc>
      </w:tr>
    </w:tbl>
    <w:p>
      <w:pPr>
        <w:pStyle w:val="7"/>
        <w:keepNext w:val="0"/>
        <w:keepLines w:val="0"/>
        <w:pageBreakBefore w:val="0"/>
        <w:widowControl w:val="0"/>
        <w:numPr>
          <w:ilvl w:val="3"/>
          <w:numId w:val="0"/>
        </w:numPr>
        <w:kinsoku/>
        <w:wordWrap/>
        <w:overflowPunct/>
        <w:topLinePunct w:val="0"/>
        <w:autoSpaceDE/>
        <w:autoSpaceDN/>
        <w:bidi w:val="0"/>
        <w:adjustRightInd w:val="0"/>
        <w:snapToGrid w:val="0"/>
        <w:spacing w:beforeLines="0" w:afterLines="0" w:line="360" w:lineRule="auto"/>
        <w:ind w:leftChars="0"/>
        <w:textAlignment w:val="auto"/>
        <w:outlineLvl w:val="3"/>
        <w:rPr>
          <w:rFonts w:hint="default" w:ascii="Times New Roman" w:hAnsi="Times New Roman" w:cs="Times New Roman"/>
          <w:color w:val="auto"/>
        </w:rPr>
      </w:pPr>
    </w:p>
    <w:p>
      <w:pPr>
        <w:pStyle w:val="7"/>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outlineLvl w:val="3"/>
        <w:rPr>
          <w:rFonts w:hint="default" w:ascii="Times New Roman" w:hAnsi="Times New Roman" w:cs="Times New Roman"/>
          <w:color w:val="auto"/>
        </w:rPr>
      </w:pPr>
      <w:r>
        <w:rPr>
          <w:rFonts w:hint="default" w:ascii="Times New Roman" w:hAnsi="Times New Roman" w:cs="Times New Roman"/>
          <w:color w:val="auto"/>
        </w:rPr>
        <w:t>废水</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u w:val="single"/>
          <w:lang w:eastAsia="zh-CN"/>
        </w:rPr>
      </w:pPr>
      <w:r>
        <w:rPr>
          <w:rFonts w:hint="default" w:ascii="Times New Roman" w:hAnsi="Times New Roman" w:cs="Times New Roman"/>
          <w:color w:val="auto"/>
        </w:rPr>
        <w:t>本项目运营期废水主要为工艺废水、设备及地面清洗废水、</w:t>
      </w:r>
      <w:r>
        <w:rPr>
          <w:rFonts w:hint="default" w:ascii="Times New Roman" w:hAnsi="Times New Roman" w:cs="Times New Roman"/>
          <w:color w:val="auto"/>
          <w:lang w:eastAsia="zh-CN"/>
        </w:rPr>
        <w:t>真空泵</w:t>
      </w:r>
      <w:r>
        <w:rPr>
          <w:rFonts w:hint="default" w:ascii="Times New Roman" w:hAnsi="Times New Roman" w:cs="Times New Roman"/>
          <w:color w:val="auto"/>
        </w:rPr>
        <w:t>用水、生活污水及初期雨水；工艺废水主要为催化剂生产过程中产生的洗盐废水。生活污水经化粪池处理后</w:t>
      </w:r>
      <w:r>
        <w:rPr>
          <w:rFonts w:hint="default" w:ascii="Times New Roman" w:hAnsi="Times New Roman" w:cs="Times New Roman"/>
          <w:color w:val="auto"/>
          <w:lang w:eastAsia="zh-CN"/>
        </w:rPr>
        <w:t>排放，</w:t>
      </w:r>
      <w:r>
        <w:rPr>
          <w:rFonts w:hint="default" w:ascii="Times New Roman" w:hAnsi="Times New Roman" w:cs="Times New Roman"/>
          <w:color w:val="auto"/>
        </w:rPr>
        <w:t>初期雨水经</w:t>
      </w:r>
      <w:r>
        <w:rPr>
          <w:rFonts w:hint="default" w:ascii="Times New Roman" w:hAnsi="Times New Roman" w:cs="Times New Roman"/>
          <w:color w:val="auto"/>
          <w:lang w:eastAsia="zh-CN"/>
        </w:rPr>
        <w:t>切换阀门进入暗沟</w:t>
      </w:r>
      <w:r>
        <w:rPr>
          <w:rFonts w:hint="default" w:ascii="Times New Roman" w:hAnsi="Times New Roman" w:cs="Times New Roman"/>
          <w:color w:val="auto"/>
        </w:rPr>
        <w:t>；工艺废水经中和沉淀预处理后与地面清洗废水、设备清洗废水等废水混合排入工业园污水管网排入巴陵石化处理厂进行处理，达标后排入长江。</w:t>
      </w:r>
      <w:r>
        <w:rPr>
          <w:rFonts w:hint="default" w:ascii="Times New Roman" w:hAnsi="Times New Roman" w:cs="Times New Roman"/>
          <w:color w:val="auto"/>
          <w:u w:val="single"/>
          <w:lang w:eastAsia="zh-CN"/>
        </w:rPr>
        <w:t>本项目含镍废水用碱法单独处理，回收氢氧化镍，镍资源化，工艺成熟，含镍废水与其他地面清洗废水废水、设备清洗废水等生产废水分开处理，实现了污污分流。</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1）生产废水</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A、工艺废水（W1）</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本项目工艺废水主要为催化剂生产过程中产生的洗盐废水，废水量为</w:t>
      </w:r>
      <w:r>
        <w:rPr>
          <w:rFonts w:hint="default" w:ascii="Times New Roman" w:hAnsi="Times New Roman" w:cs="Times New Roman"/>
          <w:color w:val="auto"/>
          <w:lang w:val="en-US" w:eastAsia="zh-CN"/>
        </w:rPr>
        <w:t>2.2852</w:t>
      </w:r>
      <w:r>
        <w:rPr>
          <w:rFonts w:hint="default" w:ascii="Times New Roman" w:hAnsi="Times New Roman" w:cs="Times New Roman"/>
          <w:color w:val="auto"/>
        </w:rPr>
        <w:t>t/d，主要污染物为pH、SS、Ni。该部分废水排入污水收集池经碱法除镍工艺处理后排入工业园区污水管网。</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镍盐配制洗涤废水处理流程</w:t>
      </w:r>
      <w:r>
        <w:rPr>
          <w:rFonts w:hint="default" w:ascii="Times New Roman" w:hAnsi="Times New Roman" w:cs="Times New Roman"/>
          <w:color w:val="auto"/>
          <w:lang w:eastAsia="zh-CN"/>
        </w:rPr>
        <w:t>见第三章</w:t>
      </w:r>
      <w:r>
        <w:rPr>
          <w:rFonts w:hint="default" w:ascii="Times New Roman" w:hAnsi="Times New Roman" w:cs="Times New Roman"/>
          <w:color w:val="auto"/>
          <w:lang w:val="en-US" w:eastAsia="zh-CN"/>
        </w:rPr>
        <w:t>图3-1含镍污水预处理工艺流程及处理指标图。</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u w:val="single"/>
        </w:rPr>
      </w:pPr>
      <w:r>
        <w:rPr>
          <w:rFonts w:hint="default" w:ascii="Times New Roman" w:hAnsi="Times New Roman" w:cs="Times New Roman"/>
          <w:color w:val="auto"/>
          <w:u w:val="single"/>
        </w:rPr>
        <w:t>含镍量为0.1%的洗涤废水采用氢氧化物沉淀法进行处理。在废水中加入氢氧化钠，生成难溶的氢氧化镍沉淀，分离并回收镍。废水加碱处理后PH值约为12，送中和槽用酸中和至PH＜9，经处理后的废液中含镍量小于</w:t>
      </w:r>
      <w:r>
        <w:rPr>
          <w:rFonts w:hint="default" w:ascii="Times New Roman" w:hAnsi="Times New Roman" w:cs="Times New Roman"/>
          <w:color w:val="auto"/>
          <w:u w:val="single"/>
          <w:lang w:val="en-US" w:eastAsia="zh-CN"/>
        </w:rPr>
        <w:t>1mg</w:t>
      </w:r>
      <w:r>
        <w:rPr>
          <w:rFonts w:hint="default" w:ascii="Times New Roman" w:hAnsi="Times New Roman" w:cs="Times New Roman"/>
          <w:color w:val="auto"/>
          <w:u w:val="single"/>
        </w:rPr>
        <w:t>/</w:t>
      </w:r>
      <w:r>
        <w:rPr>
          <w:rFonts w:hint="default" w:ascii="Times New Roman" w:hAnsi="Times New Roman" w:cs="Times New Roman"/>
          <w:color w:val="auto"/>
          <w:u w:val="single"/>
          <w:lang w:val="en-US" w:eastAsia="zh-CN"/>
        </w:rPr>
        <w:t>l。</w:t>
      </w:r>
      <w:r>
        <w:rPr>
          <w:rFonts w:hint="default" w:ascii="Times New Roman" w:hAnsi="Times New Roman" w:cs="Times New Roman"/>
          <w:color w:val="auto"/>
          <w:lang w:eastAsia="zh-CN"/>
        </w:rPr>
        <w:t>经多次小型工业试验检测，</w:t>
      </w:r>
      <w:r>
        <w:rPr>
          <w:rFonts w:hint="default" w:ascii="Times New Roman" w:hAnsi="Times New Roman" w:cs="Times New Roman"/>
          <w:color w:val="auto"/>
          <w:u w:val="single"/>
          <w:lang w:val="en-US" w:eastAsia="zh-CN"/>
        </w:rPr>
        <w:t>外排废水中镍的</w:t>
      </w:r>
      <w:r>
        <w:rPr>
          <w:rFonts w:hint="default" w:ascii="Times New Roman" w:hAnsi="Times New Roman" w:cs="Times New Roman"/>
          <w:color w:val="auto"/>
          <w:lang w:val="en-US" w:eastAsia="zh-CN"/>
        </w:rPr>
        <w:t>实际排放浓度</w:t>
      </w:r>
      <w:r>
        <w:rPr>
          <w:rFonts w:hint="default" w:ascii="Times New Roman" w:hAnsi="Times New Roman" w:cs="Times New Roman"/>
          <w:color w:val="auto"/>
          <w:u w:val="single"/>
          <w:lang w:val="en-US" w:eastAsia="zh-CN"/>
        </w:rPr>
        <w:t>为0.055mg/L，</w:t>
      </w:r>
      <w:r>
        <w:rPr>
          <w:rFonts w:hint="default" w:ascii="Times New Roman" w:hAnsi="Times New Roman" w:cs="Times New Roman"/>
          <w:color w:val="auto"/>
          <w:u w:val="single"/>
        </w:rPr>
        <w:t>达到排放标准（车间处理设施排出口允许最大浓度为1mg/L），</w:t>
      </w:r>
      <w:r>
        <w:rPr>
          <w:rFonts w:hint="default" w:ascii="Times New Roman" w:hAnsi="Times New Roman" w:cs="Times New Roman"/>
          <w:color w:val="auto"/>
          <w:u w:val="single"/>
          <w:lang w:val="en-US" w:eastAsia="zh-CN"/>
        </w:rPr>
        <w:t>仅为镍排放标准1.0 mg/L的二十分之一。项目工艺废水年排放量686m</w:t>
      </w:r>
      <w:r>
        <w:rPr>
          <w:rFonts w:hint="default" w:ascii="Times New Roman" w:hAnsi="Times New Roman" w:cs="Times New Roman"/>
          <w:color w:val="auto"/>
          <w:u w:val="single"/>
          <w:vertAlign w:val="superscript"/>
          <w:lang w:val="en-US" w:eastAsia="zh-CN"/>
        </w:rPr>
        <w:t>3</w:t>
      </w:r>
      <w:r>
        <w:rPr>
          <w:rFonts w:hint="default" w:ascii="Times New Roman" w:hAnsi="Times New Roman" w:cs="Times New Roman"/>
          <w:color w:val="auto"/>
          <w:u w:val="single"/>
          <w:lang w:val="en-US" w:eastAsia="zh-CN"/>
        </w:rPr>
        <w:t>，年排放金属镍38g，</w:t>
      </w:r>
      <w:r>
        <w:rPr>
          <w:rFonts w:hint="default" w:ascii="Times New Roman" w:hAnsi="Times New Roman" w:cs="Times New Roman"/>
          <w:color w:val="auto"/>
          <w:u w:val="single"/>
        </w:rPr>
        <w:t>达到排放标准</w:t>
      </w:r>
      <w:r>
        <w:rPr>
          <w:rFonts w:hint="default" w:ascii="Times New Roman" w:hAnsi="Times New Roman" w:cs="Times New Roman"/>
          <w:color w:val="auto"/>
          <w:u w:val="single"/>
          <w:lang w:eastAsia="zh-CN"/>
        </w:rPr>
        <w:t>的含镍废水</w:t>
      </w:r>
      <w:r>
        <w:rPr>
          <w:rFonts w:hint="default" w:ascii="Times New Roman" w:hAnsi="Times New Roman" w:cs="Times New Roman"/>
          <w:color w:val="auto"/>
          <w:u w:val="single"/>
        </w:rPr>
        <w:t>排入</w:t>
      </w:r>
      <w:r>
        <w:rPr>
          <w:rFonts w:hint="default" w:ascii="Times New Roman" w:hAnsi="Times New Roman" w:cs="Times New Roman"/>
          <w:color w:val="auto"/>
          <w:u w:val="single"/>
          <w:lang w:eastAsia="zh-CN"/>
        </w:rPr>
        <w:t>巴陵石化</w:t>
      </w:r>
      <w:r>
        <w:rPr>
          <w:rFonts w:hint="default" w:ascii="Times New Roman" w:hAnsi="Times New Roman" w:cs="Times New Roman"/>
          <w:color w:val="auto"/>
          <w:u w:val="single"/>
        </w:rPr>
        <w:t>污水处理厂。氢氧化镍干燥</w:t>
      </w:r>
      <w:r>
        <w:rPr>
          <w:rFonts w:hint="default" w:ascii="Times New Roman" w:hAnsi="Times New Roman" w:cs="Times New Roman"/>
          <w:color w:val="auto"/>
          <w:u w:val="single"/>
          <w:lang w:val="en-US" w:eastAsia="zh-CN"/>
        </w:rPr>
        <w:t>后作为副产品外售</w:t>
      </w:r>
      <w:r>
        <w:rPr>
          <w:rFonts w:hint="default" w:ascii="Times New Roman" w:hAnsi="Times New Roman" w:cs="Times New Roman"/>
          <w:color w:val="auto"/>
          <w:u w:val="single"/>
        </w:rPr>
        <w:t>硝酸镍厂家。</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B、设备清洗废水（W2）</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本项目加氢催化剂生产线生产需定期对制备罐进行清洗，此过程产生设备清洗废水，主要污染物为SS、Ni，根据建设单位提供技术资料，SS的产生浓度为500mg/L、Ni的产生浓度为5mg/L。</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每天清量约为3.2m</w:t>
      </w:r>
      <w:r>
        <w:rPr>
          <w:rFonts w:hint="default" w:ascii="Times New Roman" w:hAnsi="Times New Roman" w:cs="Times New Roman"/>
          <w:color w:val="auto"/>
          <w:vertAlign w:val="superscript"/>
        </w:rPr>
        <w:t>3</w:t>
      </w:r>
      <w:r>
        <w:rPr>
          <w:rFonts w:hint="default" w:ascii="Times New Roman" w:hAnsi="Times New Roman" w:cs="Times New Roman"/>
          <w:color w:val="auto"/>
        </w:rPr>
        <w:t>，由于设备清洗前绝大部分物料已从设备排出，因此，本项目设备清洗废水中SS和Ni浓度不高。洗设备时废水产生清洗用水年用量约为960t/a，排放系数按85%计算，清洗废水年排放量约为816t/a。本项目设备清洗废水排入污水收集池经碱法除镍工艺处理后排入工业园区污水管网送巴陵石化污水处理厂进一步处理。</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C、地面清洗废水（W3）</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本项目生产装置区地面面积为600m</w:t>
      </w:r>
      <w:r>
        <w:rPr>
          <w:rFonts w:hint="default" w:ascii="Times New Roman" w:hAnsi="Times New Roman" w:cs="Times New Roman"/>
          <w:color w:val="auto"/>
          <w:vertAlign w:val="superscript"/>
        </w:rPr>
        <w:t>2</w:t>
      </w:r>
      <w:r>
        <w:rPr>
          <w:rFonts w:hint="default" w:ascii="Times New Roman" w:hAnsi="Times New Roman" w:cs="Times New Roman"/>
          <w:color w:val="auto"/>
        </w:rPr>
        <w:t>，参考《建筑给排水设计规范》（GBGB 50015-2003）（2009年版），地面清洗用水量约为3L/m</w:t>
      </w:r>
      <w:r>
        <w:rPr>
          <w:rFonts w:hint="default" w:ascii="Times New Roman" w:hAnsi="Times New Roman" w:cs="Times New Roman"/>
          <w:color w:val="auto"/>
          <w:vertAlign w:val="superscript"/>
        </w:rPr>
        <w:t>2</w:t>
      </w:r>
      <w:r>
        <w:rPr>
          <w:rFonts w:hint="default" w:ascii="Times New Roman" w:hAnsi="Times New Roman" w:cs="Times New Roman"/>
          <w:color w:val="auto"/>
        </w:rPr>
        <w:t>·次，车间地面平均每月清洗1次，清洗用水量为22t/a（1.8t/次），排放系数按85%计算，地面清洗废水排放量为18.36t/a（1.5t/次），主要污染物为SS，产生浓度约为500mg/L。地面清洗废水排入工业园区污水管网送巴陵石化污水处理厂处理。</w:t>
      </w:r>
    </w:p>
    <w:p>
      <w:pPr>
        <w:pStyle w:val="39"/>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kern w:val="2"/>
          <w:sz w:val="21"/>
          <w:szCs w:val="21"/>
          <w:u w:val="single"/>
          <w:lang w:val="en-US" w:eastAsia="zh-CN" w:bidi="ar-SA"/>
        </w:rPr>
      </w:pPr>
      <w:r>
        <w:rPr>
          <w:rFonts w:hint="default" w:ascii="Times New Roman" w:hAnsi="Times New Roman" w:eastAsia="宋体" w:cs="Times New Roman"/>
          <w:b/>
          <w:bCs/>
          <w:color w:val="auto"/>
          <w:kern w:val="2"/>
          <w:sz w:val="21"/>
          <w:szCs w:val="21"/>
          <w:u w:val="single"/>
          <w:lang w:val="en-US" w:eastAsia="zh-CN" w:bidi="ar-SA"/>
        </w:rPr>
        <w:t>表</w:t>
      </w:r>
      <w:r>
        <w:rPr>
          <w:rFonts w:hint="default" w:ascii="Times New Roman" w:hAnsi="Times New Roman" w:cs="Times New Roman"/>
          <w:b/>
          <w:bCs/>
          <w:color w:val="auto"/>
          <w:kern w:val="2"/>
          <w:sz w:val="21"/>
          <w:szCs w:val="21"/>
          <w:u w:val="single"/>
          <w:lang w:val="en-US" w:eastAsia="zh-CN" w:bidi="ar-SA"/>
        </w:rPr>
        <w:t>4-5</w:t>
      </w:r>
      <w:r>
        <w:rPr>
          <w:rFonts w:hint="default" w:ascii="Times New Roman" w:hAnsi="Times New Roman" w:eastAsia="宋体" w:cs="Times New Roman"/>
          <w:b/>
          <w:bCs/>
          <w:color w:val="auto"/>
          <w:kern w:val="2"/>
          <w:sz w:val="21"/>
          <w:szCs w:val="21"/>
          <w:u w:val="single"/>
          <w:lang w:val="en-US" w:eastAsia="zh-CN" w:bidi="ar-SA"/>
        </w:rPr>
        <w:t xml:space="preserve">  本项目工艺废水排放汇总表</w:t>
      </w:r>
    </w:p>
    <w:tbl>
      <w:tblPr>
        <w:tblStyle w:val="24"/>
        <w:tblW w:w="88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7" w:type="dxa"/>
          <w:bottom w:w="0" w:type="dxa"/>
          <w:right w:w="17" w:type="dxa"/>
        </w:tblCellMar>
      </w:tblPr>
      <w:tblGrid>
        <w:gridCol w:w="1712"/>
        <w:gridCol w:w="1778"/>
        <w:gridCol w:w="1333"/>
        <w:gridCol w:w="1333"/>
        <w:gridCol w:w="1333"/>
        <w:gridCol w:w="13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584" w:hRule="exact"/>
          <w:tblHeader/>
          <w:jc w:val="center"/>
        </w:trPr>
        <w:tc>
          <w:tcPr>
            <w:tcW w:w="171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    目</w:t>
            </w:r>
          </w:p>
        </w:tc>
        <w:tc>
          <w:tcPr>
            <w:tcW w:w="177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133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133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133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Ni</w:t>
            </w:r>
          </w:p>
        </w:tc>
        <w:tc>
          <w:tcPr>
            <w:tcW w:w="133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石油类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454" w:hRule="exact"/>
          <w:tblHeader/>
          <w:jc w:val="center"/>
        </w:trPr>
        <w:tc>
          <w:tcPr>
            <w:tcW w:w="1712"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生产</w:t>
            </w:r>
            <w:r>
              <w:rPr>
                <w:rFonts w:hint="default" w:ascii="Times New Roman" w:hAnsi="Times New Roman" w:cs="Times New Roman"/>
                <w:color w:val="auto"/>
                <w:sz w:val="21"/>
                <w:szCs w:val="21"/>
              </w:rPr>
              <w:t>废水</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1538.1</w:t>
            </w:r>
            <w:r>
              <w:rPr>
                <w:rFonts w:hint="default" w:ascii="Times New Roman" w:hAnsi="Times New Roman" w:cs="Times New Roman"/>
                <w:color w:val="auto"/>
                <w:sz w:val="21"/>
                <w:szCs w:val="21"/>
              </w:rPr>
              <w:t>t/a）</w:t>
            </w:r>
          </w:p>
        </w:tc>
        <w:tc>
          <w:tcPr>
            <w:tcW w:w="177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产生浓度（mg/l）</w:t>
            </w:r>
          </w:p>
        </w:tc>
        <w:tc>
          <w:tcPr>
            <w:tcW w:w="133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400</w:t>
            </w:r>
          </w:p>
        </w:tc>
        <w:tc>
          <w:tcPr>
            <w:tcW w:w="133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500</w:t>
            </w:r>
          </w:p>
        </w:tc>
        <w:tc>
          <w:tcPr>
            <w:tcW w:w="133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i w:val="0"/>
                <w:color w:val="auto"/>
                <w:kern w:val="0"/>
                <w:sz w:val="21"/>
                <w:szCs w:val="21"/>
                <w:u w:val="none"/>
                <w:lang w:val="en-US" w:eastAsia="zh-CN" w:bidi="ar"/>
              </w:rPr>
              <w:t>638</w:t>
            </w:r>
          </w:p>
        </w:tc>
        <w:tc>
          <w:tcPr>
            <w:tcW w:w="133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454" w:hRule="exact"/>
          <w:tblHeader/>
          <w:jc w:val="center"/>
        </w:trPr>
        <w:tc>
          <w:tcPr>
            <w:tcW w:w="171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77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产生量（t/a）</w:t>
            </w:r>
          </w:p>
        </w:tc>
        <w:tc>
          <w:tcPr>
            <w:tcW w:w="133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0.61524</w:t>
            </w:r>
          </w:p>
        </w:tc>
        <w:tc>
          <w:tcPr>
            <w:tcW w:w="133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0.76905</w:t>
            </w:r>
          </w:p>
        </w:tc>
        <w:tc>
          <w:tcPr>
            <w:tcW w:w="133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1.08</w:t>
            </w:r>
          </w:p>
        </w:tc>
        <w:tc>
          <w:tcPr>
            <w:tcW w:w="133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0.0007691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454" w:hRule="exact"/>
          <w:jc w:val="center"/>
        </w:trPr>
        <w:tc>
          <w:tcPr>
            <w:tcW w:w="171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77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排放浓度（mg/l）</w:t>
            </w:r>
          </w:p>
        </w:tc>
        <w:tc>
          <w:tcPr>
            <w:tcW w:w="133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200</w:t>
            </w:r>
          </w:p>
        </w:tc>
        <w:tc>
          <w:tcPr>
            <w:tcW w:w="133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100</w:t>
            </w:r>
          </w:p>
        </w:tc>
        <w:tc>
          <w:tcPr>
            <w:tcW w:w="133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133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454" w:hRule="exact"/>
          <w:jc w:val="center"/>
        </w:trPr>
        <w:tc>
          <w:tcPr>
            <w:tcW w:w="171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77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排放量（t/a）</w:t>
            </w:r>
          </w:p>
        </w:tc>
        <w:tc>
          <w:tcPr>
            <w:tcW w:w="133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0.30762</w:t>
            </w:r>
          </w:p>
        </w:tc>
        <w:tc>
          <w:tcPr>
            <w:tcW w:w="133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0.15381</w:t>
            </w:r>
          </w:p>
        </w:tc>
        <w:tc>
          <w:tcPr>
            <w:tcW w:w="133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≦0.001</w:t>
            </w:r>
          </w:p>
        </w:tc>
        <w:tc>
          <w:tcPr>
            <w:tcW w:w="133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0.0003076</w:t>
            </w:r>
          </w:p>
        </w:tc>
      </w:tr>
    </w:tbl>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color w:val="auto"/>
        </w:rPr>
      </w:pPr>
      <w:r>
        <w:rPr>
          <w:rFonts w:hint="default" w:ascii="Times New Roman" w:hAnsi="Times New Roman" w:cs="Times New Roman"/>
          <w:color w:val="auto"/>
        </w:rPr>
        <w:t>2）生活污水（W4）</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本项目不新增劳动定员，项目建成后，全厂生活污水量仍为391.68t/a，主要污染物为COD、BOD5、NH3-N、SS，生活污水经化粪池处理后，经厂区污水管道进入巴陵石化污水处理厂处理达标后外排至长江。</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3）初期雨水（W5）</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本项目主要利用厂区内现有成品库、原辅材料库、生产区和辅助生产区及生活区，不新增占地面积，因此，本工程后，初期雨水量不变，仍为489m</w:t>
      </w:r>
      <w:r>
        <w:rPr>
          <w:rFonts w:hint="default" w:ascii="Times New Roman" w:hAnsi="Times New Roman" w:cs="Times New Roman"/>
          <w:color w:val="auto"/>
          <w:vertAlign w:val="superscript"/>
        </w:rPr>
        <w:t>3</w:t>
      </w:r>
      <w:r>
        <w:rPr>
          <w:rFonts w:hint="default" w:ascii="Times New Roman" w:hAnsi="Times New Roman" w:cs="Times New Roman"/>
          <w:color w:val="auto"/>
        </w:rPr>
        <w:t>/a，主要污染物为COD、SS，其中SS浓度一般在100</w:t>
      </w:r>
      <w:r>
        <w:rPr>
          <w:rFonts w:hint="default" w:ascii="Times New Roman" w:hAnsi="Times New Roman" w:cs="Times New Roman"/>
          <w:color w:val="auto"/>
          <w:lang w:eastAsia="zh-CN"/>
        </w:rPr>
        <w:t>~</w:t>
      </w:r>
      <w:r>
        <w:rPr>
          <w:rFonts w:hint="default" w:ascii="Times New Roman" w:hAnsi="Times New Roman" w:cs="Times New Roman"/>
          <w:color w:val="auto"/>
        </w:rPr>
        <w:t>200mg/L，COD浓度一般在150</w:t>
      </w:r>
      <w:r>
        <w:rPr>
          <w:rFonts w:hint="default" w:ascii="Times New Roman" w:hAnsi="Times New Roman" w:cs="Times New Roman"/>
          <w:color w:val="auto"/>
          <w:lang w:eastAsia="zh-CN"/>
        </w:rPr>
        <w:t>~</w:t>
      </w:r>
      <w:r>
        <w:rPr>
          <w:rFonts w:hint="default" w:ascii="Times New Roman" w:hAnsi="Times New Roman" w:cs="Times New Roman"/>
          <w:color w:val="auto"/>
        </w:rPr>
        <w:t>300mg/L。初期雨水</w:t>
      </w:r>
      <w:bookmarkStart w:id="337" w:name="_Hlk523694304"/>
      <w:r>
        <w:rPr>
          <w:rFonts w:hint="default" w:ascii="Times New Roman" w:hAnsi="Times New Roman" w:cs="Times New Roman"/>
          <w:color w:val="auto"/>
        </w:rPr>
        <w:t>经</w:t>
      </w:r>
      <w:r>
        <w:rPr>
          <w:rFonts w:hint="default" w:ascii="Times New Roman" w:hAnsi="Times New Roman" w:cs="Times New Roman"/>
          <w:color w:val="auto"/>
          <w:lang w:eastAsia="zh-CN"/>
        </w:rPr>
        <w:t>阀门切换排入暗沟</w:t>
      </w:r>
      <w:r>
        <w:rPr>
          <w:rFonts w:hint="default" w:ascii="Times New Roman" w:hAnsi="Times New Roman" w:cs="Times New Roman"/>
          <w:color w:val="auto"/>
        </w:rPr>
        <w:t>，通过</w:t>
      </w:r>
      <w:r>
        <w:rPr>
          <w:rFonts w:hint="default" w:ascii="Times New Roman" w:hAnsi="Times New Roman" w:cs="Times New Roman"/>
          <w:color w:val="auto"/>
          <w:lang w:eastAsia="zh-CN"/>
        </w:rPr>
        <w:t>园区</w:t>
      </w:r>
      <w:r>
        <w:rPr>
          <w:rFonts w:hint="default" w:ascii="Times New Roman" w:hAnsi="Times New Roman" w:cs="Times New Roman"/>
          <w:color w:val="auto"/>
        </w:rPr>
        <w:t>污水管网排入巴陵石化污水处理厂进行处理，达标后排入长江。后期的清净雨水通过阀门切换进入园区雨水管道，最终汇入长江</w:t>
      </w:r>
      <w:bookmarkEnd w:id="337"/>
      <w:r>
        <w:rPr>
          <w:rFonts w:hint="default" w:ascii="Times New Roman" w:hAnsi="Times New Roman" w:cs="Times New Roman"/>
          <w:color w:val="auto"/>
        </w:rPr>
        <w:t>。</w:t>
      </w:r>
    </w:p>
    <w:p>
      <w:pPr>
        <w:pStyle w:val="7"/>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r>
        <w:rPr>
          <w:rFonts w:hint="default" w:ascii="Times New Roman" w:hAnsi="Times New Roman" w:cs="Times New Roman"/>
          <w:color w:val="auto"/>
        </w:rPr>
        <w:t>噪声</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本项目生产设备较为简单，主要噪声源为各反应过程中的反应釜搅拌电机、各类泵等的转动部件产生的噪声等，主要噪声源状况及治理措施噪声源强见下表。</w:t>
      </w:r>
    </w:p>
    <w:p>
      <w:pPr>
        <w:pStyle w:val="3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w:t>
      </w:r>
      <w:r>
        <w:rPr>
          <w:rFonts w:hint="default" w:ascii="Times New Roman" w:hAnsi="Times New Roman" w:cs="Times New Roman"/>
          <w:b/>
          <w:bCs/>
          <w:color w:val="auto"/>
          <w:kern w:val="2"/>
          <w:sz w:val="21"/>
          <w:szCs w:val="21"/>
          <w:lang w:val="en-US" w:eastAsia="zh-CN" w:bidi="ar-SA"/>
        </w:rPr>
        <w:t>4-6</w:t>
      </w:r>
      <w:r>
        <w:rPr>
          <w:rFonts w:hint="default" w:ascii="Times New Roman" w:hAnsi="Times New Roman" w:eastAsia="宋体" w:cs="Times New Roman"/>
          <w:b/>
          <w:bCs/>
          <w:color w:val="auto"/>
          <w:kern w:val="2"/>
          <w:sz w:val="21"/>
          <w:szCs w:val="21"/>
          <w:lang w:val="en-US" w:eastAsia="zh-CN" w:bidi="ar-SA"/>
        </w:rPr>
        <w:t xml:space="preserve">    主要噪声设备一览表</w:t>
      </w:r>
    </w:p>
    <w:tbl>
      <w:tblPr>
        <w:tblStyle w:val="24"/>
        <w:tblW w:w="93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700"/>
        <w:gridCol w:w="873"/>
        <w:gridCol w:w="777"/>
        <w:gridCol w:w="1160"/>
        <w:gridCol w:w="3006"/>
        <w:gridCol w:w="12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4" w:hRule="atLeast"/>
          <w:tblHeader/>
        </w:trPr>
        <w:tc>
          <w:tcPr>
            <w:tcW w:w="60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70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设备名称</w:t>
            </w:r>
          </w:p>
        </w:tc>
        <w:tc>
          <w:tcPr>
            <w:tcW w:w="87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数量</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77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运行</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规律</w:t>
            </w:r>
          </w:p>
        </w:tc>
        <w:tc>
          <w:tcPr>
            <w:tcW w:w="116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噪声源强</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dB(A)</w:t>
            </w:r>
          </w:p>
        </w:tc>
        <w:tc>
          <w:tcPr>
            <w:tcW w:w="300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降噪措施</w:t>
            </w:r>
          </w:p>
        </w:tc>
        <w:tc>
          <w:tcPr>
            <w:tcW w:w="122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降噪后源强dB(A)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60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70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反应釜搅拌电机</w:t>
            </w:r>
          </w:p>
        </w:tc>
        <w:tc>
          <w:tcPr>
            <w:tcW w:w="87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77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间歇</w:t>
            </w:r>
          </w:p>
        </w:tc>
        <w:tc>
          <w:tcPr>
            <w:tcW w:w="116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75</w:t>
            </w:r>
          </w:p>
        </w:tc>
        <w:tc>
          <w:tcPr>
            <w:tcW w:w="300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选用低噪声设备、隔声、减震</w:t>
            </w:r>
          </w:p>
        </w:tc>
        <w:tc>
          <w:tcPr>
            <w:tcW w:w="122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60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70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泵类</w:t>
            </w:r>
          </w:p>
        </w:tc>
        <w:tc>
          <w:tcPr>
            <w:tcW w:w="87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c>
          <w:tcPr>
            <w:tcW w:w="77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间歇</w:t>
            </w:r>
          </w:p>
        </w:tc>
        <w:tc>
          <w:tcPr>
            <w:tcW w:w="116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8</w:t>
            </w:r>
            <w:r>
              <w:rPr>
                <w:rFonts w:hint="default" w:ascii="Times New Roman" w:hAnsi="Times New Roman" w:cs="Times New Roman"/>
                <w:color w:val="auto"/>
                <w:sz w:val="21"/>
                <w:szCs w:val="21"/>
                <w:lang w:val="en-US" w:eastAsia="zh-CN"/>
              </w:rPr>
              <w:t>0</w:t>
            </w:r>
          </w:p>
        </w:tc>
        <w:tc>
          <w:tcPr>
            <w:tcW w:w="300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选用低噪声设备、隔声、减震</w:t>
            </w:r>
          </w:p>
        </w:tc>
        <w:tc>
          <w:tcPr>
            <w:tcW w:w="122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0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70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冷凝器</w:t>
            </w:r>
          </w:p>
        </w:tc>
        <w:tc>
          <w:tcPr>
            <w:tcW w:w="87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77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间歇</w:t>
            </w:r>
          </w:p>
        </w:tc>
        <w:tc>
          <w:tcPr>
            <w:tcW w:w="116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c>
          <w:tcPr>
            <w:tcW w:w="300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选用低噪声设备、隔声、减震</w:t>
            </w:r>
          </w:p>
        </w:tc>
        <w:tc>
          <w:tcPr>
            <w:tcW w:w="122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65</w:t>
            </w:r>
          </w:p>
        </w:tc>
      </w:tr>
    </w:tbl>
    <w:p>
      <w:pPr>
        <w:pStyle w:val="7"/>
        <w:keepNext w:val="0"/>
        <w:keepLines w:val="0"/>
        <w:pageBreakBefore w:val="0"/>
        <w:widowControl w:val="0"/>
        <w:numPr>
          <w:ilvl w:val="3"/>
          <w:numId w:val="0"/>
        </w:numPr>
        <w:kinsoku/>
        <w:wordWrap/>
        <w:overflowPunct/>
        <w:topLinePunct w:val="0"/>
        <w:autoSpaceDE/>
        <w:autoSpaceDN/>
        <w:bidi w:val="0"/>
        <w:adjustRightInd w:val="0"/>
        <w:snapToGrid w:val="0"/>
        <w:spacing w:beforeLines="0" w:afterLines="0" w:line="360" w:lineRule="auto"/>
        <w:ind w:leftChars="0"/>
        <w:textAlignment w:val="auto"/>
        <w:outlineLvl w:val="3"/>
        <w:rPr>
          <w:rFonts w:hint="default" w:ascii="Times New Roman" w:hAnsi="Times New Roman" w:cs="Times New Roman"/>
          <w:color w:val="auto"/>
        </w:rPr>
      </w:pPr>
    </w:p>
    <w:p>
      <w:pPr>
        <w:pStyle w:val="7"/>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outlineLvl w:val="3"/>
        <w:rPr>
          <w:rFonts w:hint="default" w:ascii="Times New Roman" w:hAnsi="Times New Roman" w:cs="Times New Roman"/>
          <w:color w:val="auto"/>
        </w:rPr>
      </w:pPr>
      <w:r>
        <w:rPr>
          <w:rFonts w:hint="default" w:ascii="Times New Roman" w:hAnsi="Times New Roman" w:cs="Times New Roman"/>
          <w:color w:val="auto"/>
        </w:rPr>
        <w:t>固体废物</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项目运营期产生的固体废弃物主要为生活垃圾、一般工业固体废物和危险废物。</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1）危险废物</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lang w:eastAsia="zh-CN"/>
        </w:rPr>
        <w:t>①</w:t>
      </w:r>
      <w:r>
        <w:rPr>
          <w:rFonts w:hint="default" w:ascii="Times New Roman" w:hAnsi="Times New Roman" w:cs="Times New Roman"/>
          <w:color w:val="auto"/>
        </w:rPr>
        <w:t>沾染原材料的空桶</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用来盛装过环己烷、氢氧化钠、异辛酸等原辅材料的空桶，约产生2400个空桶，平均每个空桶按照5kg计算，则沾染原材料的空桶产生量约12t/a。根据《国家危险废物名录》，这部分废物为属于危险废物，废物类别为HW49其他废物，废物代码为900-041-49，将沾染原材料的空桶存放在</w:t>
      </w:r>
      <w:r>
        <w:rPr>
          <w:rFonts w:hint="default" w:ascii="Times New Roman" w:hAnsi="Times New Roman" w:cs="Times New Roman"/>
          <w:color w:val="auto"/>
          <w:u w:val="single"/>
        </w:rPr>
        <w:t>危废暂存间</w:t>
      </w:r>
      <w:r>
        <w:rPr>
          <w:rFonts w:hint="default" w:ascii="Times New Roman" w:hAnsi="Times New Roman" w:cs="Times New Roman"/>
          <w:color w:val="auto"/>
        </w:rPr>
        <w:t>，定期交由</w:t>
      </w:r>
      <w:r>
        <w:rPr>
          <w:rFonts w:hint="default" w:ascii="Times New Roman" w:hAnsi="Times New Roman" w:cs="Times New Roman"/>
          <w:color w:val="auto"/>
          <w:lang w:eastAsia="zh-CN"/>
        </w:rPr>
        <w:t>岳阳市凌峰化工有限公司</w:t>
      </w:r>
      <w:r>
        <w:rPr>
          <w:rFonts w:hint="default" w:ascii="Times New Roman" w:hAnsi="Times New Roman" w:cs="Times New Roman"/>
          <w:color w:val="auto"/>
        </w:rPr>
        <w:t>处置</w:t>
      </w:r>
      <w:r>
        <w:rPr>
          <w:rFonts w:hint="default" w:ascii="Times New Roman" w:hAnsi="Times New Roman" w:cs="Times New Roman"/>
          <w:color w:val="auto"/>
          <w:lang w:eastAsia="zh-CN"/>
        </w:rPr>
        <w:t>。</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②</w:t>
      </w:r>
      <w:r>
        <w:rPr>
          <w:rFonts w:hint="default" w:ascii="Times New Roman" w:hAnsi="Times New Roman" w:cs="Times New Roman"/>
          <w:color w:val="auto"/>
        </w:rPr>
        <w:t>废有机溶</w:t>
      </w:r>
      <w:r>
        <w:rPr>
          <w:rFonts w:hint="default" w:ascii="Times New Roman" w:hAnsi="Times New Roman" w:cs="Times New Roman"/>
          <w:color w:val="auto"/>
          <w:lang w:eastAsia="zh-CN"/>
        </w:rPr>
        <w:t>液</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项目生产过程中产生的</w:t>
      </w:r>
      <w:r>
        <w:rPr>
          <w:rFonts w:hint="default" w:ascii="Times New Roman" w:hAnsi="Times New Roman" w:cs="Times New Roman"/>
          <w:color w:val="auto"/>
        </w:rPr>
        <w:t>废有机溶</w:t>
      </w:r>
      <w:r>
        <w:rPr>
          <w:rFonts w:hint="default" w:ascii="Times New Roman" w:hAnsi="Times New Roman" w:cs="Times New Roman"/>
          <w:color w:val="auto"/>
          <w:lang w:eastAsia="zh-CN"/>
        </w:rPr>
        <w:t>液，产量约</w:t>
      </w:r>
      <w:r>
        <w:rPr>
          <w:rFonts w:hint="default" w:ascii="Times New Roman" w:hAnsi="Times New Roman" w:cs="Times New Roman"/>
          <w:color w:val="auto"/>
          <w:lang w:val="en-US" w:eastAsia="zh-CN"/>
        </w:rPr>
        <w:t>49.2888</w:t>
      </w:r>
      <w:r>
        <w:rPr>
          <w:rFonts w:hint="default" w:ascii="Times New Roman" w:hAnsi="Times New Roman" w:cs="Times New Roman"/>
          <w:color w:val="auto"/>
        </w:rPr>
        <w:t>t/a</w:t>
      </w:r>
      <w:r>
        <w:rPr>
          <w:rFonts w:hint="default" w:ascii="Times New Roman" w:hAnsi="Times New Roman" w:cs="Times New Roman"/>
          <w:color w:val="auto"/>
          <w:lang w:eastAsia="zh-CN"/>
        </w:rPr>
        <w:t>，</w:t>
      </w:r>
      <w:r>
        <w:rPr>
          <w:rFonts w:hint="default" w:ascii="Times New Roman" w:hAnsi="Times New Roman" w:cs="Times New Roman"/>
          <w:color w:val="auto"/>
          <w:u w:val="single"/>
          <w:lang w:eastAsia="zh-CN"/>
        </w:rPr>
        <w:t>其中</w:t>
      </w:r>
      <w:r>
        <w:rPr>
          <w:rFonts w:hint="default" w:ascii="Times New Roman" w:hAnsi="Times New Roman" w:cs="Times New Roman"/>
          <w:color w:val="auto"/>
          <w:u w:val="single"/>
          <w:lang w:val="en-US" w:eastAsia="zh-CN"/>
        </w:rPr>
        <w:t>60%为未被利用的环己烷，</w:t>
      </w:r>
      <w:r>
        <w:rPr>
          <w:rFonts w:hint="default" w:ascii="Times New Roman" w:hAnsi="Times New Roman" w:cs="Times New Roman"/>
          <w:color w:val="auto"/>
        </w:rPr>
        <w:t>废物类别为HW</w:t>
      </w:r>
      <w:r>
        <w:rPr>
          <w:rFonts w:hint="default" w:ascii="Times New Roman" w:hAnsi="Times New Roman" w:cs="Times New Roman"/>
          <w:color w:val="auto"/>
          <w:lang w:val="en-US" w:eastAsia="zh-CN"/>
        </w:rPr>
        <w:t>06废有机溶剂与含有机溶剂废物，</w:t>
      </w:r>
      <w:r>
        <w:rPr>
          <w:rFonts w:hint="default" w:ascii="Times New Roman" w:hAnsi="Times New Roman" w:cs="Times New Roman"/>
          <w:color w:val="auto"/>
        </w:rPr>
        <w:t>废物代码为</w:t>
      </w:r>
      <w:r>
        <w:rPr>
          <w:rFonts w:hint="default" w:ascii="Times New Roman" w:hAnsi="Times New Roman" w:cs="Times New Roman"/>
          <w:color w:val="auto"/>
          <w:lang w:val="en-US" w:eastAsia="zh-CN"/>
        </w:rPr>
        <w:t>900-403-06，</w:t>
      </w:r>
      <w:r>
        <w:rPr>
          <w:rFonts w:hint="default" w:ascii="Times New Roman" w:hAnsi="Times New Roman" w:cs="Times New Roman"/>
          <w:color w:val="auto"/>
        </w:rPr>
        <w:t>交由</w:t>
      </w:r>
      <w:r>
        <w:rPr>
          <w:rFonts w:hint="default" w:ascii="Times New Roman" w:hAnsi="Times New Roman" w:cs="Times New Roman"/>
          <w:color w:val="auto"/>
          <w:lang w:eastAsia="zh-CN"/>
        </w:rPr>
        <w:t>岳阳市凌峰化工有限公司</w:t>
      </w:r>
      <w:r>
        <w:rPr>
          <w:rFonts w:hint="default" w:ascii="Times New Roman" w:hAnsi="Times New Roman" w:cs="Times New Roman"/>
          <w:color w:val="auto"/>
        </w:rPr>
        <w:t>处置</w:t>
      </w:r>
      <w:r>
        <w:rPr>
          <w:rFonts w:hint="default" w:ascii="Times New Roman" w:hAnsi="Times New Roman" w:cs="Times New Roman"/>
          <w:color w:val="auto"/>
          <w:lang w:eastAsia="zh-CN"/>
        </w:rPr>
        <w:t>。</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u w:val="single"/>
        </w:rPr>
      </w:pPr>
      <w:r>
        <w:rPr>
          <w:rFonts w:hint="default" w:ascii="Times New Roman" w:hAnsi="Times New Roman" w:cs="Times New Roman"/>
          <w:color w:val="auto"/>
          <w:u w:val="single"/>
          <w:lang w:eastAsia="zh-CN"/>
        </w:rPr>
        <w:t>③精制釜</w:t>
      </w:r>
      <w:r>
        <w:rPr>
          <w:rFonts w:hint="default" w:ascii="Times New Roman" w:hAnsi="Times New Roman" w:cs="Times New Roman"/>
          <w:color w:val="auto"/>
          <w:u w:val="single"/>
        </w:rPr>
        <w:t>沉渣</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u w:val="single"/>
        </w:rPr>
      </w:pPr>
      <w:r>
        <w:rPr>
          <w:rFonts w:hint="default" w:ascii="Times New Roman" w:hAnsi="Times New Roman" w:cs="Times New Roman"/>
          <w:color w:val="auto"/>
          <w:u w:val="single"/>
          <w:lang w:eastAsia="zh-CN"/>
        </w:rPr>
        <w:t>物料为精制釜</w:t>
      </w:r>
      <w:r>
        <w:rPr>
          <w:rFonts w:hint="default" w:ascii="Times New Roman" w:hAnsi="Times New Roman" w:cs="Times New Roman"/>
          <w:color w:val="auto"/>
          <w:u w:val="single"/>
        </w:rPr>
        <w:t>沉渣</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沉渣中含有镍盐、含镍催化剂等，根据物料平衡，本项目沉降罐沉渣产生量约为0.9t/a。根据《国家危险废物名录》，这部分废物为属于危险废物，废物类别为HW49其他废物，废物代码为900-040-49，将收集沉渣放在危废暂存间，定期交由</w:t>
      </w:r>
      <w:r>
        <w:rPr>
          <w:rFonts w:hint="default" w:ascii="Times New Roman" w:hAnsi="Times New Roman" w:cs="Times New Roman"/>
          <w:color w:val="auto"/>
          <w:u w:val="single"/>
          <w:lang w:eastAsia="zh-CN"/>
        </w:rPr>
        <w:t>岳阳市凌峰化工有限公司</w:t>
      </w:r>
      <w:r>
        <w:rPr>
          <w:rFonts w:hint="default" w:ascii="Times New Roman" w:hAnsi="Times New Roman" w:cs="Times New Roman"/>
          <w:color w:val="auto"/>
          <w:u w:val="single"/>
        </w:rPr>
        <w:t>处置。</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2）一般工业固体废物</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本项目一般工业固体废物主要为未沾染原材料的废弃外包装物，产生量约1.0t/a，集中收集后外售给废品回收站综合利用。</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3）生活垃圾</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本项目不新增劳动定员，项目建成后全厂日常生活产生的垃圾仍为3.06t/a（约10kg/d），收集后交由环卫部门统一处理。</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本项目固体废物产生及处置情况见下表。</w:t>
      </w:r>
    </w:p>
    <w:p>
      <w:pPr>
        <w:pStyle w:val="3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kern w:val="2"/>
          <w:sz w:val="21"/>
          <w:szCs w:val="21"/>
          <w:u w:val="single"/>
          <w:lang w:val="en-US" w:eastAsia="zh-CN" w:bidi="ar-SA"/>
        </w:rPr>
      </w:pPr>
      <w:r>
        <w:rPr>
          <w:rFonts w:hint="default" w:ascii="Times New Roman" w:hAnsi="Times New Roman" w:eastAsia="宋体" w:cs="Times New Roman"/>
          <w:b/>
          <w:bCs/>
          <w:color w:val="auto"/>
          <w:kern w:val="2"/>
          <w:sz w:val="21"/>
          <w:szCs w:val="21"/>
          <w:u w:val="single"/>
          <w:lang w:val="en-US" w:eastAsia="zh-CN" w:bidi="ar-SA"/>
        </w:rPr>
        <w:t>表</w:t>
      </w:r>
      <w:r>
        <w:rPr>
          <w:rFonts w:hint="default" w:ascii="Times New Roman" w:hAnsi="Times New Roman" w:cs="Times New Roman"/>
          <w:b/>
          <w:bCs/>
          <w:color w:val="auto"/>
          <w:kern w:val="2"/>
          <w:sz w:val="21"/>
          <w:szCs w:val="21"/>
          <w:u w:val="single"/>
          <w:lang w:val="en-US" w:eastAsia="zh-CN" w:bidi="ar-SA"/>
        </w:rPr>
        <w:t>4-7</w:t>
      </w:r>
      <w:r>
        <w:rPr>
          <w:rFonts w:hint="default" w:ascii="Times New Roman" w:hAnsi="Times New Roman" w:eastAsia="宋体" w:cs="Times New Roman"/>
          <w:b/>
          <w:bCs/>
          <w:color w:val="auto"/>
          <w:kern w:val="2"/>
          <w:sz w:val="21"/>
          <w:szCs w:val="21"/>
          <w:u w:val="single"/>
          <w:lang w:val="en-US" w:eastAsia="zh-CN" w:bidi="ar-SA"/>
        </w:rPr>
        <w:t xml:space="preserve">   本项目固废产生及处置情况一览表</w:t>
      </w:r>
    </w:p>
    <w:tbl>
      <w:tblPr>
        <w:tblStyle w:val="24"/>
        <w:tblW w:w="93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1643"/>
        <w:gridCol w:w="2140"/>
        <w:gridCol w:w="1049"/>
        <w:gridCol w:w="1936"/>
        <w:gridCol w:w="14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14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类别</w:t>
            </w:r>
          </w:p>
        </w:tc>
        <w:tc>
          <w:tcPr>
            <w:tcW w:w="164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来源</w:t>
            </w:r>
          </w:p>
        </w:tc>
        <w:tc>
          <w:tcPr>
            <w:tcW w:w="214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104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产生量（t/a）</w:t>
            </w:r>
          </w:p>
        </w:tc>
        <w:tc>
          <w:tcPr>
            <w:tcW w:w="193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处理措施</w:t>
            </w:r>
          </w:p>
        </w:tc>
        <w:tc>
          <w:tcPr>
            <w:tcW w:w="141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14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164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生活、办公</w:t>
            </w:r>
          </w:p>
        </w:tc>
        <w:tc>
          <w:tcPr>
            <w:tcW w:w="214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104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3.06</w:t>
            </w:r>
          </w:p>
        </w:tc>
        <w:tc>
          <w:tcPr>
            <w:tcW w:w="193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交由环卫部门统一清运处理</w:t>
            </w:r>
          </w:p>
        </w:tc>
        <w:tc>
          <w:tcPr>
            <w:tcW w:w="141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14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一般工业固物</w:t>
            </w:r>
          </w:p>
        </w:tc>
        <w:tc>
          <w:tcPr>
            <w:tcW w:w="164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原辅材料</w:t>
            </w:r>
          </w:p>
        </w:tc>
        <w:tc>
          <w:tcPr>
            <w:tcW w:w="214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未沾染原辅材料的废弃外包装物</w:t>
            </w:r>
          </w:p>
        </w:tc>
        <w:tc>
          <w:tcPr>
            <w:tcW w:w="104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93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外售给废品回收站综合利用</w:t>
            </w:r>
          </w:p>
        </w:tc>
        <w:tc>
          <w:tcPr>
            <w:tcW w:w="141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149" w:type="dxa"/>
            <w:vMerge w:val="restart"/>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w:t>
            </w:r>
          </w:p>
        </w:tc>
        <w:tc>
          <w:tcPr>
            <w:tcW w:w="164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原辅材料</w:t>
            </w:r>
          </w:p>
        </w:tc>
        <w:tc>
          <w:tcPr>
            <w:tcW w:w="214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沾染原辅材料的空桶</w:t>
            </w:r>
          </w:p>
        </w:tc>
        <w:tc>
          <w:tcPr>
            <w:tcW w:w="104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193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交由</w:t>
            </w:r>
            <w:r>
              <w:rPr>
                <w:rFonts w:hint="default" w:ascii="Times New Roman" w:hAnsi="Times New Roman" w:cs="Times New Roman"/>
                <w:color w:val="auto"/>
                <w:sz w:val="21"/>
                <w:szCs w:val="21"/>
                <w:lang w:eastAsia="zh-CN"/>
              </w:rPr>
              <w:t>岳阳市凌峰化工有限公司</w:t>
            </w:r>
            <w:r>
              <w:rPr>
                <w:rFonts w:hint="default" w:ascii="Times New Roman" w:hAnsi="Times New Roman" w:cs="Times New Roman"/>
                <w:color w:val="auto"/>
                <w:sz w:val="21"/>
                <w:szCs w:val="21"/>
              </w:rPr>
              <w:t>处置</w:t>
            </w:r>
          </w:p>
        </w:tc>
        <w:tc>
          <w:tcPr>
            <w:tcW w:w="141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149"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p>
        </w:tc>
        <w:tc>
          <w:tcPr>
            <w:tcW w:w="164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精制罐</w:t>
            </w:r>
          </w:p>
        </w:tc>
        <w:tc>
          <w:tcPr>
            <w:tcW w:w="214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沉渣</w:t>
            </w:r>
          </w:p>
        </w:tc>
        <w:tc>
          <w:tcPr>
            <w:tcW w:w="104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0.9</w:t>
            </w:r>
          </w:p>
        </w:tc>
        <w:tc>
          <w:tcPr>
            <w:tcW w:w="193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交由岳阳市凌峰化工有限公司处置</w:t>
            </w:r>
          </w:p>
        </w:tc>
        <w:tc>
          <w:tcPr>
            <w:tcW w:w="141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49"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p>
        </w:tc>
        <w:tc>
          <w:tcPr>
            <w:tcW w:w="164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生产过程</w:t>
            </w:r>
          </w:p>
        </w:tc>
        <w:tc>
          <w:tcPr>
            <w:tcW w:w="214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废有机溶</w:t>
            </w:r>
            <w:r>
              <w:rPr>
                <w:rFonts w:hint="default" w:ascii="Times New Roman" w:hAnsi="Times New Roman" w:cs="Times New Roman"/>
                <w:color w:val="auto"/>
                <w:sz w:val="21"/>
                <w:szCs w:val="21"/>
                <w:highlight w:val="none"/>
                <w:lang w:eastAsia="zh-CN"/>
              </w:rPr>
              <w:t>液</w:t>
            </w:r>
          </w:p>
        </w:tc>
        <w:tc>
          <w:tcPr>
            <w:tcW w:w="104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w:t>
            </w:r>
          </w:p>
        </w:tc>
        <w:tc>
          <w:tcPr>
            <w:tcW w:w="193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交由</w:t>
            </w:r>
            <w:r>
              <w:rPr>
                <w:rFonts w:hint="default" w:ascii="Times New Roman" w:hAnsi="Times New Roman" w:cs="Times New Roman"/>
                <w:color w:val="auto"/>
                <w:sz w:val="21"/>
                <w:szCs w:val="21"/>
                <w:highlight w:val="none"/>
                <w:lang w:eastAsia="zh-CN"/>
              </w:rPr>
              <w:t>岳阳市凌峰化工有限公司</w:t>
            </w:r>
            <w:r>
              <w:rPr>
                <w:rFonts w:hint="default" w:ascii="Times New Roman" w:hAnsi="Times New Roman" w:cs="Times New Roman"/>
                <w:color w:val="auto"/>
                <w:sz w:val="21"/>
                <w:szCs w:val="21"/>
                <w:highlight w:val="none"/>
              </w:rPr>
              <w:t>处置</w:t>
            </w:r>
          </w:p>
        </w:tc>
        <w:tc>
          <w:tcPr>
            <w:tcW w:w="141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4932" w:type="dxa"/>
            <w:gridSpan w:val="3"/>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104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36.96</w:t>
            </w:r>
          </w:p>
        </w:tc>
        <w:tc>
          <w:tcPr>
            <w:tcW w:w="193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41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pPr>
        <w:pStyle w:val="39"/>
        <w:bidi w:val="0"/>
        <w:rPr>
          <w:rFonts w:hint="default" w:ascii="Times New Roman" w:hAnsi="Times New Roman" w:cs="Times New Roman"/>
          <w:color w:val="auto"/>
        </w:rPr>
        <w:sectPr>
          <w:pgSz w:w="11905" w:h="16838"/>
          <w:pgMar w:top="1417" w:right="1417" w:bottom="1134" w:left="1701"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4"/>
        <w:bidi w:val="0"/>
        <w:rPr>
          <w:rFonts w:hint="default" w:ascii="Times New Roman" w:hAnsi="Times New Roman" w:cs="Times New Roman"/>
          <w:color w:val="auto"/>
          <w:highlight w:val="none"/>
        </w:rPr>
      </w:pPr>
      <w:bookmarkStart w:id="338" w:name="_Toc11052"/>
      <w:bookmarkStart w:id="339" w:name="_Toc28839"/>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eastAsia="zh-CN"/>
        </w:rPr>
        <w:t>建设</w:t>
      </w:r>
      <w:r>
        <w:rPr>
          <w:rFonts w:hint="default" w:ascii="Times New Roman" w:hAnsi="Times New Roman" w:cs="Times New Roman"/>
          <w:color w:val="auto"/>
          <w:highlight w:val="none"/>
        </w:rPr>
        <w:t>前后</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三本帐</w:t>
      </w:r>
      <w:bookmarkEnd w:id="338"/>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计算情况</w:t>
      </w:r>
      <w:bookmarkEnd w:id="339"/>
    </w:p>
    <w:p>
      <w:pPr>
        <w:pStyle w:val="3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eastAsia="zh-CN"/>
        </w:rPr>
        <w:t>建设</w:t>
      </w:r>
      <w:r>
        <w:rPr>
          <w:rFonts w:hint="default" w:ascii="Times New Roman" w:hAnsi="Times New Roman" w:cs="Times New Roman"/>
          <w:color w:val="auto"/>
          <w:highlight w:val="none"/>
        </w:rPr>
        <w:t>前后污染物排放情况</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三本帐</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核算详见表</w:t>
      </w:r>
      <w:r>
        <w:rPr>
          <w:rFonts w:hint="default" w:ascii="Times New Roman" w:hAnsi="Times New Roman" w:cs="Times New Roman"/>
          <w:color w:val="auto"/>
          <w:highlight w:val="none"/>
          <w:lang w:val="en-US" w:eastAsia="zh-CN"/>
        </w:rPr>
        <w:t>4-8</w:t>
      </w:r>
      <w:r>
        <w:rPr>
          <w:rFonts w:hint="default" w:ascii="Times New Roman" w:hAnsi="Times New Roman" w:cs="Times New Roman"/>
          <w:color w:val="auto"/>
          <w:highlight w:val="none"/>
        </w:rPr>
        <w:t>。</w:t>
      </w:r>
    </w:p>
    <w:p>
      <w:pPr>
        <w:pStyle w:val="39"/>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w:t>
      </w:r>
      <w:r>
        <w:rPr>
          <w:rFonts w:hint="default" w:ascii="Times New Roman" w:hAnsi="Times New Roman" w:cs="Times New Roman"/>
          <w:b/>
          <w:bCs/>
          <w:color w:val="auto"/>
          <w:kern w:val="2"/>
          <w:sz w:val="21"/>
          <w:szCs w:val="21"/>
          <w:highlight w:val="none"/>
          <w:lang w:val="en-US" w:eastAsia="zh-CN" w:bidi="ar-SA"/>
        </w:rPr>
        <w:t>4-8</w:t>
      </w:r>
      <w:r>
        <w:rPr>
          <w:rFonts w:hint="default" w:ascii="Times New Roman" w:hAnsi="Times New Roman" w:eastAsia="宋体" w:cs="Times New Roman"/>
          <w:b/>
          <w:bCs/>
          <w:color w:val="auto"/>
          <w:kern w:val="2"/>
          <w:sz w:val="21"/>
          <w:szCs w:val="21"/>
          <w:highlight w:val="none"/>
          <w:lang w:val="en-US" w:eastAsia="zh-CN" w:bidi="ar-SA"/>
        </w:rPr>
        <w:t xml:space="preserve">  本项目</w:t>
      </w:r>
      <w:r>
        <w:rPr>
          <w:rFonts w:hint="default" w:ascii="Times New Roman" w:hAnsi="Times New Roman" w:cs="Times New Roman"/>
          <w:b/>
          <w:bCs/>
          <w:color w:val="auto"/>
          <w:kern w:val="2"/>
          <w:sz w:val="21"/>
          <w:szCs w:val="21"/>
          <w:highlight w:val="none"/>
          <w:lang w:val="en-US" w:eastAsia="zh-CN" w:bidi="ar-SA"/>
        </w:rPr>
        <w:t>建设</w:t>
      </w:r>
      <w:r>
        <w:rPr>
          <w:rFonts w:hint="default" w:ascii="Times New Roman" w:hAnsi="Times New Roman" w:eastAsia="宋体" w:cs="Times New Roman"/>
          <w:b/>
          <w:bCs/>
          <w:color w:val="auto"/>
          <w:kern w:val="2"/>
          <w:sz w:val="21"/>
          <w:szCs w:val="21"/>
          <w:highlight w:val="none"/>
          <w:lang w:val="en-US" w:eastAsia="zh-CN" w:bidi="ar-SA"/>
        </w:rPr>
        <w:t>前后污染物排放“三本帐”情况</w:t>
      </w:r>
    </w:p>
    <w:tbl>
      <w:tblPr>
        <w:tblStyle w:val="24"/>
        <w:tblW w:w="899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80"/>
        <w:gridCol w:w="973"/>
        <w:gridCol w:w="1157"/>
        <w:gridCol w:w="1088"/>
        <w:gridCol w:w="1015"/>
        <w:gridCol w:w="1008"/>
        <w:gridCol w:w="1074"/>
        <w:gridCol w:w="1142"/>
        <w:gridCol w:w="10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71" w:hRule="exact"/>
        </w:trPr>
        <w:tc>
          <w:tcPr>
            <w:tcW w:w="4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种类</w:t>
            </w:r>
          </w:p>
        </w:tc>
        <w:tc>
          <w:tcPr>
            <w:tcW w:w="2130"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108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现有工程排放量</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（t/a）</w:t>
            </w:r>
          </w:p>
        </w:tc>
        <w:tc>
          <w:tcPr>
            <w:tcW w:w="101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产生量（t/a）</w:t>
            </w:r>
          </w:p>
        </w:tc>
        <w:tc>
          <w:tcPr>
            <w:tcW w:w="100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削减量（t/a）</w:t>
            </w:r>
          </w:p>
        </w:tc>
        <w:tc>
          <w:tcPr>
            <w:tcW w:w="107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排放量</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（t/a）</w:t>
            </w:r>
          </w:p>
        </w:tc>
        <w:tc>
          <w:tcPr>
            <w:tcW w:w="114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总体工程</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排放量</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w:t>
            </w:r>
            <w:r>
              <w:rPr>
                <w:rFonts w:hint="default" w:ascii="Times New Roman" w:hAnsi="Times New Roman" w:cs="Times New Roman"/>
                <w:color w:val="auto"/>
                <w:sz w:val="21"/>
                <w:szCs w:val="21"/>
                <w:highlight w:val="none"/>
              </w:rPr>
              <w:t>t/a</w:t>
            </w:r>
            <w:r>
              <w:rPr>
                <w:rFonts w:hint="default" w:ascii="Times New Roman" w:hAnsi="Times New Roman" w:cs="Times New Roman"/>
                <w:color w:val="auto"/>
                <w:sz w:val="21"/>
                <w:szCs w:val="21"/>
                <w:highlight w:val="none"/>
                <w:lang w:val="zh-CN"/>
              </w:rPr>
              <w:t>）</w:t>
            </w:r>
          </w:p>
        </w:tc>
        <w:tc>
          <w:tcPr>
            <w:tcW w:w="106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增减量变化（</w:t>
            </w:r>
            <w:r>
              <w:rPr>
                <w:rFonts w:hint="default" w:ascii="Times New Roman" w:hAnsi="Times New Roman" w:cs="Times New Roman"/>
                <w:color w:val="auto"/>
                <w:sz w:val="21"/>
                <w:szCs w:val="21"/>
                <w:highlight w:val="none"/>
              </w:rPr>
              <w:t>t/a</w:t>
            </w:r>
            <w:r>
              <w:rPr>
                <w:rFonts w:hint="default" w:ascii="Times New Roman" w:hAnsi="Times New Roman" w:cs="Times New Roman"/>
                <w:color w:val="auto"/>
                <w:sz w:val="21"/>
                <w:szCs w:val="21"/>
                <w:highlight w:val="none"/>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exact"/>
        </w:trPr>
        <w:tc>
          <w:tcPr>
            <w:tcW w:w="480"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973"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有组织废气</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（巴陵石化火炬台）</w:t>
            </w:r>
          </w:p>
        </w:tc>
        <w:tc>
          <w:tcPr>
            <w:tcW w:w="115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VOCs</w:t>
            </w:r>
          </w:p>
        </w:tc>
        <w:tc>
          <w:tcPr>
            <w:tcW w:w="108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1.1786</w:t>
            </w:r>
          </w:p>
        </w:tc>
        <w:tc>
          <w:tcPr>
            <w:tcW w:w="101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0.0368</w:t>
            </w:r>
          </w:p>
        </w:tc>
        <w:tc>
          <w:tcPr>
            <w:tcW w:w="100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0</w:t>
            </w:r>
          </w:p>
        </w:tc>
        <w:tc>
          <w:tcPr>
            <w:tcW w:w="107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zh-CN"/>
              </w:rPr>
              <w:t>0.0</w:t>
            </w:r>
            <w:r>
              <w:rPr>
                <w:rFonts w:hint="default" w:ascii="Times New Roman" w:hAnsi="Times New Roman" w:cs="Times New Roman"/>
                <w:color w:val="auto"/>
                <w:sz w:val="21"/>
                <w:szCs w:val="21"/>
                <w:highlight w:val="none"/>
                <w:lang w:val="en-US" w:eastAsia="zh-CN"/>
              </w:rPr>
              <w:t>368**</w:t>
            </w:r>
          </w:p>
        </w:tc>
        <w:tc>
          <w:tcPr>
            <w:tcW w:w="114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1.2154</w:t>
            </w:r>
          </w:p>
        </w:tc>
        <w:tc>
          <w:tcPr>
            <w:tcW w:w="106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zh-CN"/>
              </w:rPr>
              <w:t>+0.0</w:t>
            </w:r>
            <w:r>
              <w:rPr>
                <w:rFonts w:hint="default" w:ascii="Times New Roman" w:hAnsi="Times New Roman" w:cs="Times New Roman"/>
                <w:color w:val="auto"/>
                <w:sz w:val="21"/>
                <w:szCs w:val="21"/>
                <w:highlight w:val="none"/>
                <w:lang w:val="en-US" w:eastAsia="zh-CN"/>
              </w:rPr>
              <w:t>368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exact"/>
        </w:trPr>
        <w:tc>
          <w:tcPr>
            <w:tcW w:w="480"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p>
        </w:tc>
        <w:tc>
          <w:tcPr>
            <w:tcW w:w="973"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p>
        </w:tc>
        <w:tc>
          <w:tcPr>
            <w:tcW w:w="115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氯化氢</w:t>
            </w:r>
          </w:p>
        </w:tc>
        <w:tc>
          <w:tcPr>
            <w:tcW w:w="108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0.00477</w:t>
            </w:r>
          </w:p>
        </w:tc>
        <w:tc>
          <w:tcPr>
            <w:tcW w:w="101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00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07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14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0.00477</w:t>
            </w:r>
          </w:p>
        </w:tc>
        <w:tc>
          <w:tcPr>
            <w:tcW w:w="106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76" w:hRule="exact"/>
        </w:trPr>
        <w:tc>
          <w:tcPr>
            <w:tcW w:w="480"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973"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15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甲醇</w:t>
            </w:r>
          </w:p>
        </w:tc>
        <w:tc>
          <w:tcPr>
            <w:tcW w:w="108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0.198</w:t>
            </w:r>
          </w:p>
        </w:tc>
        <w:tc>
          <w:tcPr>
            <w:tcW w:w="101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0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7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14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0.198</w:t>
            </w:r>
          </w:p>
        </w:tc>
        <w:tc>
          <w:tcPr>
            <w:tcW w:w="106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exact"/>
        </w:trPr>
        <w:tc>
          <w:tcPr>
            <w:tcW w:w="480"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973"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15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甲苯</w:t>
            </w:r>
          </w:p>
        </w:tc>
        <w:tc>
          <w:tcPr>
            <w:tcW w:w="108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0.198</w:t>
            </w:r>
          </w:p>
        </w:tc>
        <w:tc>
          <w:tcPr>
            <w:tcW w:w="101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0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7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14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0.198</w:t>
            </w:r>
          </w:p>
        </w:tc>
        <w:tc>
          <w:tcPr>
            <w:tcW w:w="106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exact"/>
        </w:trPr>
        <w:tc>
          <w:tcPr>
            <w:tcW w:w="480"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973"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15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四氢呋喃</w:t>
            </w:r>
          </w:p>
        </w:tc>
        <w:tc>
          <w:tcPr>
            <w:tcW w:w="108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0.1188</w:t>
            </w:r>
          </w:p>
        </w:tc>
        <w:tc>
          <w:tcPr>
            <w:tcW w:w="101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0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7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14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0.1188</w:t>
            </w:r>
          </w:p>
        </w:tc>
        <w:tc>
          <w:tcPr>
            <w:tcW w:w="106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exact"/>
        </w:trPr>
        <w:tc>
          <w:tcPr>
            <w:tcW w:w="480"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973"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生活污水、生产废水、初期雨水</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（污染物排放量按标准计算）</w:t>
            </w:r>
          </w:p>
        </w:tc>
        <w:tc>
          <w:tcPr>
            <w:tcW w:w="115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废水量</w:t>
            </w:r>
          </w:p>
        </w:tc>
        <w:tc>
          <w:tcPr>
            <w:tcW w:w="108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1956.983</w:t>
            </w:r>
          </w:p>
        </w:tc>
        <w:tc>
          <w:tcPr>
            <w:tcW w:w="101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1538.1</w:t>
            </w:r>
          </w:p>
        </w:tc>
        <w:tc>
          <w:tcPr>
            <w:tcW w:w="100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w:t>
            </w:r>
          </w:p>
        </w:tc>
        <w:tc>
          <w:tcPr>
            <w:tcW w:w="107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1538.1</w:t>
            </w:r>
          </w:p>
        </w:tc>
        <w:tc>
          <w:tcPr>
            <w:tcW w:w="114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3495.083</w:t>
            </w:r>
          </w:p>
        </w:tc>
        <w:tc>
          <w:tcPr>
            <w:tcW w:w="1061" w:type="dxa"/>
            <w:vAlign w:val="center"/>
          </w:tcPr>
          <w:p>
            <w:pPr>
              <w:pStyle w:val="40"/>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+1538.1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1" w:hRule="exact"/>
        </w:trPr>
        <w:tc>
          <w:tcPr>
            <w:tcW w:w="480"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973"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15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CODCr</w:t>
            </w:r>
          </w:p>
        </w:tc>
        <w:tc>
          <w:tcPr>
            <w:tcW w:w="108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0.1174</w:t>
            </w:r>
          </w:p>
        </w:tc>
        <w:tc>
          <w:tcPr>
            <w:tcW w:w="101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0.61524</w:t>
            </w:r>
          </w:p>
        </w:tc>
        <w:tc>
          <w:tcPr>
            <w:tcW w:w="100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0.30762</w:t>
            </w:r>
          </w:p>
        </w:tc>
        <w:tc>
          <w:tcPr>
            <w:tcW w:w="107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0.30762</w:t>
            </w:r>
          </w:p>
        </w:tc>
        <w:tc>
          <w:tcPr>
            <w:tcW w:w="114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0.42502</w:t>
            </w:r>
          </w:p>
        </w:tc>
        <w:tc>
          <w:tcPr>
            <w:tcW w:w="1061" w:type="dxa"/>
            <w:vAlign w:val="center"/>
          </w:tcPr>
          <w:p>
            <w:pPr>
              <w:pStyle w:val="40"/>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+0.30762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1" w:hRule="exact"/>
        </w:trPr>
        <w:tc>
          <w:tcPr>
            <w:tcW w:w="480"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973"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15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108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0.0196</w:t>
            </w:r>
          </w:p>
        </w:tc>
        <w:tc>
          <w:tcPr>
            <w:tcW w:w="101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100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w:t>
            </w:r>
          </w:p>
        </w:tc>
        <w:tc>
          <w:tcPr>
            <w:tcW w:w="107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14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0.0196</w:t>
            </w:r>
          </w:p>
        </w:tc>
        <w:tc>
          <w:tcPr>
            <w:tcW w:w="1061" w:type="dxa"/>
            <w:vAlign w:val="center"/>
          </w:tcPr>
          <w:p>
            <w:pPr>
              <w:pStyle w:val="40"/>
              <w:keepNext w:val="0"/>
              <w:keepLines w:val="0"/>
              <w:suppressLineNumbers w:val="0"/>
              <w:bidi w:val="0"/>
              <w:spacing w:before="0" w:beforeAutospacing="0" w:after="0" w:afterAutospacing="0"/>
              <w:ind w:left="0" w:right="0"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76" w:hRule="exact"/>
        </w:trPr>
        <w:tc>
          <w:tcPr>
            <w:tcW w:w="480"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973"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15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氨氮</w:t>
            </w:r>
          </w:p>
        </w:tc>
        <w:tc>
          <w:tcPr>
            <w:tcW w:w="108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0.0157</w:t>
            </w:r>
          </w:p>
        </w:tc>
        <w:tc>
          <w:tcPr>
            <w:tcW w:w="101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100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w:t>
            </w:r>
          </w:p>
        </w:tc>
        <w:tc>
          <w:tcPr>
            <w:tcW w:w="107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14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0.0157</w:t>
            </w:r>
          </w:p>
        </w:tc>
        <w:tc>
          <w:tcPr>
            <w:tcW w:w="1061" w:type="dxa"/>
            <w:vAlign w:val="center"/>
          </w:tcPr>
          <w:p>
            <w:pPr>
              <w:pStyle w:val="40"/>
              <w:keepNext w:val="0"/>
              <w:keepLines w:val="0"/>
              <w:suppressLineNumbers w:val="0"/>
              <w:bidi w:val="0"/>
              <w:spacing w:before="0" w:beforeAutospacing="0" w:after="0" w:afterAutospacing="0"/>
              <w:ind w:left="0" w:right="0"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76" w:hRule="exact"/>
        </w:trPr>
        <w:tc>
          <w:tcPr>
            <w:tcW w:w="480"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973"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15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108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0.0979</w:t>
            </w:r>
          </w:p>
        </w:tc>
        <w:tc>
          <w:tcPr>
            <w:tcW w:w="101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0.76905</w:t>
            </w:r>
          </w:p>
        </w:tc>
        <w:tc>
          <w:tcPr>
            <w:tcW w:w="100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0.61524</w:t>
            </w:r>
          </w:p>
        </w:tc>
        <w:tc>
          <w:tcPr>
            <w:tcW w:w="107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0.15381</w:t>
            </w:r>
          </w:p>
        </w:tc>
        <w:tc>
          <w:tcPr>
            <w:tcW w:w="114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0.25171</w:t>
            </w:r>
          </w:p>
        </w:tc>
        <w:tc>
          <w:tcPr>
            <w:tcW w:w="1061" w:type="dxa"/>
            <w:vAlign w:val="center"/>
          </w:tcPr>
          <w:p>
            <w:pPr>
              <w:pStyle w:val="40"/>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+0.15381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exact"/>
        </w:trPr>
        <w:tc>
          <w:tcPr>
            <w:tcW w:w="480"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973"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15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石油类</w:t>
            </w:r>
          </w:p>
        </w:tc>
        <w:tc>
          <w:tcPr>
            <w:tcW w:w="108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0.0054</w:t>
            </w:r>
          </w:p>
        </w:tc>
        <w:tc>
          <w:tcPr>
            <w:tcW w:w="101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0.00076</w:t>
            </w:r>
          </w:p>
        </w:tc>
        <w:tc>
          <w:tcPr>
            <w:tcW w:w="100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0.00046</w:t>
            </w:r>
          </w:p>
        </w:tc>
        <w:tc>
          <w:tcPr>
            <w:tcW w:w="107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0.00030</w:t>
            </w:r>
          </w:p>
        </w:tc>
        <w:tc>
          <w:tcPr>
            <w:tcW w:w="114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0.00570</w:t>
            </w:r>
          </w:p>
        </w:tc>
        <w:tc>
          <w:tcPr>
            <w:tcW w:w="1061" w:type="dxa"/>
            <w:vAlign w:val="center"/>
          </w:tcPr>
          <w:p>
            <w:pPr>
              <w:pStyle w:val="40"/>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+0.000307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91" w:hRule="exact"/>
        </w:trPr>
        <w:tc>
          <w:tcPr>
            <w:tcW w:w="480"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973"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15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挥发酚</w:t>
            </w:r>
          </w:p>
        </w:tc>
        <w:tc>
          <w:tcPr>
            <w:tcW w:w="108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0.0005</w:t>
            </w:r>
          </w:p>
        </w:tc>
        <w:tc>
          <w:tcPr>
            <w:tcW w:w="101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100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w:t>
            </w:r>
          </w:p>
        </w:tc>
        <w:tc>
          <w:tcPr>
            <w:tcW w:w="107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14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0.0005</w:t>
            </w:r>
          </w:p>
        </w:tc>
        <w:tc>
          <w:tcPr>
            <w:tcW w:w="1061" w:type="dxa"/>
            <w:vAlign w:val="center"/>
          </w:tcPr>
          <w:p>
            <w:pPr>
              <w:pStyle w:val="40"/>
              <w:keepNext w:val="0"/>
              <w:keepLines w:val="0"/>
              <w:suppressLineNumbers w:val="0"/>
              <w:bidi w:val="0"/>
              <w:spacing w:before="0" w:beforeAutospacing="0" w:after="0" w:afterAutospacing="0"/>
              <w:ind w:left="0" w:right="0"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36" w:hRule="exact"/>
        </w:trPr>
        <w:tc>
          <w:tcPr>
            <w:tcW w:w="480"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973"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15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镍</w:t>
            </w:r>
          </w:p>
        </w:tc>
        <w:tc>
          <w:tcPr>
            <w:tcW w:w="108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1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0.007690</w:t>
            </w:r>
          </w:p>
        </w:tc>
        <w:tc>
          <w:tcPr>
            <w:tcW w:w="100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0.006152</w:t>
            </w:r>
          </w:p>
        </w:tc>
        <w:tc>
          <w:tcPr>
            <w:tcW w:w="107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0.001538</w:t>
            </w:r>
          </w:p>
        </w:tc>
        <w:tc>
          <w:tcPr>
            <w:tcW w:w="114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0.001538</w:t>
            </w:r>
          </w:p>
        </w:tc>
        <w:tc>
          <w:tcPr>
            <w:tcW w:w="1061" w:type="dxa"/>
            <w:vAlign w:val="center"/>
          </w:tcPr>
          <w:p>
            <w:pPr>
              <w:pStyle w:val="40"/>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+0.001538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46" w:hRule="exact"/>
        </w:trPr>
        <w:tc>
          <w:tcPr>
            <w:tcW w:w="4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2130"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设备噪声</w:t>
            </w:r>
          </w:p>
        </w:tc>
        <w:tc>
          <w:tcPr>
            <w:tcW w:w="6388" w:type="dxa"/>
            <w:gridSpan w:val="6"/>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源强为80-85dB（A）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1" w:hRule="exact"/>
        </w:trPr>
        <w:tc>
          <w:tcPr>
            <w:tcW w:w="480"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97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一般工业固废</w:t>
            </w:r>
          </w:p>
        </w:tc>
        <w:tc>
          <w:tcPr>
            <w:tcW w:w="115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废包装桶、包装袋</w:t>
            </w:r>
          </w:p>
        </w:tc>
        <w:tc>
          <w:tcPr>
            <w:tcW w:w="108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101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00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7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14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w:t>
            </w:r>
          </w:p>
        </w:tc>
        <w:tc>
          <w:tcPr>
            <w:tcW w:w="106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zh-CN"/>
              </w:rPr>
              <w:t>+</w:t>
            </w:r>
            <w:r>
              <w:rPr>
                <w:rFonts w:hint="default" w:ascii="Times New Roman" w:hAnsi="Times New Roman" w:cs="Times New Roman"/>
                <w:color w:val="auto"/>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6" w:hRule="exact"/>
        </w:trPr>
        <w:tc>
          <w:tcPr>
            <w:tcW w:w="480"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97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员工生活</w:t>
            </w:r>
          </w:p>
        </w:tc>
        <w:tc>
          <w:tcPr>
            <w:tcW w:w="115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108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3.06</w:t>
            </w:r>
          </w:p>
        </w:tc>
        <w:tc>
          <w:tcPr>
            <w:tcW w:w="101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0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7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14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3．06</w:t>
            </w:r>
          </w:p>
        </w:tc>
        <w:tc>
          <w:tcPr>
            <w:tcW w:w="106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11" w:hRule="exact"/>
        </w:trPr>
        <w:tc>
          <w:tcPr>
            <w:tcW w:w="480"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973"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w:t>
            </w:r>
          </w:p>
        </w:tc>
        <w:tc>
          <w:tcPr>
            <w:tcW w:w="115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废有机溶剂</w:t>
            </w:r>
          </w:p>
        </w:tc>
        <w:tc>
          <w:tcPr>
            <w:tcW w:w="108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31.714</w:t>
            </w:r>
          </w:p>
        </w:tc>
        <w:tc>
          <w:tcPr>
            <w:tcW w:w="101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29.56</w:t>
            </w:r>
          </w:p>
        </w:tc>
        <w:tc>
          <w:tcPr>
            <w:tcW w:w="100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7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29.56</w:t>
            </w:r>
          </w:p>
        </w:tc>
        <w:tc>
          <w:tcPr>
            <w:tcW w:w="114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61.274</w:t>
            </w:r>
          </w:p>
        </w:tc>
        <w:tc>
          <w:tcPr>
            <w:tcW w:w="106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+29.56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6" w:hRule="exact"/>
        </w:trPr>
        <w:tc>
          <w:tcPr>
            <w:tcW w:w="480"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973"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15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沾染原材料的空桶</w:t>
            </w:r>
          </w:p>
        </w:tc>
        <w:tc>
          <w:tcPr>
            <w:tcW w:w="108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1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100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7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114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106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zh-CN"/>
              </w:rPr>
              <w:t>+</w:t>
            </w:r>
            <w:r>
              <w:rPr>
                <w:rFonts w:hint="default" w:ascii="Times New Roman" w:hAnsi="Times New Roman" w:cs="Times New Roman"/>
                <w:color w:val="auto"/>
                <w:sz w:val="21"/>
                <w:szCs w:val="21"/>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6" w:hRule="exact"/>
        </w:trPr>
        <w:tc>
          <w:tcPr>
            <w:tcW w:w="480"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2130"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108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01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00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07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14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06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zh-CN"/>
              </w:rPr>
              <w:t>+</w:t>
            </w:r>
            <w:r>
              <w:rPr>
                <w:rFonts w:hint="default" w:ascii="Times New Roman" w:hAnsi="Times New Roman" w:cs="Times New Roman"/>
                <w:color w:val="auto"/>
                <w:sz w:val="21"/>
                <w:szCs w:val="21"/>
                <w:lang w:val="en-US" w:eastAsia="zh-CN"/>
              </w:rPr>
              <w:t>42.56</w:t>
            </w:r>
          </w:p>
        </w:tc>
      </w:tr>
    </w:tbl>
    <w:p>
      <w:pPr>
        <w:pStyle w:val="39"/>
        <w:bidi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**--为大气污染物VOCs的车间排放量，进入</w:t>
      </w:r>
      <w:r>
        <w:rPr>
          <w:rFonts w:hint="default" w:ascii="Times New Roman" w:hAnsi="Times New Roman" w:cs="Times New Roman"/>
          <w:color w:val="auto"/>
          <w:sz w:val="21"/>
          <w:szCs w:val="21"/>
          <w:lang w:eastAsia="zh-CN"/>
        </w:rPr>
        <w:t>巴陵石化公司</w:t>
      </w:r>
      <w:r>
        <w:rPr>
          <w:rFonts w:hint="default" w:ascii="Times New Roman" w:hAnsi="Times New Roman" w:cs="Times New Roman"/>
          <w:color w:val="auto"/>
          <w:sz w:val="21"/>
          <w:szCs w:val="21"/>
        </w:rPr>
        <w:t>火炬台进行燃烧处理</w:t>
      </w:r>
      <w:r>
        <w:rPr>
          <w:rFonts w:hint="default" w:ascii="Times New Roman" w:hAnsi="Times New Roman" w:cs="Times New Roman"/>
          <w:color w:val="auto"/>
          <w:sz w:val="21"/>
          <w:szCs w:val="21"/>
          <w:lang w:eastAsia="zh-CN"/>
        </w:rPr>
        <w:t>。并非排入大气的污染物量。</w:t>
      </w:r>
    </w:p>
    <w:p>
      <w:pPr>
        <w:pStyle w:val="39"/>
        <w:bidi w:val="0"/>
        <w:rPr>
          <w:rFonts w:hint="default" w:ascii="Times New Roman" w:hAnsi="Times New Roman" w:cs="Times New Roman"/>
          <w:color w:val="auto"/>
          <w:sz w:val="21"/>
          <w:szCs w:val="21"/>
          <w:lang w:eastAsia="zh-CN"/>
        </w:rPr>
      </w:pPr>
    </w:p>
    <w:p>
      <w:pPr>
        <w:pStyle w:val="39"/>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p>
    <w:p>
      <w:pPr>
        <w:pStyle w:val="39"/>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w:t>
      </w:r>
      <w:r>
        <w:rPr>
          <w:rFonts w:hint="default" w:ascii="Times New Roman" w:hAnsi="Times New Roman" w:cs="Times New Roman"/>
          <w:b/>
          <w:bCs/>
          <w:color w:val="auto"/>
          <w:kern w:val="2"/>
          <w:sz w:val="21"/>
          <w:szCs w:val="21"/>
          <w:highlight w:val="none"/>
          <w:lang w:val="en-US" w:eastAsia="zh-CN" w:bidi="ar-SA"/>
        </w:rPr>
        <w:t>4-9</w:t>
      </w:r>
      <w:r>
        <w:rPr>
          <w:rFonts w:hint="default" w:ascii="Times New Roman" w:hAnsi="Times New Roman" w:eastAsia="宋体" w:cs="Times New Roman"/>
          <w:b/>
          <w:bCs/>
          <w:color w:val="auto"/>
          <w:kern w:val="2"/>
          <w:sz w:val="21"/>
          <w:szCs w:val="21"/>
          <w:highlight w:val="none"/>
          <w:lang w:val="en-US" w:eastAsia="zh-CN" w:bidi="ar-SA"/>
        </w:rPr>
        <w:t xml:space="preserve">  本项目</w:t>
      </w:r>
      <w:r>
        <w:rPr>
          <w:rFonts w:hint="default" w:ascii="Times New Roman" w:hAnsi="Times New Roman" w:cs="Times New Roman"/>
          <w:b/>
          <w:bCs/>
          <w:color w:val="auto"/>
          <w:kern w:val="2"/>
          <w:sz w:val="21"/>
          <w:szCs w:val="21"/>
          <w:highlight w:val="none"/>
          <w:lang w:val="en-US" w:eastAsia="zh-CN" w:bidi="ar-SA"/>
        </w:rPr>
        <w:t>建设</w:t>
      </w:r>
      <w:r>
        <w:rPr>
          <w:rFonts w:hint="default" w:ascii="Times New Roman" w:hAnsi="Times New Roman" w:eastAsia="宋体" w:cs="Times New Roman"/>
          <w:b/>
          <w:bCs/>
          <w:color w:val="auto"/>
          <w:kern w:val="2"/>
          <w:sz w:val="21"/>
          <w:szCs w:val="21"/>
          <w:highlight w:val="none"/>
          <w:lang w:val="en-US" w:eastAsia="zh-CN" w:bidi="ar-SA"/>
        </w:rPr>
        <w:t>前后</w:t>
      </w:r>
      <w:r>
        <w:rPr>
          <w:rFonts w:hint="default" w:ascii="Times New Roman" w:hAnsi="Times New Roman" w:cs="Times New Roman"/>
          <w:b/>
          <w:bCs/>
          <w:color w:val="auto"/>
          <w:kern w:val="2"/>
          <w:sz w:val="21"/>
          <w:szCs w:val="21"/>
          <w:highlight w:val="none"/>
          <w:lang w:val="en-US" w:eastAsia="zh-CN" w:bidi="ar-SA"/>
        </w:rPr>
        <w:t>大气</w:t>
      </w:r>
      <w:r>
        <w:rPr>
          <w:rFonts w:hint="default" w:ascii="Times New Roman" w:hAnsi="Times New Roman" w:eastAsia="宋体" w:cs="Times New Roman"/>
          <w:b/>
          <w:bCs/>
          <w:color w:val="auto"/>
          <w:kern w:val="2"/>
          <w:sz w:val="21"/>
          <w:szCs w:val="21"/>
          <w:highlight w:val="none"/>
          <w:lang w:val="en-US" w:eastAsia="zh-CN" w:bidi="ar-SA"/>
        </w:rPr>
        <w:t>污</w:t>
      </w:r>
      <w:r>
        <w:rPr>
          <w:rFonts w:hint="default" w:ascii="Times New Roman" w:hAnsi="Times New Roman" w:cs="Times New Roman"/>
          <w:b/>
          <w:bCs/>
          <w:color w:val="auto"/>
          <w:kern w:val="2"/>
          <w:sz w:val="21"/>
          <w:szCs w:val="21"/>
          <w:highlight w:val="none"/>
          <w:lang w:val="en-US" w:eastAsia="zh-CN" w:bidi="ar-SA"/>
        </w:rPr>
        <w:t>染物VOCs产生和排放</w:t>
      </w:r>
      <w:r>
        <w:rPr>
          <w:rFonts w:hint="default" w:ascii="Times New Roman" w:hAnsi="Times New Roman" w:eastAsia="宋体" w:cs="Times New Roman"/>
          <w:b/>
          <w:bCs/>
          <w:color w:val="auto"/>
          <w:kern w:val="2"/>
          <w:sz w:val="21"/>
          <w:szCs w:val="21"/>
          <w:highlight w:val="none"/>
          <w:lang w:val="en-US" w:eastAsia="zh-CN" w:bidi="ar-SA"/>
        </w:rPr>
        <w:t>情况</w:t>
      </w:r>
      <w:r>
        <w:rPr>
          <w:rFonts w:hint="default" w:ascii="Times New Roman" w:hAnsi="Times New Roman" w:cs="Times New Roman"/>
          <w:b/>
          <w:bCs/>
          <w:color w:val="auto"/>
          <w:kern w:val="2"/>
          <w:sz w:val="21"/>
          <w:szCs w:val="21"/>
          <w:highlight w:val="none"/>
          <w:lang w:val="en-US" w:eastAsia="zh-CN" w:bidi="ar-SA"/>
        </w:rPr>
        <w:t>表</w:t>
      </w:r>
    </w:p>
    <w:tbl>
      <w:tblPr>
        <w:tblStyle w:val="24"/>
        <w:tblpPr w:leftFromText="180" w:rightFromText="180" w:vertAnchor="text" w:horzAnchor="page" w:tblpX="1608" w:tblpY="113"/>
        <w:tblOverlap w:val="never"/>
        <w:tblW w:w="906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9"/>
        <w:gridCol w:w="870"/>
        <w:gridCol w:w="1065"/>
        <w:gridCol w:w="990"/>
        <w:gridCol w:w="915"/>
        <w:gridCol w:w="975"/>
        <w:gridCol w:w="1170"/>
        <w:gridCol w:w="1125"/>
        <w:gridCol w:w="10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3" w:hRule="atLeast"/>
          <w:tblHeader/>
        </w:trPr>
        <w:tc>
          <w:tcPr>
            <w:tcW w:w="87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87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106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项目</w:t>
            </w:r>
          </w:p>
        </w:tc>
        <w:tc>
          <w:tcPr>
            <w:tcW w:w="99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污染物</w:t>
            </w:r>
            <w:r>
              <w:rPr>
                <w:rFonts w:hint="default" w:ascii="Times New Roman" w:hAnsi="Times New Roman" w:cs="Times New Roman"/>
                <w:color w:val="auto"/>
                <w:sz w:val="21"/>
                <w:szCs w:val="21"/>
              </w:rPr>
              <w:t>产生量</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(t</w:t>
            </w: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lang w:val="en-US" w:eastAsia="zh-CN"/>
              </w:rPr>
              <w:t>)</w:t>
            </w:r>
          </w:p>
        </w:tc>
        <w:tc>
          <w:tcPr>
            <w:tcW w:w="91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污染物去除率</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w:t>
            </w:r>
          </w:p>
        </w:tc>
        <w:tc>
          <w:tcPr>
            <w:tcW w:w="97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废气风</w:t>
            </w:r>
            <w:r>
              <w:rPr>
                <w:rFonts w:hint="default" w:ascii="Times New Roman" w:hAnsi="Times New Roman" w:cs="Times New Roman"/>
                <w:color w:val="auto"/>
                <w:sz w:val="21"/>
                <w:szCs w:val="21"/>
              </w:rPr>
              <w:t>量</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lang w:val="en-US" w:eastAsia="zh-CN"/>
              </w:rPr>
              <w:t>)</w:t>
            </w:r>
          </w:p>
        </w:tc>
        <w:tc>
          <w:tcPr>
            <w:tcW w:w="117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污染物</w:t>
            </w:r>
            <w:r>
              <w:rPr>
                <w:rFonts w:hint="default" w:ascii="Times New Roman" w:hAnsi="Times New Roman" w:cs="Times New Roman"/>
                <w:color w:val="auto"/>
                <w:sz w:val="21"/>
                <w:szCs w:val="21"/>
              </w:rPr>
              <w:t>排放量</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(kg</w:t>
            </w: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lang w:val="en-US" w:eastAsia="zh-CN"/>
              </w:rPr>
              <w:t>)</w:t>
            </w:r>
          </w:p>
        </w:tc>
        <w:tc>
          <w:tcPr>
            <w:tcW w:w="112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污染物</w:t>
            </w:r>
            <w:r>
              <w:rPr>
                <w:rFonts w:hint="default" w:ascii="Times New Roman" w:hAnsi="Times New Roman" w:cs="Times New Roman"/>
                <w:color w:val="auto"/>
                <w:sz w:val="21"/>
                <w:szCs w:val="21"/>
              </w:rPr>
              <w:t>排放速率</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g/h</w:t>
            </w:r>
            <w:r>
              <w:rPr>
                <w:rFonts w:hint="default" w:ascii="Times New Roman" w:hAnsi="Times New Roman" w:cs="Times New Roman"/>
                <w:color w:val="auto"/>
                <w:sz w:val="21"/>
                <w:szCs w:val="21"/>
                <w:lang w:val="en-US" w:eastAsia="zh-CN"/>
              </w:rPr>
              <w:t>)</w:t>
            </w:r>
          </w:p>
        </w:tc>
        <w:tc>
          <w:tcPr>
            <w:tcW w:w="1074"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排放浓度</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879" w:type="dxa"/>
            <w:vMerge w:val="restart"/>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有组织废气</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（巴陵石化火炬台）</w:t>
            </w:r>
          </w:p>
        </w:tc>
        <w:tc>
          <w:tcPr>
            <w:tcW w:w="870" w:type="dxa"/>
            <w:vMerge w:val="restart"/>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VOCs</w:t>
            </w:r>
          </w:p>
        </w:tc>
        <w:tc>
          <w:tcPr>
            <w:tcW w:w="106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一期项目</w:t>
            </w:r>
          </w:p>
        </w:tc>
        <w:tc>
          <w:tcPr>
            <w:tcW w:w="99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u w:val="none"/>
                <w:lang w:val="en-US" w:eastAsia="zh-CN"/>
              </w:rPr>
              <w:t>59.252</w:t>
            </w:r>
          </w:p>
        </w:tc>
        <w:tc>
          <w:tcPr>
            <w:tcW w:w="91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99</w:t>
            </w:r>
          </w:p>
        </w:tc>
        <w:tc>
          <w:tcPr>
            <w:tcW w:w="97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48000</w:t>
            </w:r>
          </w:p>
        </w:tc>
        <w:tc>
          <w:tcPr>
            <w:tcW w:w="117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1178.6</w:t>
            </w:r>
          </w:p>
        </w:tc>
        <w:tc>
          <w:tcPr>
            <w:tcW w:w="112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163.7</w:t>
            </w:r>
          </w:p>
        </w:tc>
        <w:tc>
          <w:tcPr>
            <w:tcW w:w="1074"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879"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cs="Times New Roman"/>
                <w:color w:val="auto"/>
              </w:rPr>
            </w:pPr>
          </w:p>
        </w:tc>
        <w:tc>
          <w:tcPr>
            <w:tcW w:w="870"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cs="Times New Roman"/>
                <w:color w:val="auto"/>
              </w:rPr>
            </w:pPr>
          </w:p>
        </w:tc>
        <w:tc>
          <w:tcPr>
            <w:tcW w:w="106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催化剂</w:t>
            </w:r>
          </w:p>
        </w:tc>
        <w:tc>
          <w:tcPr>
            <w:tcW w:w="99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0.0368</w:t>
            </w:r>
          </w:p>
        </w:tc>
        <w:tc>
          <w:tcPr>
            <w:tcW w:w="91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97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5000</w:t>
            </w:r>
          </w:p>
        </w:tc>
        <w:tc>
          <w:tcPr>
            <w:tcW w:w="117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36.8</w:t>
            </w:r>
          </w:p>
        </w:tc>
        <w:tc>
          <w:tcPr>
            <w:tcW w:w="112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5.11</w:t>
            </w:r>
          </w:p>
        </w:tc>
        <w:tc>
          <w:tcPr>
            <w:tcW w:w="1074"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879"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p>
        </w:tc>
        <w:tc>
          <w:tcPr>
            <w:tcW w:w="870" w:type="dxa"/>
            <w:vMerge w:val="continue"/>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p>
        </w:tc>
        <w:tc>
          <w:tcPr>
            <w:tcW w:w="106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两期项目合计</w:t>
            </w:r>
          </w:p>
        </w:tc>
        <w:tc>
          <w:tcPr>
            <w:tcW w:w="99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59.2888</w:t>
            </w:r>
          </w:p>
        </w:tc>
        <w:tc>
          <w:tcPr>
            <w:tcW w:w="91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p>
        </w:tc>
        <w:tc>
          <w:tcPr>
            <w:tcW w:w="97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p>
        </w:tc>
        <w:tc>
          <w:tcPr>
            <w:tcW w:w="117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1215.4</w:t>
            </w:r>
          </w:p>
        </w:tc>
        <w:tc>
          <w:tcPr>
            <w:tcW w:w="112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p>
        </w:tc>
        <w:tc>
          <w:tcPr>
            <w:tcW w:w="1074"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p>
        </w:tc>
      </w:tr>
    </w:tbl>
    <w:p>
      <w:pPr>
        <w:pStyle w:val="4"/>
        <w:keepNext w:val="0"/>
        <w:keepLines w:val="0"/>
        <w:pageBreakBefore w:val="0"/>
        <w:widowControl w:val="0"/>
        <w:numPr>
          <w:ilvl w:val="1"/>
          <w:numId w:val="0"/>
        </w:numPr>
        <w:kinsoku/>
        <w:wordWrap/>
        <w:overflowPunct/>
        <w:topLinePunct w:val="0"/>
        <w:autoSpaceDE/>
        <w:autoSpaceDN/>
        <w:bidi w:val="0"/>
        <w:adjustRightInd w:val="0"/>
        <w:snapToGrid w:val="0"/>
        <w:spacing w:beforeLines="0" w:afterLines="0" w:line="360" w:lineRule="auto"/>
        <w:ind w:leftChars="0"/>
        <w:textAlignment w:val="auto"/>
        <w:rPr>
          <w:rFonts w:hint="default" w:ascii="Times New Roman" w:hAnsi="Times New Roman" w:cs="Times New Roman"/>
          <w:color w:val="auto"/>
          <w:highlight w:val="none"/>
        </w:rPr>
      </w:pPr>
      <w:bookmarkStart w:id="340" w:name="_Toc24012"/>
    </w:p>
    <w:p>
      <w:pPr>
        <w:pStyle w:val="4"/>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sz w:val="21"/>
          <w:szCs w:val="21"/>
          <w:lang w:val="en-US" w:eastAsia="zh-CN"/>
        </w:rPr>
        <w:t xml:space="preserve"> </w:t>
      </w:r>
      <w:bookmarkStart w:id="341" w:name="_Toc24130"/>
      <w:r>
        <w:rPr>
          <w:rFonts w:hint="default" w:ascii="Times New Roman" w:hAnsi="Times New Roman" w:cs="Times New Roman"/>
          <w:color w:val="auto"/>
          <w:highlight w:val="none"/>
        </w:rPr>
        <w:t>总量控制</w:t>
      </w:r>
      <w:bookmarkEnd w:id="340"/>
      <w:bookmarkEnd w:id="341"/>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lang w:val="zh-CN"/>
        </w:rPr>
      </w:pPr>
      <w:r>
        <w:rPr>
          <w:rFonts w:hint="default" w:ascii="Times New Roman" w:hAnsi="Times New Roman" w:cs="Times New Roman"/>
          <w:color w:val="auto"/>
        </w:rPr>
        <w:t>岳阳鑫达实业有限公司为巴陵公司改制的企业，</w:t>
      </w:r>
      <w:r>
        <w:rPr>
          <w:rFonts w:hint="default" w:ascii="Times New Roman" w:hAnsi="Times New Roman" w:cs="Times New Roman"/>
          <w:color w:val="auto"/>
          <w:lang w:eastAsia="zh-CN"/>
        </w:rPr>
        <w:t>巴陵石化公司</w:t>
      </w:r>
      <w:r>
        <w:rPr>
          <w:rFonts w:hint="default" w:ascii="Times New Roman" w:hAnsi="Times New Roman" w:cs="Times New Roman"/>
          <w:color w:val="auto"/>
        </w:rPr>
        <w:t>内部已有总量进行调剂，</w:t>
      </w:r>
      <w:r>
        <w:rPr>
          <w:rFonts w:hint="default" w:ascii="Times New Roman" w:hAnsi="Times New Roman" w:cs="Times New Roman"/>
          <w:color w:val="auto"/>
          <w:lang w:val="en-US" w:eastAsia="zh-CN"/>
        </w:rPr>
        <w:t>2015年岳阳市排污权管理中心通过巴陵石化公司初始分配，获得COD排污权0.3吨，详见附件。</w:t>
      </w:r>
      <w:r>
        <w:rPr>
          <w:rFonts w:hint="default" w:ascii="Times New Roman" w:hAnsi="Times New Roman" w:cs="Times New Roman"/>
          <w:color w:val="auto"/>
        </w:rPr>
        <w:t>根据岳阳市环境保护局对现有工程环境影响报告书批复，</w:t>
      </w:r>
      <w:r>
        <w:rPr>
          <w:rFonts w:hint="default" w:ascii="Times New Roman" w:hAnsi="Times New Roman" w:cs="Times New Roman"/>
          <w:color w:val="auto"/>
          <w:lang w:val="zh-CN"/>
        </w:rPr>
        <w:t>公司核定</w:t>
      </w:r>
      <w:r>
        <w:rPr>
          <w:rFonts w:hint="default" w:ascii="Times New Roman" w:hAnsi="Times New Roman" w:cs="Times New Roman"/>
          <w:color w:val="auto"/>
        </w:rPr>
        <w:t>总量如下：COD 0.</w:t>
      </w:r>
      <w:r>
        <w:rPr>
          <w:rFonts w:hint="default" w:ascii="Times New Roman" w:hAnsi="Times New Roman" w:cs="Times New Roman"/>
          <w:color w:val="auto"/>
          <w:lang w:val="en-US" w:eastAsia="zh-CN"/>
        </w:rPr>
        <w:t>3</w:t>
      </w:r>
      <w:r>
        <w:rPr>
          <w:rFonts w:hint="default" w:ascii="Times New Roman" w:hAnsi="Times New Roman" w:cs="Times New Roman"/>
          <w:color w:val="auto"/>
        </w:rPr>
        <w:t>t/a、NH3-N 0.1t/a</w:t>
      </w:r>
      <w:r>
        <w:rPr>
          <w:rFonts w:hint="default" w:ascii="Times New Roman" w:hAnsi="Times New Roman" w:cs="Times New Roman"/>
          <w:color w:val="auto"/>
          <w:lang w:val="zh-CN"/>
        </w:rPr>
        <w:t>。</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zh-CN"/>
        </w:rPr>
        <w:t>催化剂建设项目实施后，新增</w:t>
      </w:r>
      <w:r>
        <w:rPr>
          <w:rFonts w:hint="default" w:ascii="Times New Roman" w:hAnsi="Times New Roman" w:cs="Times New Roman"/>
          <w:color w:val="auto"/>
          <w:lang w:val="en-US" w:eastAsia="zh-CN"/>
        </w:rPr>
        <w:t>COD</w:t>
      </w:r>
      <w:r>
        <w:rPr>
          <w:rFonts w:hint="default" w:ascii="Times New Roman" w:hAnsi="Times New Roman" w:cs="Times New Roman"/>
          <w:color w:val="auto"/>
          <w:lang w:val="zh-CN"/>
        </w:rPr>
        <w:t>排污总量</w:t>
      </w:r>
      <w:r>
        <w:rPr>
          <w:rFonts w:hint="default" w:ascii="Times New Roman" w:hAnsi="Times New Roman" w:cs="Times New Roman"/>
          <w:color w:val="auto"/>
          <w:lang w:val="en-US" w:eastAsia="zh-CN"/>
        </w:rPr>
        <w:t xml:space="preserve">0.30762 </w:t>
      </w:r>
      <w:r>
        <w:rPr>
          <w:rFonts w:hint="default" w:ascii="Times New Roman" w:hAnsi="Times New Roman" w:cs="Times New Roman"/>
          <w:color w:val="auto"/>
          <w:highlight w:val="none"/>
        </w:rPr>
        <w:t>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建议申请新增排放总量指标0.</w:t>
      </w:r>
      <w:r>
        <w:rPr>
          <w:rFonts w:hint="default" w:ascii="Times New Roman" w:hAnsi="Times New Roman" w:cs="Times New Roman"/>
          <w:color w:val="auto"/>
          <w:highlight w:val="none"/>
          <w:lang w:val="en-US" w:eastAsia="zh-CN"/>
        </w:rPr>
        <w:t xml:space="preserve">3 </w:t>
      </w:r>
      <w:r>
        <w:rPr>
          <w:rFonts w:hint="default" w:ascii="Times New Roman" w:hAnsi="Times New Roman" w:cs="Times New Roman"/>
          <w:color w:val="auto"/>
          <w:highlight w:val="none"/>
        </w:rPr>
        <w:t>t/a</w:t>
      </w:r>
      <w:r>
        <w:rPr>
          <w:rFonts w:hint="default" w:ascii="Times New Roman" w:hAnsi="Times New Roman" w:cs="Times New Roman"/>
          <w:color w:val="auto"/>
          <w:highlight w:val="none"/>
          <w:lang w:eastAsia="zh-CN"/>
        </w:rPr>
        <w:t>。</w:t>
      </w:r>
    </w:p>
    <w:p>
      <w:pPr>
        <w:pStyle w:val="3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w:t>
      </w:r>
      <w:r>
        <w:rPr>
          <w:rFonts w:hint="default" w:ascii="Times New Roman" w:hAnsi="Times New Roman" w:cs="Times New Roman"/>
          <w:b/>
          <w:bCs/>
          <w:color w:val="auto"/>
          <w:kern w:val="2"/>
          <w:sz w:val="21"/>
          <w:szCs w:val="21"/>
          <w:highlight w:val="none"/>
          <w:lang w:val="en-US" w:eastAsia="zh-CN" w:bidi="ar-SA"/>
        </w:rPr>
        <w:t>4-9</w:t>
      </w:r>
      <w:r>
        <w:rPr>
          <w:rFonts w:hint="default" w:ascii="Times New Roman" w:hAnsi="Times New Roman" w:eastAsia="宋体" w:cs="Times New Roman"/>
          <w:b/>
          <w:bCs/>
          <w:color w:val="auto"/>
          <w:kern w:val="2"/>
          <w:sz w:val="21"/>
          <w:szCs w:val="21"/>
          <w:highlight w:val="none"/>
          <w:lang w:val="en-US" w:eastAsia="zh-CN" w:bidi="ar-SA"/>
        </w:rPr>
        <w:t xml:space="preserve">  本项目污染物排放总量控制指标</w:t>
      </w:r>
      <w:r>
        <w:rPr>
          <w:rFonts w:hint="default" w:ascii="Times New Roman" w:hAnsi="Times New Roman" w:cs="Times New Roman"/>
          <w:b/>
          <w:bCs/>
          <w:color w:val="auto"/>
          <w:kern w:val="2"/>
          <w:sz w:val="21"/>
          <w:szCs w:val="21"/>
          <w:highlight w:val="none"/>
          <w:lang w:val="en-US" w:eastAsia="zh-CN" w:bidi="ar-SA"/>
        </w:rPr>
        <w:t>，</w:t>
      </w:r>
      <w:r>
        <w:rPr>
          <w:rFonts w:hint="default" w:ascii="Times New Roman" w:hAnsi="Times New Roman" w:cs="Times New Roman"/>
          <w:color w:val="auto"/>
          <w:highlight w:val="none"/>
        </w:rPr>
        <w:t>t/a</w:t>
      </w:r>
    </w:p>
    <w:tbl>
      <w:tblPr>
        <w:tblStyle w:val="24"/>
        <w:tblW w:w="90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630"/>
        <w:gridCol w:w="1629"/>
        <w:gridCol w:w="1629"/>
        <w:gridCol w:w="1629"/>
        <w:gridCol w:w="16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93" w:hRule="exact"/>
          <w:jc w:val="center"/>
        </w:trPr>
        <w:tc>
          <w:tcPr>
            <w:tcW w:w="2487"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w:t>
            </w:r>
          </w:p>
        </w:tc>
        <w:tc>
          <w:tcPr>
            <w:tcW w:w="162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现有工程排放总量</w:t>
            </w:r>
          </w:p>
        </w:tc>
        <w:tc>
          <w:tcPr>
            <w:tcW w:w="162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工程后全厂排放总量</w:t>
            </w:r>
          </w:p>
        </w:tc>
        <w:tc>
          <w:tcPr>
            <w:tcW w:w="162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建设单位已有总量指标</w:t>
            </w:r>
          </w:p>
        </w:tc>
        <w:tc>
          <w:tcPr>
            <w:tcW w:w="162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建议申请新增排放总量指标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3" w:hRule="exact"/>
          <w:jc w:val="center"/>
        </w:trPr>
        <w:tc>
          <w:tcPr>
            <w:tcW w:w="857"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废水</w:t>
            </w:r>
          </w:p>
        </w:tc>
        <w:tc>
          <w:tcPr>
            <w:tcW w:w="163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COD</w:t>
            </w:r>
          </w:p>
        </w:tc>
        <w:tc>
          <w:tcPr>
            <w:tcW w:w="162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0.1174 </w:t>
            </w:r>
          </w:p>
        </w:tc>
        <w:tc>
          <w:tcPr>
            <w:tcW w:w="162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0.42502</w:t>
            </w:r>
          </w:p>
        </w:tc>
        <w:tc>
          <w:tcPr>
            <w:tcW w:w="162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0.</w:t>
            </w:r>
            <w:r>
              <w:rPr>
                <w:rFonts w:hint="default" w:ascii="Times New Roman" w:hAnsi="Times New Roman" w:cs="Times New Roman"/>
                <w:color w:val="auto"/>
                <w:highlight w:val="none"/>
                <w:lang w:val="en-US" w:eastAsia="zh-CN"/>
              </w:rPr>
              <w:t>3</w:t>
            </w:r>
          </w:p>
        </w:tc>
        <w:tc>
          <w:tcPr>
            <w:tcW w:w="162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r>
              <w:rPr>
                <w:rFonts w:hint="default" w:ascii="Times New Roman" w:hAnsi="Times New Roman" w:cs="Times New Roman"/>
                <w:color w:val="auto"/>
                <w:highlight w:val="none"/>
                <w:lang w:val="en-US" w:eastAsia="zh-CN"/>
              </w:rPr>
              <w:t xml:space="preserve">15 </w:t>
            </w:r>
            <w:r>
              <w:rPr>
                <w:rFonts w:hint="default" w:ascii="Times New Roman" w:hAnsi="Times New Roman" w:cs="Times New Roman"/>
                <w:color w:val="auto"/>
                <w:highlight w:val="non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8" w:hRule="exact"/>
          <w:jc w:val="center"/>
        </w:trPr>
        <w:tc>
          <w:tcPr>
            <w:tcW w:w="857"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p>
        </w:tc>
        <w:tc>
          <w:tcPr>
            <w:tcW w:w="163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w:t>
            </w:r>
          </w:p>
        </w:tc>
        <w:tc>
          <w:tcPr>
            <w:tcW w:w="162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0.0157</w:t>
            </w:r>
          </w:p>
        </w:tc>
        <w:tc>
          <w:tcPr>
            <w:tcW w:w="162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0.0157</w:t>
            </w:r>
          </w:p>
        </w:tc>
        <w:tc>
          <w:tcPr>
            <w:tcW w:w="162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0.1</w:t>
            </w:r>
          </w:p>
        </w:tc>
        <w:tc>
          <w:tcPr>
            <w:tcW w:w="162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bl>
    <w:p>
      <w:pPr>
        <w:pStyle w:val="39"/>
        <w:bidi w:val="0"/>
        <w:rPr>
          <w:rFonts w:hint="default" w:ascii="Times New Roman" w:hAnsi="Times New Roman" w:cs="Times New Roman"/>
          <w:color w:val="auto"/>
        </w:rPr>
      </w:pPr>
    </w:p>
    <w:p>
      <w:pPr>
        <w:pStyle w:val="39"/>
        <w:bidi w:val="0"/>
        <w:rPr>
          <w:rFonts w:hint="default" w:ascii="Times New Roman" w:hAnsi="Times New Roman" w:cs="Times New Roman"/>
          <w:color w:val="auto"/>
        </w:rPr>
      </w:pPr>
      <w:r>
        <w:rPr>
          <w:rFonts w:hint="default" w:ascii="Times New Roman" w:hAnsi="Times New Roman" w:cs="Times New Roman"/>
          <w:color w:val="auto"/>
        </w:rPr>
        <w:t>本报告所提出的总量控制指标仅供环保审批部门参考，经环保部门审批后可作为本项目的总量控制指标。</w:t>
      </w:r>
    </w:p>
    <w:p>
      <w:pPr>
        <w:pStyle w:val="39"/>
        <w:bidi w:val="0"/>
        <w:rPr>
          <w:rFonts w:hint="default" w:ascii="Times New Roman" w:hAnsi="Times New Roman" w:cs="Times New Roman"/>
          <w:color w:val="auto"/>
        </w:rPr>
      </w:pPr>
      <w:r>
        <w:rPr>
          <w:rFonts w:hint="default" w:ascii="Times New Roman" w:hAnsi="Times New Roman" w:cs="Times New Roman"/>
          <w:color w:val="auto"/>
          <w:highlight w:val="none"/>
        </w:rPr>
        <w:br w:type="page"/>
      </w:r>
    </w:p>
    <w:p>
      <w:pPr>
        <w:pStyle w:val="3"/>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sz w:val="44"/>
          <w:szCs w:val="44"/>
        </w:rPr>
      </w:pPr>
      <w:bookmarkStart w:id="342" w:name="_bookmark19"/>
      <w:bookmarkEnd w:id="342"/>
      <w:bookmarkStart w:id="343" w:name="_bookmark22"/>
      <w:bookmarkEnd w:id="343"/>
      <w:bookmarkStart w:id="344" w:name="_Toc13260"/>
      <w:bookmarkStart w:id="345" w:name="_Toc16524"/>
      <w:bookmarkStart w:id="346" w:name="_Toc15473"/>
      <w:r>
        <w:rPr>
          <w:rFonts w:hint="default" w:ascii="Times New Roman" w:hAnsi="Times New Roman" w:cs="Times New Roman"/>
          <w:color w:val="auto"/>
          <w:sz w:val="44"/>
          <w:szCs w:val="44"/>
        </w:rPr>
        <w:t>环境现状调查与评价</w:t>
      </w:r>
      <w:bookmarkEnd w:id="344"/>
      <w:bookmarkEnd w:id="345"/>
      <w:bookmarkEnd w:id="346"/>
    </w:p>
    <w:p>
      <w:pPr>
        <w:pStyle w:val="4"/>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bookmarkStart w:id="347" w:name="_Toc17628"/>
      <w:bookmarkStart w:id="348" w:name="_Toc396"/>
      <w:bookmarkStart w:id="349" w:name="_Toc5201"/>
      <w:r>
        <w:rPr>
          <w:rFonts w:hint="default" w:ascii="Times New Roman" w:hAnsi="Times New Roman" w:cs="Times New Roman"/>
          <w:color w:val="auto"/>
        </w:rPr>
        <w:t>区域环境概况调查</w:t>
      </w:r>
      <w:bookmarkEnd w:id="347"/>
      <w:bookmarkEnd w:id="348"/>
      <w:bookmarkEnd w:id="349"/>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350" w:name="_Toc24328"/>
      <w:bookmarkStart w:id="351" w:name="_Toc6139"/>
      <w:bookmarkStart w:id="352" w:name="_Toc28901"/>
      <w:bookmarkStart w:id="353" w:name="_Toc9556"/>
      <w:bookmarkStart w:id="354" w:name="_Toc14126"/>
      <w:bookmarkStart w:id="355" w:name="_Toc14658"/>
      <w:bookmarkStart w:id="356" w:name="_Toc19514"/>
      <w:bookmarkStart w:id="357" w:name="_Toc1614"/>
      <w:bookmarkStart w:id="358" w:name="_Toc24952"/>
      <w:bookmarkStart w:id="359" w:name="_Toc472793067"/>
      <w:r>
        <w:rPr>
          <w:rFonts w:hint="default" w:ascii="Times New Roman" w:hAnsi="Times New Roman" w:cs="Times New Roman"/>
          <w:color w:val="auto"/>
        </w:rPr>
        <w:t>地理位置</w:t>
      </w:r>
      <w:bookmarkEnd w:id="350"/>
      <w:bookmarkEnd w:id="351"/>
      <w:bookmarkEnd w:id="352"/>
      <w:bookmarkEnd w:id="353"/>
      <w:bookmarkEnd w:id="354"/>
      <w:bookmarkEnd w:id="355"/>
      <w:bookmarkEnd w:id="356"/>
      <w:bookmarkEnd w:id="357"/>
      <w:bookmarkEnd w:id="358"/>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岳阳市云溪区地处岳阳市城区东北部、长江中游南岸，位于东经113°08′48″至113°23′30″、北纬29°23′56″至29°38′22″之间，西濒东洞庭湖，东与临湘市接壤，西北与湖北省监利县、洪湖市隔江相望，南部与岳阳楼区和岳阳经济开发区毗邻。</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rPr>
        <w:t>巴陵分公司位于岳阳市云溪区，自然地貌为丘陵地区，占地面积近27km</w:t>
      </w:r>
      <w:r>
        <w:rPr>
          <w:rFonts w:hint="default" w:ascii="Times New Roman" w:hAnsi="Times New Roman" w:cs="Times New Roman"/>
          <w:color w:val="auto"/>
          <w:vertAlign w:val="superscript"/>
        </w:rPr>
        <w:t>2</w:t>
      </w:r>
      <w:r>
        <w:rPr>
          <w:rFonts w:hint="default" w:ascii="Times New Roman" w:hAnsi="Times New Roman" w:cs="Times New Roman"/>
          <w:color w:val="auto"/>
        </w:rPr>
        <w:t>，生产区占地6.5km</w:t>
      </w:r>
      <w:r>
        <w:rPr>
          <w:rFonts w:hint="default" w:ascii="Times New Roman" w:hAnsi="Times New Roman" w:cs="Times New Roman"/>
          <w:color w:val="auto"/>
          <w:vertAlign w:val="superscript"/>
        </w:rPr>
        <w:t>2</w:t>
      </w:r>
      <w:r>
        <w:rPr>
          <w:rFonts w:hint="default" w:ascii="Times New Roman" w:hAnsi="Times New Roman" w:cs="Times New Roman"/>
          <w:color w:val="auto"/>
        </w:rPr>
        <w:t>，距岳阳市区约30公里。</w:t>
      </w:r>
      <w:r>
        <w:rPr>
          <w:rFonts w:hint="default" w:ascii="Times New Roman" w:hAnsi="Times New Roman" w:cs="Times New Roman"/>
          <w:color w:val="auto"/>
          <w:lang w:eastAsia="zh-CN"/>
        </w:rPr>
        <w:t>巴陵石化公司</w:t>
      </w:r>
      <w:r>
        <w:rPr>
          <w:rFonts w:hint="default" w:ascii="Times New Roman" w:hAnsi="Times New Roman" w:cs="Times New Roman"/>
          <w:color w:val="auto"/>
        </w:rPr>
        <w:t>地理坐标为东经113°18´，北纬29°28´。</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项目位于</w:t>
      </w:r>
      <w:r>
        <w:rPr>
          <w:rFonts w:hint="default" w:ascii="Times New Roman" w:hAnsi="Times New Roman" w:cs="Times New Roman"/>
          <w:color w:val="auto"/>
          <w:highlight w:val="none"/>
          <w:lang w:eastAsia="zh-CN"/>
        </w:rPr>
        <w:t>巴陵石化公司</w:t>
      </w:r>
      <w:r>
        <w:rPr>
          <w:rFonts w:hint="default" w:ascii="Times New Roman" w:hAnsi="Times New Roman" w:cs="Times New Roman"/>
          <w:color w:val="auto"/>
          <w:highlight w:val="none"/>
        </w:rPr>
        <w:t>厂区内，地理位置详见附图1。</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highlight w:val="none"/>
        </w:rPr>
      </w:pPr>
      <w:bookmarkStart w:id="360" w:name="_Toc3585"/>
      <w:bookmarkStart w:id="361" w:name="_Toc1486"/>
      <w:bookmarkStart w:id="362" w:name="_Toc23758"/>
      <w:bookmarkStart w:id="363" w:name="_Toc5018"/>
      <w:bookmarkStart w:id="364" w:name="_Toc27914"/>
      <w:bookmarkStart w:id="365" w:name="_Toc31175"/>
      <w:bookmarkStart w:id="366" w:name="_Toc3325"/>
      <w:bookmarkStart w:id="367" w:name="_Toc7669"/>
      <w:bookmarkStart w:id="368" w:name="_Toc17230"/>
      <w:r>
        <w:rPr>
          <w:rFonts w:hint="default" w:ascii="Times New Roman" w:hAnsi="Times New Roman" w:cs="Times New Roman"/>
          <w:color w:val="auto"/>
          <w:highlight w:val="none"/>
        </w:rPr>
        <w:t>地形地貌</w:t>
      </w:r>
      <w:bookmarkEnd w:id="360"/>
      <w:bookmarkEnd w:id="361"/>
      <w:bookmarkEnd w:id="362"/>
      <w:bookmarkEnd w:id="363"/>
      <w:bookmarkEnd w:id="364"/>
      <w:bookmarkEnd w:id="365"/>
      <w:bookmarkEnd w:id="366"/>
      <w:bookmarkEnd w:id="367"/>
      <w:bookmarkEnd w:id="368"/>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云溪区属幕阜山脉向江汉平原过渡地带，属低山丘陵地带，地貌多样、交相穿插，整个地势由东南向西北倾斜。境内最高海拔点为云溪乡上清溪村之小木岭，海拔497.6m；最低海拔点为永济乡之臣子湖，海拔21.4m。一般海拔在40~60m之间。地表组成物质65%为变质岩，其余为沙质岩，土壤组成以第四纪红色粘土和第四纪全新河、湖沉积物为主。第四纪红色粘土主要分布在境内东南边，适合林、果、茶等作物开发。第四纪全新河、湖沉积物主要分布在西北长江沿线，适合水稻、瓜菜等作物种植。</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厂区地势为已平整的山区梯状台地。厂区地势平坦且形状较规则。已有地质钻探资料表明：该场地地层分布稳定，地质构造简单单一，地下水位埋深在3.0</w:t>
      </w:r>
      <w:r>
        <w:rPr>
          <w:rFonts w:hint="default" w:ascii="Times New Roman" w:hAnsi="Times New Roman" w:cs="Times New Roman"/>
          <w:color w:val="auto"/>
          <w:lang w:eastAsia="zh-CN"/>
        </w:rPr>
        <w:t>~</w:t>
      </w:r>
      <w:r>
        <w:rPr>
          <w:rFonts w:hint="default" w:ascii="Times New Roman" w:hAnsi="Times New Roman" w:cs="Times New Roman"/>
          <w:color w:val="auto"/>
        </w:rPr>
        <w:t>5.80m之间。表层为植物层，其下为第四系坡积、洪积亚粘土，基岩为前震旦系板溪群浅变质岩、岩层走向倾向于东西、倾角约30度，未发现不良地质构造。</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区域场地基岩主要为中、微风化砂质板岩，未发现有影响本改扩建项目建设的地质构造；场地的抗震设防烈度为</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7 \* ROMAN </w:instrText>
      </w:r>
      <w:r>
        <w:rPr>
          <w:rFonts w:hint="default" w:ascii="Times New Roman" w:hAnsi="Times New Roman" w:cs="Times New Roman"/>
          <w:color w:val="auto"/>
        </w:rPr>
        <w:fldChar w:fldCharType="separate"/>
      </w:r>
      <w:r>
        <w:rPr>
          <w:rFonts w:hint="default" w:ascii="Times New Roman" w:hAnsi="Times New Roman" w:cs="Times New Roman"/>
          <w:color w:val="auto"/>
        </w:rPr>
        <w:t>VII</w:t>
      </w:r>
      <w:r>
        <w:rPr>
          <w:rFonts w:hint="default" w:ascii="Times New Roman" w:hAnsi="Times New Roman" w:cs="Times New Roman"/>
          <w:color w:val="auto"/>
        </w:rPr>
        <w:fldChar w:fldCharType="end"/>
      </w:r>
      <w:r>
        <w:rPr>
          <w:rFonts w:hint="default" w:ascii="Times New Roman" w:hAnsi="Times New Roman" w:cs="Times New Roman"/>
          <w:color w:val="auto"/>
        </w:rPr>
        <w:t>度，设计基本地震加速度值为0.1g，本区地震动反应谱特征周期为0.35s，建筑地类别为Ⅱ类，属抗震一般地段。</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根据巴陵石化钻探揭露及场地周围沿途工程地质调查，查明在钻探所见深度范围内，场地地层自上而下分布为：①填土，②-1粉质粘土（软可塑），②-2粉质粘土（硬可塑），③-1强风化板岩，③-2中风化板岩。</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本项目所在地区的地震基本烈度值为7度，工程抗震设防类别为丙类，地基基础设计等级为丙类，抗震设防烈度为7度，设计基本地震加速度值为0.05g，设计地震分组为第一组，设计使用年限为50年。</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369" w:name="_Toc22120"/>
      <w:bookmarkStart w:id="370" w:name="_Toc1503"/>
      <w:bookmarkStart w:id="371" w:name="_Toc31779"/>
      <w:bookmarkStart w:id="372" w:name="_Toc22346"/>
      <w:bookmarkStart w:id="373" w:name="_Toc14593"/>
      <w:bookmarkStart w:id="374" w:name="_Toc18968"/>
      <w:bookmarkStart w:id="375" w:name="_Toc25922"/>
      <w:bookmarkStart w:id="376" w:name="_Toc14841"/>
      <w:bookmarkStart w:id="377" w:name="_Toc31637"/>
      <w:r>
        <w:rPr>
          <w:rFonts w:hint="default" w:ascii="Times New Roman" w:hAnsi="Times New Roman" w:cs="Times New Roman"/>
          <w:color w:val="auto"/>
        </w:rPr>
        <w:t>气象、气候</w:t>
      </w:r>
      <w:bookmarkEnd w:id="369"/>
      <w:bookmarkEnd w:id="370"/>
      <w:bookmarkEnd w:id="371"/>
      <w:bookmarkEnd w:id="372"/>
      <w:bookmarkEnd w:id="373"/>
      <w:bookmarkEnd w:id="374"/>
      <w:bookmarkEnd w:id="375"/>
      <w:bookmarkEnd w:id="376"/>
      <w:bookmarkEnd w:id="377"/>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岳阳市处在中亚季风气候区中，气候带上具有中亚热带向北亚热带过渡性质，属湿润的大陆性季风气候。其主要特征：严寒期短、无霜期长；春温多变、秋寒偏早；雨季明显，夏秋多旱；四季分明，季节性强；</w:t>
      </w:r>
      <w:r>
        <w:rPr>
          <w:rFonts w:hint="default" w:ascii="Times New Roman" w:hAnsi="Times New Roman" w:cs="Times New Roman"/>
          <w:color w:val="auto"/>
          <w:lang w:eastAsia="zh-CN"/>
        </w:rPr>
        <w:t>“</w:t>
      </w:r>
      <w:r>
        <w:rPr>
          <w:rFonts w:hint="default" w:ascii="Times New Roman" w:hAnsi="Times New Roman" w:cs="Times New Roman"/>
          <w:color w:val="auto"/>
        </w:rPr>
        <w:t>湖陆风</w:t>
      </w:r>
      <w:r>
        <w:rPr>
          <w:rFonts w:hint="default" w:ascii="Times New Roman" w:hAnsi="Times New Roman" w:cs="Times New Roman"/>
          <w:color w:val="auto"/>
          <w:lang w:eastAsia="zh-CN"/>
        </w:rPr>
        <w:t>”</w:t>
      </w:r>
      <w:r>
        <w:rPr>
          <w:rFonts w:hint="default" w:ascii="Times New Roman" w:hAnsi="Times New Roman" w:cs="Times New Roman"/>
          <w:color w:val="auto"/>
        </w:rPr>
        <w:t>盛行；</w:t>
      </w:r>
      <w:r>
        <w:rPr>
          <w:rFonts w:hint="default" w:ascii="Times New Roman" w:hAnsi="Times New Roman" w:cs="Times New Roman"/>
          <w:color w:val="auto"/>
          <w:lang w:eastAsia="zh-CN"/>
        </w:rPr>
        <w:t>“</w:t>
      </w:r>
      <w:r>
        <w:rPr>
          <w:rFonts w:hint="default" w:ascii="Times New Roman" w:hAnsi="Times New Roman" w:cs="Times New Roman"/>
          <w:color w:val="auto"/>
        </w:rPr>
        <w:t>洞庭秋月</w:t>
      </w:r>
      <w:r>
        <w:rPr>
          <w:rFonts w:hint="default" w:ascii="Times New Roman" w:hAnsi="Times New Roman" w:cs="Times New Roman"/>
          <w:color w:val="auto"/>
          <w:lang w:eastAsia="zh-CN"/>
        </w:rPr>
        <w:t>”</w:t>
      </w:r>
      <w:r>
        <w:rPr>
          <w:rFonts w:hint="default" w:ascii="Times New Roman" w:hAnsi="Times New Roman" w:cs="Times New Roman"/>
          <w:color w:val="auto"/>
        </w:rPr>
        <w:t>明；湖区气候均一，山地气候差异大；生长季节中光、热、水量充足，农业气候条件较好。</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年平均气温在16.4</w:t>
      </w:r>
      <w:r>
        <w:rPr>
          <w:rFonts w:hint="default" w:ascii="Times New Roman" w:hAnsi="Times New Roman" w:cs="Times New Roman"/>
          <w:color w:val="auto"/>
          <w:lang w:eastAsia="zh-CN"/>
        </w:rPr>
        <w:t>~</w:t>
      </w:r>
      <w:r>
        <w:rPr>
          <w:rFonts w:hint="default" w:ascii="Times New Roman" w:hAnsi="Times New Roman" w:cs="Times New Roman"/>
          <w:color w:val="auto"/>
        </w:rPr>
        <w:t>17.0℃之间。南部的平江、汨罗、湘阴及屈原农场为16.8</w:t>
      </w:r>
      <w:r>
        <w:rPr>
          <w:rFonts w:hint="default" w:ascii="Times New Roman" w:hAnsi="Times New Roman" w:cs="Times New Roman"/>
          <w:color w:val="auto"/>
          <w:lang w:eastAsia="zh-CN"/>
        </w:rPr>
        <w:t>~</w:t>
      </w:r>
      <w:r>
        <w:rPr>
          <w:rFonts w:hint="default" w:ascii="Times New Roman" w:hAnsi="Times New Roman" w:cs="Times New Roman"/>
          <w:color w:val="auto"/>
        </w:rPr>
        <w:t>16.9℃；城区受洞庭湖水体和城市</w:t>
      </w:r>
      <w:r>
        <w:rPr>
          <w:rFonts w:hint="default" w:ascii="Times New Roman" w:hAnsi="Times New Roman" w:cs="Times New Roman"/>
          <w:color w:val="auto"/>
          <w:lang w:eastAsia="zh-CN"/>
        </w:rPr>
        <w:t>“</w:t>
      </w:r>
      <w:r>
        <w:rPr>
          <w:rFonts w:hint="default" w:ascii="Times New Roman" w:hAnsi="Times New Roman" w:cs="Times New Roman"/>
          <w:color w:val="auto"/>
        </w:rPr>
        <w:t>热岛效应</w:t>
      </w:r>
      <w:r>
        <w:rPr>
          <w:rFonts w:hint="default" w:ascii="Times New Roman" w:hAnsi="Times New Roman" w:cs="Times New Roman"/>
          <w:color w:val="auto"/>
          <w:lang w:eastAsia="zh-CN"/>
        </w:rPr>
        <w:t>”</w:t>
      </w:r>
      <w:r>
        <w:rPr>
          <w:rFonts w:hint="default" w:ascii="Times New Roman" w:hAnsi="Times New Roman" w:cs="Times New Roman"/>
          <w:color w:val="auto"/>
        </w:rPr>
        <w:t>的影响，年平均气温偏高，为17.0℃。境内极端最高气温为39.3</w:t>
      </w:r>
      <w:r>
        <w:rPr>
          <w:rFonts w:hint="default" w:ascii="Times New Roman" w:hAnsi="Times New Roman" w:cs="Times New Roman"/>
          <w:color w:val="auto"/>
          <w:lang w:eastAsia="zh-CN"/>
        </w:rPr>
        <w:t>~</w:t>
      </w:r>
      <w:r>
        <w:rPr>
          <w:rFonts w:hint="default" w:ascii="Times New Roman" w:hAnsi="Times New Roman" w:cs="Times New Roman"/>
          <w:color w:val="auto"/>
        </w:rPr>
        <w:t>40.4℃，极端最低气温为</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11.8</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 xml:space="preserve"> - </w:t>
      </w:r>
      <w:r>
        <w:rPr>
          <w:rFonts w:hint="default" w:ascii="Times New Roman" w:hAnsi="Times New Roman" w:cs="Times New Roman"/>
          <w:color w:val="auto"/>
        </w:rPr>
        <w:t>18.1℃。年平均气温日较差为6.6</w:t>
      </w:r>
      <w:r>
        <w:rPr>
          <w:rFonts w:hint="default" w:ascii="Times New Roman" w:hAnsi="Times New Roman" w:cs="Times New Roman"/>
          <w:color w:val="auto"/>
          <w:lang w:eastAsia="zh-CN"/>
        </w:rPr>
        <w:t>~</w:t>
      </w:r>
      <w:r>
        <w:rPr>
          <w:rFonts w:hint="default" w:ascii="Times New Roman" w:hAnsi="Times New Roman" w:cs="Times New Roman"/>
          <w:color w:val="auto"/>
        </w:rPr>
        <w:t>9.1℃，湖区6.6</w:t>
      </w:r>
      <w:r>
        <w:rPr>
          <w:rFonts w:hint="default" w:ascii="Times New Roman" w:hAnsi="Times New Roman" w:cs="Times New Roman"/>
          <w:color w:val="auto"/>
          <w:lang w:eastAsia="zh-CN"/>
        </w:rPr>
        <w:t>~</w:t>
      </w:r>
      <w:r>
        <w:rPr>
          <w:rFonts w:hint="default" w:ascii="Times New Roman" w:hAnsi="Times New Roman" w:cs="Times New Roman"/>
          <w:color w:val="auto"/>
        </w:rPr>
        <w:t>7.4℃，山丘区7.6</w:t>
      </w:r>
      <w:r>
        <w:rPr>
          <w:rFonts w:hint="default" w:ascii="Times New Roman" w:hAnsi="Times New Roman" w:cs="Times New Roman"/>
          <w:color w:val="auto"/>
          <w:lang w:val="en-US" w:eastAsia="zh-CN"/>
        </w:rPr>
        <w:t>~</w:t>
      </w:r>
      <w:r>
        <w:rPr>
          <w:rFonts w:hint="default" w:ascii="Times New Roman" w:hAnsi="Times New Roman" w:cs="Times New Roman"/>
          <w:color w:val="auto"/>
        </w:rPr>
        <w:t>9.4℃，气温日较差以9</w:t>
      </w:r>
      <w:r>
        <w:rPr>
          <w:rFonts w:hint="default" w:ascii="Times New Roman" w:hAnsi="Times New Roman" w:cs="Times New Roman"/>
          <w:color w:val="auto"/>
          <w:lang w:eastAsia="zh-CN"/>
        </w:rPr>
        <w:t>~</w:t>
      </w:r>
      <w:r>
        <w:rPr>
          <w:rFonts w:hint="default" w:ascii="Times New Roman" w:hAnsi="Times New Roman" w:cs="Times New Roman"/>
          <w:color w:val="auto"/>
        </w:rPr>
        <w:t>11月为大。年日照时数为1662.1</w:t>
      </w:r>
      <w:r>
        <w:rPr>
          <w:rFonts w:hint="default" w:ascii="Times New Roman" w:hAnsi="Times New Roman" w:cs="Times New Roman"/>
          <w:color w:val="auto"/>
          <w:lang w:eastAsia="zh-CN"/>
        </w:rPr>
        <w:t>~</w:t>
      </w:r>
      <w:r>
        <w:rPr>
          <w:rFonts w:hint="default" w:ascii="Times New Roman" w:hAnsi="Times New Roman" w:cs="Times New Roman"/>
          <w:color w:val="auto"/>
        </w:rPr>
        <w:t>1764.1小时，呈北部比南部多，西部比东部多的分布格局。市区年平均风速为2.8米/秒，年最多风向为东北偏北风。年降雨量1211</w:t>
      </w:r>
      <w:r>
        <w:rPr>
          <w:rFonts w:hint="default" w:ascii="Times New Roman" w:hAnsi="Times New Roman" w:cs="Times New Roman"/>
          <w:color w:val="auto"/>
          <w:lang w:eastAsia="zh-CN"/>
        </w:rPr>
        <w:t>~</w:t>
      </w:r>
      <w:r>
        <w:rPr>
          <w:rFonts w:hint="default" w:ascii="Times New Roman" w:hAnsi="Times New Roman" w:cs="Times New Roman"/>
          <w:color w:val="auto"/>
        </w:rPr>
        <w:t>1463mm，年平均降水量为1302mm，历年最大日降雨量为265.3mm。</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378" w:name="_Toc15318"/>
      <w:bookmarkStart w:id="379" w:name="_Toc19745"/>
      <w:bookmarkStart w:id="380" w:name="_Toc14998"/>
      <w:bookmarkStart w:id="381" w:name="_Toc6328"/>
      <w:bookmarkStart w:id="382" w:name="_Toc12993"/>
      <w:bookmarkStart w:id="383" w:name="_Toc3017"/>
      <w:bookmarkStart w:id="384" w:name="_Toc17699"/>
      <w:bookmarkStart w:id="385" w:name="_Toc23598"/>
      <w:bookmarkStart w:id="386" w:name="_Toc14959"/>
      <w:r>
        <w:rPr>
          <w:rFonts w:hint="default" w:ascii="Times New Roman" w:hAnsi="Times New Roman" w:cs="Times New Roman"/>
          <w:color w:val="auto"/>
        </w:rPr>
        <w:t>水文</w:t>
      </w:r>
      <w:bookmarkEnd w:id="378"/>
      <w:bookmarkEnd w:id="379"/>
      <w:bookmarkEnd w:id="380"/>
      <w:bookmarkEnd w:id="381"/>
      <w:bookmarkEnd w:id="382"/>
      <w:bookmarkEnd w:id="383"/>
      <w:bookmarkEnd w:id="384"/>
      <w:bookmarkEnd w:id="385"/>
      <w:bookmarkEnd w:id="386"/>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岳阳市居长江中游，湖泊星布，河流网织，水系发达。境内有5公里以上的河流265条，其中50公里以上的6条，有大小湖泊165个，内湖面积48.02万亩。河流、湖泊分别属于洞庭湖水系、滨江水系和鄱阳湖水系。</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项目用水由巴陵分公司供给，巴陵公司取水口位于长江道仁矶渡口上游约500m。长江自华容县塔市驿镇五马口入境，流经塔市驿、洪山头、洪水港、广兴洲、城陵矶、陆城、江南至黄盖湖铁山嘴出境，境内流程158.5公里。长江南岸有松滋、虎渡、藕池、调弦四口分流长江洪水入洞庭湖，与湘、资、沅、澧四水汇合后，于城陵矶再注长江。</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根据长江螺山水文站水文数据，长江道仁矶江段多年平均流量为20300 m3/s，最大流量为61200m</w:t>
      </w:r>
      <w:r>
        <w:rPr>
          <w:rFonts w:hint="default" w:ascii="Times New Roman" w:hAnsi="Times New Roman" w:cs="Times New Roman"/>
          <w:color w:val="auto"/>
          <w:vertAlign w:val="superscript"/>
        </w:rPr>
        <w:t>3</w:t>
      </w:r>
      <w:r>
        <w:rPr>
          <w:rFonts w:hint="default" w:ascii="Times New Roman" w:hAnsi="Times New Roman" w:cs="Times New Roman"/>
          <w:color w:val="auto"/>
        </w:rPr>
        <w:t>/s，最小流量为4190m</w:t>
      </w:r>
      <w:r>
        <w:rPr>
          <w:rFonts w:hint="default" w:ascii="Times New Roman" w:hAnsi="Times New Roman" w:cs="Times New Roman"/>
          <w:color w:val="auto"/>
          <w:vertAlign w:val="superscript"/>
        </w:rPr>
        <w:t>3</w:t>
      </w:r>
      <w:r>
        <w:rPr>
          <w:rFonts w:hint="default" w:ascii="Times New Roman" w:hAnsi="Times New Roman" w:cs="Times New Roman"/>
          <w:color w:val="auto"/>
        </w:rPr>
        <w:t>/s。多年平均流速1.45m/s；历年最大流速2.00 m/s；历年最小流速0.98m/s；</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巴陵公司废水去向为长江和</w:t>
      </w:r>
      <w:r>
        <w:rPr>
          <w:rFonts w:hint="default" w:ascii="Times New Roman" w:hAnsi="Times New Roman" w:cs="Times New Roman"/>
          <w:color w:val="auto"/>
          <w:lang w:eastAsia="zh-CN"/>
        </w:rPr>
        <w:t>松杨湖</w:t>
      </w:r>
      <w:r>
        <w:rPr>
          <w:rFonts w:hint="default" w:ascii="Times New Roman" w:hAnsi="Times New Roman" w:cs="Times New Roman"/>
          <w:color w:val="auto"/>
        </w:rPr>
        <w:t>，生产废水及生活污水经</w:t>
      </w:r>
      <w:r>
        <w:rPr>
          <w:rFonts w:hint="default" w:ascii="Times New Roman" w:hAnsi="Times New Roman" w:cs="Times New Roman"/>
          <w:color w:val="auto"/>
          <w:lang w:eastAsia="zh-CN"/>
        </w:rPr>
        <w:t>巴陵石化公司</w:t>
      </w:r>
      <w:r>
        <w:rPr>
          <w:rFonts w:hint="default" w:ascii="Times New Roman" w:hAnsi="Times New Roman" w:cs="Times New Roman"/>
          <w:color w:val="auto"/>
        </w:rPr>
        <w:t>污水处理厂处理后用管线排长江；明沟汇集了厂区清净下水等排水，经云溪排洪沟排入</w:t>
      </w:r>
      <w:r>
        <w:rPr>
          <w:rFonts w:hint="default" w:ascii="Times New Roman" w:hAnsi="Times New Roman" w:cs="Times New Roman"/>
          <w:color w:val="auto"/>
          <w:lang w:eastAsia="zh-CN"/>
        </w:rPr>
        <w:t>松杨湖</w:t>
      </w:r>
      <w:r>
        <w:rPr>
          <w:rFonts w:hint="default" w:ascii="Times New Roman" w:hAnsi="Times New Roman" w:cs="Times New Roman"/>
          <w:color w:val="auto"/>
        </w:rPr>
        <w:t>，</w:t>
      </w:r>
      <w:r>
        <w:rPr>
          <w:rFonts w:hint="default" w:ascii="Times New Roman" w:hAnsi="Times New Roman" w:cs="Times New Roman"/>
          <w:color w:val="auto"/>
          <w:lang w:eastAsia="zh-CN"/>
        </w:rPr>
        <w:t>松杨湖</w:t>
      </w:r>
      <w:r>
        <w:rPr>
          <w:rFonts w:hint="default" w:ascii="Times New Roman" w:hAnsi="Times New Roman" w:cs="Times New Roman"/>
          <w:color w:val="auto"/>
        </w:rPr>
        <w:t>主体水域约4.5km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lang w:eastAsia="zh-CN"/>
        </w:rPr>
        <w:t>松杨湖</w:t>
      </w:r>
      <w:r>
        <w:rPr>
          <w:rFonts w:hint="default" w:ascii="Times New Roman" w:hAnsi="Times New Roman" w:cs="Times New Roman"/>
          <w:color w:val="auto"/>
        </w:rPr>
        <w:t>湖面积：丰水期6000~8000亩左右；枯水期5000~6000亩左右；</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水位：最深水位5~6m左右；平均水位3~4m左右；</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蓄水量：丰水期21万m3左右；枯水期11万m3左右。</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bookmarkStart w:id="387" w:name="_Toc360204138"/>
      <w:bookmarkStart w:id="388" w:name="_Toc26828"/>
      <w:bookmarkStart w:id="389" w:name="_Toc356025965"/>
      <w:bookmarkStart w:id="390" w:name="_Toc25044"/>
      <w:bookmarkStart w:id="391" w:name="_Toc359485569"/>
      <w:bookmarkStart w:id="392" w:name="_Toc13548"/>
      <w:bookmarkStart w:id="393" w:name="_Toc18254"/>
      <w:bookmarkStart w:id="394" w:name="_Toc917"/>
      <w:bookmarkStart w:id="395" w:name="_Toc18962"/>
      <w:bookmarkStart w:id="396" w:name="_Toc12669"/>
      <w:bookmarkStart w:id="397" w:name="_Toc19523"/>
      <w:r>
        <w:rPr>
          <w:rFonts w:hint="default" w:ascii="Times New Roman" w:hAnsi="Times New Roman" w:cs="Times New Roman"/>
          <w:color w:val="auto"/>
        </w:rPr>
        <w:t>地下水</w:t>
      </w:r>
      <w:bookmarkEnd w:id="387"/>
      <w:bookmarkEnd w:id="388"/>
      <w:bookmarkEnd w:id="389"/>
      <w:bookmarkEnd w:id="390"/>
      <w:bookmarkEnd w:id="391"/>
      <w:bookmarkEnd w:id="392"/>
      <w:bookmarkEnd w:id="393"/>
      <w:bookmarkEnd w:id="394"/>
      <w:bookmarkEnd w:id="395"/>
      <w:bookmarkEnd w:id="396"/>
      <w:bookmarkEnd w:id="397"/>
      <w:r>
        <w:rPr>
          <w:rFonts w:hint="default" w:ascii="Times New Roman" w:hAnsi="Times New Roman" w:cs="Times New Roman"/>
          <w:color w:val="auto"/>
          <w:lang w:eastAsia="zh-CN"/>
        </w:rPr>
        <w:t>：</w:t>
      </w:r>
      <w:r>
        <w:rPr>
          <w:rFonts w:hint="default" w:ascii="Times New Roman" w:hAnsi="Times New Roman" w:cs="Times New Roman"/>
          <w:color w:val="auto"/>
        </w:rPr>
        <w:t>根据巴陵石化以往地质勘察情况可知</w:t>
      </w:r>
      <w:r>
        <w:rPr>
          <w:rFonts w:hint="default" w:ascii="Times New Roman" w:hAnsi="Times New Roman" w:cs="Times New Roman"/>
          <w:color w:val="auto"/>
          <w:lang w:eastAsia="zh-CN"/>
        </w:rPr>
        <w:t>，</w:t>
      </w:r>
      <w:r>
        <w:rPr>
          <w:rFonts w:hint="default" w:ascii="Times New Roman" w:hAnsi="Times New Roman" w:cs="Times New Roman"/>
          <w:color w:val="auto"/>
        </w:rPr>
        <w:t>厂址地区地下水类型为上层滞水，赋存于上部填实层中，主要来源于天然降水；粉质粘土为相对隔水层；底部基岩为裂隙水，水量较贫乏。</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398" w:name="_Toc18642"/>
      <w:bookmarkStart w:id="399" w:name="_Toc1074"/>
      <w:bookmarkStart w:id="400" w:name="_Toc28728"/>
      <w:bookmarkStart w:id="401" w:name="_Toc29056"/>
      <w:bookmarkStart w:id="402" w:name="_Toc27338"/>
      <w:bookmarkStart w:id="403" w:name="_Toc31715"/>
      <w:bookmarkStart w:id="404" w:name="_Toc18690"/>
      <w:bookmarkStart w:id="405" w:name="_Toc4863"/>
      <w:bookmarkStart w:id="406" w:name="_Toc16727"/>
      <w:r>
        <w:rPr>
          <w:rFonts w:hint="default" w:ascii="Times New Roman" w:hAnsi="Times New Roman" w:cs="Times New Roman"/>
          <w:color w:val="auto"/>
        </w:rPr>
        <w:t>土壤植被与生态</w:t>
      </w:r>
      <w:bookmarkEnd w:id="398"/>
      <w:bookmarkEnd w:id="399"/>
      <w:bookmarkEnd w:id="400"/>
      <w:bookmarkEnd w:id="401"/>
      <w:bookmarkEnd w:id="402"/>
      <w:bookmarkEnd w:id="403"/>
      <w:bookmarkEnd w:id="404"/>
      <w:bookmarkEnd w:id="405"/>
      <w:bookmarkEnd w:id="406"/>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境内共有8个土类、21个亚类、76个土属、222个土种、400多个变种。（1）水稻土：面积387.31万亩，占土壤总面积的25.20%。含有丰富的氮元素和较多的钾元素，适宜于水稻生产；以滨湖平原和汨罗江、新墙河流域最为集中。（2）菜园土：耕层疏松，通透性好，有机质多，集中分布于城镇郊区，面积1.02万亩，占土壤总面积的0.07%。（3）潮土面积1510.15万亩，占土壤总面积的10.39%，分布在东洞庭湖、长江、汨罗江、新墙河沿岸等地。潮土土层深厚、地下水埋藏浅，质地适中，养分比较丰富，适宜于棉花、甘蔗、蚕桑生长。（4）紫色土：面积为106.10万亩，占土壤总面积的 6.90%，分布于丘岗地带，以市境东部长平盆地及新墙河流域面积最大。（5）红壤：面积801.32万亩，占土壤总面积的52.13%，主要分布于海拔 500米以下的山、丘岗地区。以中部丘陵地带与洞庭湖环湖岗地及汨罗江中下游阶地最为集中。适宜茶叶、油茶、油桐、苎麻、桃李等经济作物生长。（7）山地黄壤、黄棕壤、山地草甸土：共计81.53万亩，占土壤总面积的5.31%，均分布于东部山区。山地黄壤一般分布于海拔500</w:t>
      </w:r>
      <w:r>
        <w:rPr>
          <w:rFonts w:hint="default" w:ascii="Times New Roman" w:hAnsi="Times New Roman" w:cs="Times New Roman"/>
          <w:color w:val="auto"/>
          <w:lang w:eastAsia="zh-CN"/>
        </w:rPr>
        <w:t>~</w:t>
      </w:r>
      <w:r>
        <w:rPr>
          <w:rFonts w:hint="default" w:ascii="Times New Roman" w:hAnsi="Times New Roman" w:cs="Times New Roman"/>
          <w:color w:val="auto"/>
        </w:rPr>
        <w:t>800米地段，黄棕壤分布于海拔800米以上地段，草甸土只有500亩，位于幕阜山一峰尖，山地黄壤、黄棕壤均呈酸性，养分含量丰富，自然植被较好。</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项目所在地为工业用地，四周主要分布工业生产装置，外围山体植物覆盖程度较高。区域农业以种植水稻和蔬菜为主。评价区范围内无景观资源、游览胜地和珍稀动植物。境内主要是人工栽培的雪松、桂花、玉兰等，山上自然植被繁茂。</w:t>
      </w:r>
    </w:p>
    <w:bookmarkEnd w:id="359"/>
    <w:p>
      <w:pPr>
        <w:pStyle w:val="4"/>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bookmarkStart w:id="407" w:name="_Toc448302456"/>
      <w:bookmarkStart w:id="408" w:name="_Toc24014"/>
      <w:bookmarkStart w:id="409" w:name="_Toc13884"/>
      <w:bookmarkStart w:id="410" w:name="_Toc460850407"/>
      <w:bookmarkStart w:id="411" w:name="_Toc5010"/>
      <w:r>
        <w:rPr>
          <w:rFonts w:hint="default" w:ascii="Times New Roman" w:hAnsi="Times New Roman" w:cs="Times New Roman"/>
          <w:color w:val="auto"/>
        </w:rPr>
        <w:t>云溪工业园概况</w:t>
      </w:r>
      <w:bookmarkEnd w:id="407"/>
      <w:bookmarkEnd w:id="408"/>
      <w:bookmarkEnd w:id="409"/>
      <w:bookmarkEnd w:id="410"/>
      <w:bookmarkEnd w:id="411"/>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412" w:name="_Toc2998"/>
      <w:bookmarkStart w:id="413" w:name="_Toc10312"/>
      <w:bookmarkStart w:id="414" w:name="_Toc20976"/>
      <w:bookmarkStart w:id="415" w:name="_Toc30651"/>
      <w:bookmarkStart w:id="416" w:name="_Toc15184"/>
      <w:bookmarkStart w:id="417" w:name="_Toc11992"/>
      <w:bookmarkStart w:id="418" w:name="_Toc2082"/>
      <w:bookmarkStart w:id="419" w:name="_Toc7802"/>
      <w:bookmarkStart w:id="420" w:name="_Toc10297"/>
      <w:r>
        <w:rPr>
          <w:rFonts w:hint="default" w:ascii="Times New Roman" w:hAnsi="Times New Roman" w:cs="Times New Roman"/>
          <w:color w:val="auto"/>
        </w:rPr>
        <w:t>规划结构</w:t>
      </w:r>
      <w:bookmarkEnd w:id="412"/>
      <w:bookmarkEnd w:id="413"/>
      <w:bookmarkEnd w:id="414"/>
      <w:bookmarkEnd w:id="415"/>
      <w:bookmarkEnd w:id="416"/>
      <w:bookmarkEnd w:id="417"/>
      <w:bookmarkEnd w:id="418"/>
      <w:bookmarkEnd w:id="419"/>
      <w:bookmarkEnd w:id="420"/>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湖南岳阳绿色化工产业园云溪区工业园规划以现有片区为基础，进一步明确用地发展方向和用地结构，从用地和交通联系等方面协调各片区之间关系，完善工业园形态，通过加强各片的交通联系，使之成为一个统一的整体，共同构建湖南岳阳绿色化工产业园区</w:t>
      </w:r>
      <w:r>
        <w:rPr>
          <w:rFonts w:hint="default" w:ascii="Times New Roman" w:hAnsi="Times New Roman" w:cs="Times New Roman"/>
          <w:color w:val="auto"/>
          <w:lang w:eastAsia="zh-CN"/>
        </w:rPr>
        <w:t>“</w:t>
      </w:r>
      <w:r>
        <w:rPr>
          <w:rFonts w:hint="default" w:ascii="Times New Roman" w:hAnsi="Times New Roman" w:cs="Times New Roman"/>
          <w:color w:val="auto"/>
        </w:rPr>
        <w:t>一心、两轴、三片</w:t>
      </w:r>
      <w:r>
        <w:rPr>
          <w:rFonts w:hint="default" w:ascii="Times New Roman" w:hAnsi="Times New Roman" w:cs="Times New Roman"/>
          <w:color w:val="auto"/>
          <w:lang w:eastAsia="zh-CN"/>
        </w:rPr>
        <w:t>”</w:t>
      </w:r>
      <w:r>
        <w:rPr>
          <w:rFonts w:hint="default" w:ascii="Times New Roman" w:hAnsi="Times New Roman" w:cs="Times New Roman"/>
          <w:color w:val="auto"/>
        </w:rPr>
        <w:t>的规划结构。其中：</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rPr>
        <w:t>一心</w:t>
      </w:r>
      <w:r>
        <w:rPr>
          <w:rFonts w:hint="default" w:ascii="Times New Roman" w:hAnsi="Times New Roman" w:cs="Times New Roman"/>
          <w:color w:val="auto"/>
          <w:lang w:eastAsia="zh-CN"/>
        </w:rPr>
        <w:t>”</w:t>
      </w:r>
      <w:r>
        <w:rPr>
          <w:rFonts w:hint="default" w:ascii="Times New Roman" w:hAnsi="Times New Roman" w:cs="Times New Roman"/>
          <w:color w:val="auto"/>
        </w:rPr>
        <w:t>：是指松杨湖水域这一绿心，它既作为整个区域具有凝聚心的核心，体现出工业园区的环境景观特色，同时它有具有强烈的辐射影响作用，以其生态环境和景观方面的优越条件带动周边地区的建设开发和土地升值。</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rPr>
        <w:t>两轴</w:t>
      </w:r>
      <w:r>
        <w:rPr>
          <w:rFonts w:hint="default" w:ascii="Times New Roman" w:hAnsi="Times New Roman" w:cs="Times New Roman"/>
          <w:color w:val="auto"/>
          <w:lang w:eastAsia="zh-CN"/>
        </w:rPr>
        <w:t>”</w:t>
      </w:r>
      <w:r>
        <w:rPr>
          <w:rFonts w:hint="default" w:ascii="Times New Roman" w:hAnsi="Times New Roman" w:cs="Times New Roman"/>
          <w:color w:val="auto"/>
        </w:rPr>
        <w:t>一是沿瓦窑路南北向的以工业园为行政办公为中心，串接商业金融中心，形成一条功能发展轴。二是沿工业大道东西向的由西向东连接公交客运中心—商业金融中心，形成一条功能发展轴。</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rPr>
        <w:t>三片</w:t>
      </w:r>
      <w:r>
        <w:rPr>
          <w:rFonts w:hint="default" w:ascii="Times New Roman" w:hAnsi="Times New Roman" w:cs="Times New Roman"/>
          <w:color w:val="auto"/>
          <w:lang w:eastAsia="zh-CN"/>
        </w:rPr>
        <w:t>”</w:t>
      </w:r>
      <w:r>
        <w:rPr>
          <w:rFonts w:hint="default" w:ascii="Times New Roman" w:hAnsi="Times New Roman" w:cs="Times New Roman"/>
          <w:color w:val="auto"/>
        </w:rPr>
        <w:t>依次为</w:t>
      </w:r>
      <w:r>
        <w:rPr>
          <w:rFonts w:hint="default" w:ascii="Times New Roman" w:hAnsi="Times New Roman" w:cs="Times New Roman"/>
          <w:color w:val="auto"/>
          <w:lang w:eastAsia="zh-CN"/>
        </w:rPr>
        <w:t>“</w:t>
      </w:r>
      <w:r>
        <w:rPr>
          <w:rFonts w:hint="default" w:ascii="Times New Roman" w:hAnsi="Times New Roman" w:cs="Times New Roman"/>
          <w:color w:val="auto"/>
        </w:rPr>
        <w:t>特色公园片</w:t>
      </w:r>
      <w:r>
        <w:rPr>
          <w:rFonts w:hint="default" w:ascii="Times New Roman" w:hAnsi="Times New Roman" w:cs="Times New Roman"/>
          <w:color w:val="auto"/>
          <w:lang w:eastAsia="zh-CN"/>
        </w:rPr>
        <w:t>”</w:t>
      </w:r>
      <w:r>
        <w:rPr>
          <w:rFonts w:hint="default" w:ascii="Times New Roman" w:hAnsi="Times New Roman" w:cs="Times New Roman"/>
          <w:color w:val="auto"/>
        </w:rPr>
        <w:t>、</w:t>
      </w:r>
      <w:r>
        <w:rPr>
          <w:rFonts w:hint="default" w:ascii="Times New Roman" w:hAnsi="Times New Roman" w:cs="Times New Roman"/>
          <w:color w:val="auto"/>
          <w:lang w:eastAsia="zh-CN"/>
        </w:rPr>
        <w:t>“</w:t>
      </w:r>
      <w:r>
        <w:rPr>
          <w:rFonts w:hint="default" w:ascii="Times New Roman" w:hAnsi="Times New Roman" w:cs="Times New Roman"/>
          <w:color w:val="auto"/>
        </w:rPr>
        <w:t>行政办公片</w:t>
      </w:r>
      <w:r>
        <w:rPr>
          <w:rFonts w:hint="default" w:ascii="Times New Roman" w:hAnsi="Times New Roman" w:cs="Times New Roman"/>
          <w:color w:val="auto"/>
          <w:lang w:eastAsia="zh-CN"/>
        </w:rPr>
        <w:t>”</w:t>
      </w:r>
      <w:r>
        <w:rPr>
          <w:rFonts w:hint="default" w:ascii="Times New Roman" w:hAnsi="Times New Roman" w:cs="Times New Roman"/>
          <w:color w:val="auto"/>
        </w:rPr>
        <w:t>、</w:t>
      </w:r>
      <w:r>
        <w:rPr>
          <w:rFonts w:hint="default" w:ascii="Times New Roman" w:hAnsi="Times New Roman" w:cs="Times New Roman"/>
          <w:color w:val="auto"/>
          <w:lang w:eastAsia="zh-CN"/>
        </w:rPr>
        <w:t>“</w:t>
      </w:r>
      <w:r>
        <w:rPr>
          <w:rFonts w:hint="default" w:ascii="Times New Roman" w:hAnsi="Times New Roman" w:cs="Times New Roman"/>
          <w:color w:val="auto"/>
        </w:rPr>
        <w:t>产业发展片区</w:t>
      </w:r>
      <w:r>
        <w:rPr>
          <w:rFonts w:hint="default" w:ascii="Times New Roman" w:hAnsi="Times New Roman" w:cs="Times New Roman"/>
          <w:color w:val="auto"/>
          <w:lang w:eastAsia="zh-CN"/>
        </w:rPr>
        <w:t>”</w:t>
      </w:r>
      <w:r>
        <w:rPr>
          <w:rFonts w:hint="default" w:ascii="Times New Roman" w:hAnsi="Times New Roman" w:cs="Times New Roman"/>
          <w:color w:val="auto"/>
        </w:rPr>
        <w:t>。</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rPr>
        <w:t>特色公园片</w:t>
      </w:r>
      <w:r>
        <w:rPr>
          <w:rFonts w:hint="default" w:ascii="Times New Roman" w:hAnsi="Times New Roman" w:cs="Times New Roman"/>
          <w:color w:val="auto"/>
          <w:lang w:eastAsia="zh-CN"/>
        </w:rPr>
        <w:t>”</w:t>
      </w:r>
      <w:r>
        <w:rPr>
          <w:rFonts w:hint="default" w:ascii="Times New Roman" w:hAnsi="Times New Roman" w:cs="Times New Roman"/>
          <w:color w:val="auto"/>
        </w:rPr>
        <w:t>是指杨家垄路西岸，松杨湖两侧的地段。主要完成对周边用地的整合，整治公园的外部环境，并加强与松杨湖之间的联系，在整个地段形成以花卉观赏为主体的特色公园片。</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rPr>
        <w:t>行政办公片</w:t>
      </w:r>
      <w:r>
        <w:rPr>
          <w:rFonts w:hint="default" w:ascii="Times New Roman" w:hAnsi="Times New Roman" w:cs="Times New Roman"/>
          <w:color w:val="auto"/>
          <w:lang w:eastAsia="zh-CN"/>
        </w:rPr>
        <w:t>”</w:t>
      </w:r>
      <w:r>
        <w:rPr>
          <w:rFonts w:hint="default" w:ascii="Times New Roman" w:hAnsi="Times New Roman" w:cs="Times New Roman"/>
          <w:color w:val="auto"/>
        </w:rPr>
        <w:t>是指工业大道两侧之间的地段，规划工业园区管委会办公区、邮电、海关大楼等多处办公机构。</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rPr>
        <w:t>产业发展片区</w:t>
      </w:r>
      <w:r>
        <w:rPr>
          <w:rFonts w:hint="default" w:ascii="Times New Roman" w:hAnsi="Times New Roman" w:cs="Times New Roman"/>
          <w:color w:val="auto"/>
          <w:lang w:eastAsia="zh-CN"/>
        </w:rPr>
        <w:t>”</w:t>
      </w:r>
      <w:r>
        <w:rPr>
          <w:rFonts w:hint="default" w:ascii="Times New Roman" w:hAnsi="Times New Roman" w:cs="Times New Roman"/>
          <w:color w:val="auto"/>
        </w:rPr>
        <w:t>一是结合现有入园企业布局和产业调整布置的可持续发展的产业发展片区。二是工业大道以北，规划布置以产业深加工的一类工业，对松杨湖水质和下游居住区产生较小影响。</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项目处于云溪—路口工业区范围内，是《岳阳市城市总体规划》（2008</w:t>
      </w:r>
      <w:r>
        <w:rPr>
          <w:rFonts w:hint="default" w:ascii="Times New Roman" w:hAnsi="Times New Roman" w:cs="Times New Roman"/>
          <w:color w:val="auto"/>
          <w:lang w:eastAsia="zh-CN"/>
        </w:rPr>
        <w:t>~</w:t>
      </w:r>
      <w:r>
        <w:rPr>
          <w:rFonts w:hint="default" w:ascii="Times New Roman" w:hAnsi="Times New Roman" w:cs="Times New Roman"/>
          <w:color w:val="auto"/>
        </w:rPr>
        <w:t>2030）中工业用地。</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421" w:name="_Toc1461"/>
      <w:bookmarkStart w:id="422" w:name="_Toc2591"/>
      <w:bookmarkStart w:id="423" w:name="_Toc19376"/>
      <w:bookmarkStart w:id="424" w:name="_Toc11495"/>
      <w:bookmarkStart w:id="425" w:name="_Toc15639"/>
      <w:bookmarkStart w:id="426" w:name="_Toc14421"/>
      <w:bookmarkStart w:id="427" w:name="_Toc10759"/>
      <w:bookmarkStart w:id="428" w:name="_Toc16591"/>
      <w:bookmarkStart w:id="429" w:name="_Toc18345"/>
      <w:r>
        <w:rPr>
          <w:rFonts w:hint="default" w:ascii="Times New Roman" w:hAnsi="Times New Roman" w:cs="Times New Roman"/>
          <w:color w:val="auto"/>
        </w:rPr>
        <w:t>用地布局</w:t>
      </w:r>
      <w:bookmarkEnd w:id="421"/>
      <w:bookmarkEnd w:id="422"/>
      <w:bookmarkEnd w:id="423"/>
      <w:bookmarkEnd w:id="424"/>
      <w:bookmarkEnd w:id="425"/>
      <w:bookmarkEnd w:id="426"/>
      <w:bookmarkEnd w:id="427"/>
      <w:bookmarkEnd w:id="428"/>
      <w:bookmarkEnd w:id="429"/>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云溪区工业园居住用地主要分布在联城路以南，107国道以西路段，形成组团，并配套相应的公共服务设施。居住用地占规划用地的1.13%，人均面积22.00m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规划工业园人均道路用地达到了12m</w:t>
      </w:r>
      <w:r>
        <w:rPr>
          <w:rFonts w:hint="default" w:ascii="Times New Roman" w:hAnsi="Times New Roman" w:cs="Times New Roman"/>
          <w:color w:val="auto"/>
          <w:vertAlign w:val="superscript"/>
        </w:rPr>
        <w:t>2</w:t>
      </w:r>
      <w:r>
        <w:rPr>
          <w:rFonts w:hint="default" w:ascii="Times New Roman" w:hAnsi="Times New Roman" w:cs="Times New Roman"/>
          <w:color w:val="auto"/>
        </w:rPr>
        <w:t>/人，人均绿化面积超过12m</w:t>
      </w:r>
      <w:r>
        <w:rPr>
          <w:rFonts w:hint="default" w:ascii="Times New Roman" w:hAnsi="Times New Roman" w:cs="Times New Roman"/>
          <w:color w:val="auto"/>
          <w:vertAlign w:val="superscript"/>
        </w:rPr>
        <w:t>2</w:t>
      </w:r>
      <w:r>
        <w:rPr>
          <w:rFonts w:hint="default" w:ascii="Times New Roman" w:hAnsi="Times New Roman" w:cs="Times New Roman"/>
          <w:color w:val="auto"/>
        </w:rPr>
        <w:t>/人。公共设施比例达到3.37%，人均10.93m</w:t>
      </w:r>
      <w:r>
        <w:rPr>
          <w:rFonts w:hint="default" w:ascii="Times New Roman" w:hAnsi="Times New Roman" w:cs="Times New Roman"/>
          <w:color w:val="auto"/>
          <w:vertAlign w:val="superscript"/>
        </w:rPr>
        <w:t>2</w:t>
      </w:r>
      <w:r>
        <w:rPr>
          <w:rFonts w:hint="default" w:ascii="Times New Roman" w:hAnsi="Times New Roman" w:cs="Times New Roman"/>
          <w:color w:val="auto"/>
        </w:rPr>
        <w:t>。其中商业设施用地比例为3.69%，人均5.17m</w:t>
      </w:r>
      <w:r>
        <w:rPr>
          <w:rFonts w:hint="default" w:ascii="Times New Roman" w:hAnsi="Times New Roman" w:cs="Times New Roman"/>
          <w:color w:val="auto"/>
          <w:vertAlign w:val="superscript"/>
        </w:rPr>
        <w:t>2</w:t>
      </w:r>
      <w:r>
        <w:rPr>
          <w:rFonts w:hint="default" w:ascii="Times New Roman" w:hAnsi="Times New Roman" w:cs="Times New Roman"/>
          <w:color w:val="auto"/>
        </w:rPr>
        <w:t>。规划工业园的绿地比例达到16.73%，人均绿地20.75m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430" w:name="_Toc4326"/>
      <w:bookmarkStart w:id="431" w:name="_Toc3516"/>
      <w:bookmarkStart w:id="432" w:name="_Toc1728"/>
      <w:bookmarkStart w:id="433" w:name="_Toc15888"/>
      <w:bookmarkStart w:id="434" w:name="_Toc999"/>
      <w:bookmarkStart w:id="435" w:name="_Toc6192"/>
      <w:bookmarkStart w:id="436" w:name="_Toc14626"/>
      <w:bookmarkStart w:id="437" w:name="_Toc18719"/>
      <w:bookmarkStart w:id="438" w:name="_Toc4827"/>
      <w:r>
        <w:rPr>
          <w:rFonts w:hint="default" w:ascii="Times New Roman" w:hAnsi="Times New Roman" w:cs="Times New Roman"/>
          <w:color w:val="auto"/>
        </w:rPr>
        <w:t>环境保护规划</w:t>
      </w:r>
      <w:bookmarkEnd w:id="430"/>
      <w:bookmarkEnd w:id="431"/>
      <w:bookmarkEnd w:id="432"/>
      <w:bookmarkEnd w:id="433"/>
      <w:bookmarkEnd w:id="434"/>
      <w:bookmarkEnd w:id="435"/>
      <w:bookmarkEnd w:id="436"/>
      <w:bookmarkEnd w:id="437"/>
      <w:bookmarkEnd w:id="438"/>
    </w:p>
    <w:p>
      <w:pPr>
        <w:pStyle w:val="7"/>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r>
        <w:rPr>
          <w:rFonts w:hint="default" w:ascii="Times New Roman" w:hAnsi="Times New Roman" w:cs="Times New Roman"/>
          <w:color w:val="auto"/>
        </w:rPr>
        <w:t>指导思想</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湖南岳阳绿色化工产业园云溪区工业园环境保护指导思想：以综合效益为中心，坚持经济建设、城乡建设、环境建设的同步规划、同步实施、同步发展，实现经济效益、社会效益、环境效益的统一，促进城乡生态环境的良好循环。根据这一指导思想，确定规划指导原则为：</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坚持</w:t>
      </w:r>
      <w:r>
        <w:rPr>
          <w:rFonts w:hint="default" w:ascii="Times New Roman" w:hAnsi="Times New Roman" w:cs="Times New Roman"/>
          <w:color w:val="auto"/>
          <w:lang w:eastAsia="zh-CN"/>
        </w:rPr>
        <w:t>“</w:t>
      </w:r>
      <w:r>
        <w:rPr>
          <w:rFonts w:hint="default" w:ascii="Times New Roman" w:hAnsi="Times New Roman" w:cs="Times New Roman"/>
          <w:color w:val="auto"/>
        </w:rPr>
        <w:t>预防为主、防治结合</w:t>
      </w:r>
      <w:r>
        <w:rPr>
          <w:rFonts w:hint="default" w:ascii="Times New Roman" w:hAnsi="Times New Roman" w:cs="Times New Roman"/>
          <w:color w:val="auto"/>
          <w:lang w:eastAsia="zh-CN"/>
        </w:rPr>
        <w:t>”</w:t>
      </w:r>
      <w:r>
        <w:rPr>
          <w:rFonts w:hint="default" w:ascii="Times New Roman" w:hAnsi="Times New Roman" w:cs="Times New Roman"/>
          <w:color w:val="auto"/>
        </w:rPr>
        <w:t>方针，全面规划，合理布局；</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坚持防治污染与调整产业结构、技术改造、节约资源、综合利用相结合，贯彻环境综合整治方案；坚持</w:t>
      </w:r>
      <w:r>
        <w:rPr>
          <w:rFonts w:hint="default" w:ascii="Times New Roman" w:hAnsi="Times New Roman" w:cs="Times New Roman"/>
          <w:color w:val="auto"/>
          <w:lang w:eastAsia="zh-CN"/>
        </w:rPr>
        <w:t>“</w:t>
      </w:r>
      <w:r>
        <w:rPr>
          <w:rFonts w:hint="default" w:ascii="Times New Roman" w:hAnsi="Times New Roman" w:cs="Times New Roman"/>
          <w:color w:val="auto"/>
        </w:rPr>
        <w:t>谁污染谁防治，谁开发谁保护</w:t>
      </w:r>
      <w:r>
        <w:rPr>
          <w:rFonts w:hint="default" w:ascii="Times New Roman" w:hAnsi="Times New Roman" w:cs="Times New Roman"/>
          <w:color w:val="auto"/>
          <w:lang w:eastAsia="zh-CN"/>
        </w:rPr>
        <w:t>”</w:t>
      </w:r>
      <w:r>
        <w:rPr>
          <w:rFonts w:hint="default" w:ascii="Times New Roman" w:hAnsi="Times New Roman" w:cs="Times New Roman"/>
          <w:color w:val="auto"/>
        </w:rPr>
        <w:t>和</w:t>
      </w:r>
      <w:r>
        <w:rPr>
          <w:rFonts w:hint="default" w:ascii="Times New Roman" w:hAnsi="Times New Roman" w:cs="Times New Roman"/>
          <w:color w:val="auto"/>
          <w:lang w:eastAsia="zh-CN"/>
        </w:rPr>
        <w:t>“</w:t>
      </w:r>
      <w:r>
        <w:rPr>
          <w:rFonts w:hint="default" w:ascii="Times New Roman" w:hAnsi="Times New Roman" w:cs="Times New Roman"/>
          <w:color w:val="auto"/>
        </w:rPr>
        <w:t>污染者付费</w:t>
      </w:r>
      <w:r>
        <w:rPr>
          <w:rFonts w:hint="default" w:ascii="Times New Roman" w:hAnsi="Times New Roman" w:cs="Times New Roman"/>
          <w:color w:val="auto"/>
          <w:lang w:eastAsia="zh-CN"/>
        </w:rPr>
        <w:t>”</w:t>
      </w:r>
      <w:r>
        <w:rPr>
          <w:rFonts w:hint="default" w:ascii="Times New Roman" w:hAnsi="Times New Roman" w:cs="Times New Roman"/>
          <w:color w:val="auto"/>
        </w:rPr>
        <w:t>原则，强化政府职能，加强科学管理。</w:t>
      </w:r>
    </w:p>
    <w:p>
      <w:pPr>
        <w:pStyle w:val="7"/>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r>
        <w:rPr>
          <w:rFonts w:hint="default" w:ascii="Times New Roman" w:hAnsi="Times New Roman" w:cs="Times New Roman"/>
          <w:color w:val="auto"/>
        </w:rPr>
        <w:t>规划目标</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①总体目标</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在规划期内，工业园的环境保护目标为：改变先污染后治理的经济发展模式，实行可持续发展的战略，逐步使生态系统实现良性循环。建立一个舒适宜人的自然环境，高效先进的经济环境，文明和谐的社会环境。</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规划目标（2005~2020年）：基本实现城乡环境清洁、优美、安静，生态环境呈良性循环。工业园内污染得到有效控制。区内河流水质保持洁净。大气环境质量达到二级标准，基本无噪声污染。</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②污染控制目标</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工业园废水、废气、噪声必须达到处理达标排放，固体废弃物综合利用率达到100%，生活垃圾无害化处理率达到100%。</w:t>
      </w:r>
    </w:p>
    <w:p>
      <w:pPr>
        <w:pStyle w:val="7"/>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r>
        <w:rPr>
          <w:rFonts w:hint="default" w:ascii="Times New Roman" w:hAnsi="Times New Roman" w:cs="Times New Roman"/>
          <w:color w:val="auto"/>
        </w:rPr>
        <w:t>环境保护措施</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①园区能源制度</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根据湖南省环境保护厅文件《关于岳阳市云溪工业园建设环境影响报告书的批复》湘环评[2006]62号的要求，园区采用天然气等清洁能源，不准新建燃煤锅炉。</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②水环境保护措施</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对工业主要污染源实行污水排放总量控制与浓度控制相结合的方法，使污水排放量和废物排放量控制在较低的水平。建设污水处理厂，努力提高污水处理率，避免区内水质的恶化。保护区内自然水体，严格禁止无计划占用湖泊，及时疏浚湖泊。同时结合分流制排水系统的建设逐步控制减少向自然水体的污染排放量。</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③大气环境保护措施</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严格控制区内工业企业的废气排放，提高工业园烟尘治理率，扩大烟尘达标区覆盖率。加强工业园绿化工作，重视工业园公共绿地和防护绿地的建设。</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④固体废弃物处理措施</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加强对工业有害废物的控制与管理。对村镇生活垃圾实行无害化处理，同时统一管理、统一处置，逐步建立城镇生活垃圾收集处理系统。工业园地区实行生活垃圾袋装化，由环卫部门统一清运。</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⑤声环境保护措施</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加强区域主要货运道路两侧的防护绿地建设，避免在靠近城镇居民生活的地区设置噪声污染较为严重的工业企业。对餐饮和娱乐业等产生噪声的行业进行严格管理。</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⑥农田湿地保护措施</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充分保护现有农田及湿地，发挥其生态缓冲能力及自我调控能力；保证区内各类绿地的建设实施，营造工业园良好的生态环境；严格控制对区内空地及农田的开发建设活动。</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highlight w:val="none"/>
        </w:rPr>
      </w:pPr>
      <w:bookmarkStart w:id="439" w:name="_Toc6949"/>
      <w:bookmarkStart w:id="440" w:name="_Toc12208"/>
      <w:r>
        <w:rPr>
          <w:rFonts w:hint="default" w:ascii="Times New Roman" w:hAnsi="Times New Roman" w:cs="Times New Roman"/>
          <w:color w:val="auto"/>
          <w:highlight w:val="none"/>
        </w:rPr>
        <w:t>项目周边污染源调查</w:t>
      </w:r>
      <w:bookmarkEnd w:id="439"/>
      <w:bookmarkEnd w:id="440"/>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本项目位于湖南岳阳绿色化工产业园，目前湖南岳阳绿色化工产业园入驻企业主要污染物排放情况详见下表。</w:t>
      </w:r>
    </w:p>
    <w:p>
      <w:pPr>
        <w:pStyle w:val="1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5</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云溪工业园企业主要污染物排放情况一览</w:t>
      </w:r>
      <w:r>
        <w:rPr>
          <w:rFonts w:hint="default" w:ascii="Times New Roman" w:hAnsi="Times New Roman" w:cs="Times New Roman"/>
          <w:color w:val="auto"/>
          <w:lang w:val="en-US" w:eastAsia="zh-CN"/>
        </w:rPr>
        <w:t xml:space="preserve">  单位：t/a</w:t>
      </w:r>
    </w:p>
    <w:tbl>
      <w:tblPr>
        <w:tblStyle w:val="24"/>
        <w:tblW w:w="96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7"/>
        <w:gridCol w:w="3215"/>
        <w:gridCol w:w="876"/>
        <w:gridCol w:w="874"/>
        <w:gridCol w:w="876"/>
        <w:gridCol w:w="910"/>
        <w:gridCol w:w="1075"/>
        <w:gridCol w:w="11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3215"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公司</w:t>
            </w:r>
          </w:p>
        </w:tc>
        <w:tc>
          <w:tcPr>
            <w:tcW w:w="4611" w:type="dxa"/>
            <w:gridSpan w:val="5"/>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污染物</w:t>
            </w:r>
          </w:p>
        </w:tc>
        <w:tc>
          <w:tcPr>
            <w:tcW w:w="1134"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p>
        </w:tc>
        <w:tc>
          <w:tcPr>
            <w:tcW w:w="321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二氧化硫</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氮氧化物</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VOCs</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COD</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氨氮</w:t>
            </w:r>
          </w:p>
        </w:tc>
        <w:tc>
          <w:tcPr>
            <w:tcW w:w="113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岳阳市恒顺化工科技</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4.8</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湖南鑫鹏石油化工有限公司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岳阳全盛塑胶有限公司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0.009</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岳阳金瀚高新技术</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有限责任公司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19.1</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湖南斯沃德化工有限公司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0.6757</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0.681</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0.034</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1540.4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岳阳东方雨虹防水技术</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有限责任公司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10.0283</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2.28</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0.253</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10531.34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岳阳科罗德联合化学工业</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0.48</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岳阳威索石油化工有限公司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2405.4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岳阳鼎格云天化工有限公司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17.82</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1.744</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0.0214</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0.947</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0.095</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11835.4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岳阳蓬诚科技发展有限公司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0.13</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0.018</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湖南兴发化工有限公司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16.704</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0.1584</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0.02112</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岳阳市英泰合成材料</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0.102</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8.13</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岳阳三成石化有限公司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1.353</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0.008</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湖南金溪化工有限公司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2.52</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5977.08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岳阳市云溪区道仁矶</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溶剂化工厂</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5.4</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25752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岳阳市山鹰化学工业</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0.054</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0.008</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岳阳嘉欣石化产业有限公司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6.981</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0.081</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0.008</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19229.66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岳阳康源邦尔生物技术</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有限责任公司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0.411</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0.053</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岳阳市昌环化工科技发展</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7.9504</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0.548</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0.002</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岳阳凌峰化工有限公司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4.8</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7.667</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0.143</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0.013</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10531.34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岳阳科立孚合成材料</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1.5119</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3.464</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0.334</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43700.777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岳阳市林峰锂业</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有限公司公司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0.375</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0.007</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岳阳华浩水处理有限公司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岳阳安泰起重设备有限公司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1.1088</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0.10926</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3642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岳阳恒忠新材料有限公司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0.1584</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0.02112</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岳阳市云溪区永泰</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合成聚丙烯厂</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0.2052</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0.072</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0.007</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27</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尔生化有限公司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46.5</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240.5</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11998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岳阳市金茂泰科技有限公司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5.419</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0.218</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0.021</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3650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岳阳市万隆环保科技</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0.008</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岳阳东润化工有限公司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0.32</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岳阳众兴化工有限公司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0.008</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岳阳中展科技有限公司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0.04</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0.04</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13988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33</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岳阳凯达科技开发</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有限责任公司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8.44</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0.522</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岳阳市格瑞科技有限公司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0.12</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0.065</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岳阳聚成化工有限公司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0.0315</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36</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岳阳森科化工有限公司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1.994</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0.912t</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0.0006</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37</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岳阳长旺化工有限公司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2.62</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0.008</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湖南德邦石油化工有限公司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2.43</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39</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岳阳市九原复合材料</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0.018</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岳阳长源石化有限公司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122.4</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14.7</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0.1146</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岳阳市磊鑫化工有限公司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1.19</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0.15</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7699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42</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岳阳成成油化科技有限公司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2.04</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1.22</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岳阳普拉玛化工有限公司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14.4</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0.9</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39948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44</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岳阳亚王精细化工有限公司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湖南农大海特农化有限公司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0.015</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0.05</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0.04</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46</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湖南龙宇化学工业有限公司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2.08</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6837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岳阳中科华昂精细化工</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科技有限公司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71043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48</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岳阳科苑新型材料有限公司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0.57</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0.18</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38076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49</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湖南云峰科技有限公司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6.26</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湖南聚仁化工新材料科技</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73123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51</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岳阳市润德化工化纤</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11230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52</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湖南众普化工新材料科技</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中国石化催化剂有限公司</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长岭分公司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0.35</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4.8</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332000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54</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岳阳湘茂医药化工有限公司云溪分公司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0.46</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13931.03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岳阳华润燃气有限公司</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云溪分公司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56</w:t>
            </w:r>
          </w:p>
        </w:tc>
        <w:tc>
          <w:tcPr>
            <w:tcW w:w="32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岳阳铂盛热力服务有限公司</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52" w:type="dxa"/>
            <w:gridSpan w:val="2"/>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218.146</w:t>
            </w:r>
          </w:p>
        </w:tc>
        <w:tc>
          <w:tcPr>
            <w:tcW w:w="8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39.384</w:t>
            </w:r>
          </w:p>
        </w:tc>
        <w:tc>
          <w:tcPr>
            <w:tcW w:w="876"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69.528</w:t>
            </w:r>
          </w:p>
        </w:tc>
        <w:tc>
          <w:tcPr>
            <w:tcW w:w="9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482.9306</w:t>
            </w:r>
          </w:p>
        </w:tc>
        <w:tc>
          <w:tcPr>
            <w:tcW w:w="10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20.8635</w:t>
            </w:r>
          </w:p>
        </w:tc>
        <w:tc>
          <w:tcPr>
            <w:tcW w:w="113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1023755.427</w:t>
            </w:r>
          </w:p>
        </w:tc>
      </w:tr>
    </w:tbl>
    <w:p>
      <w:pPr>
        <w:pStyle w:val="39"/>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color w:val="auto"/>
        </w:rPr>
      </w:pPr>
      <w:r>
        <w:rPr>
          <w:rFonts w:hint="default" w:ascii="Times New Roman" w:hAnsi="Times New Roman" w:cs="Times New Roman"/>
          <w:color w:val="auto"/>
        </w:rPr>
        <w:t>根据目前岳阳绿色化工产业园各个企业的排污情况看，整个园区废气、固体废物的产量较大，污水中COD、SS等污染物因子浓度较高，但各厂通过相应的污染防治措施和园区的污水处理厂处理后，污染物基本能达标排放。</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根据《环境影响评价技术导则 地表水环境》（HJ2.3-2018），第6.6.2.1条，水污染影响三级B评价，可不开展区域污染源调查。</w:t>
      </w:r>
    </w:p>
    <w:p>
      <w:pPr>
        <w:pStyle w:val="4"/>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rPr>
      </w:pPr>
      <w:bookmarkStart w:id="441" w:name="_bookmark23"/>
      <w:bookmarkEnd w:id="441"/>
      <w:bookmarkStart w:id="442" w:name="_Toc30328"/>
      <w:bookmarkStart w:id="443" w:name="_Toc11554"/>
      <w:r>
        <w:rPr>
          <w:rFonts w:hint="default" w:ascii="Times New Roman" w:hAnsi="Times New Roman" w:cs="Times New Roman"/>
          <w:color w:val="auto"/>
        </w:rPr>
        <w:t>环境空气质量现状调查与评价</w:t>
      </w:r>
      <w:bookmarkEnd w:id="442"/>
      <w:bookmarkEnd w:id="443"/>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rPr>
      </w:pPr>
      <w:bookmarkStart w:id="444" w:name="_Toc2918"/>
      <w:r>
        <w:rPr>
          <w:rFonts w:hint="default" w:ascii="Times New Roman" w:hAnsi="Times New Roman" w:cs="Times New Roman"/>
          <w:color w:val="auto"/>
        </w:rPr>
        <w:t>空气质量达标区判定</w:t>
      </w:r>
      <w:bookmarkEnd w:id="444"/>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根据《环境影响评价技术导则 大气环境》(HJ2.2-2018)中二级项目需调查项目所在区域环境质量达标情况，采用评价范围内国家或地方环境空气质量监测网中评价基准年连续一年的监测数据。</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本项目位于岳阳市云溪区，项目所在区域的环境空气质量达标判断数据引用云溪区生态环境局发布的《云溪区环境空气质量指数统计表(2019年)》，数据如</w:t>
      </w: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REF _Ref18751 \h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lang w:val="en-US" w:eastAsia="zh-CN"/>
        </w:rPr>
        <w:t xml:space="preserve">表 </w:t>
      </w: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STYLEREF 1 \s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lang w:val="en-US" w:eastAsia="zh-CN"/>
        </w:rPr>
        <w:t>5</w:t>
      </w:r>
      <w:r>
        <w:rPr>
          <w:rFonts w:hint="default" w:ascii="Times New Roman" w:hAnsi="Times New Roman" w:cs="Times New Roman"/>
          <w:color w:val="auto"/>
          <w:lang w:val="en-US" w:eastAsia="zh-CN"/>
        </w:rPr>
        <w:fldChar w:fldCharType="end"/>
      </w:r>
      <w:r>
        <w:rPr>
          <w:rFonts w:hint="default" w:ascii="Times New Roman" w:hAnsi="Times New Roman" w:cs="Times New Roman"/>
          <w:color w:val="auto"/>
          <w:lang w:val="en-US" w:eastAsia="zh-CN"/>
        </w:rPr>
        <w:t>-2</w:t>
      </w:r>
      <w:r>
        <w:rPr>
          <w:rFonts w:hint="default" w:ascii="Times New Roman" w:hAnsi="Times New Roman" w:cs="Times New Roman"/>
          <w:color w:val="auto"/>
          <w:lang w:val="en-US" w:eastAsia="zh-CN"/>
        </w:rPr>
        <w:fldChar w:fldCharType="end"/>
      </w:r>
      <w:r>
        <w:rPr>
          <w:rFonts w:hint="default" w:ascii="Times New Roman" w:hAnsi="Times New Roman" w:cs="Times New Roman"/>
          <w:color w:val="auto"/>
          <w:lang w:val="en-US" w:eastAsia="zh-CN"/>
        </w:rPr>
        <w:t>所示：</w:t>
      </w:r>
    </w:p>
    <w:p>
      <w:pPr>
        <w:pStyle w:val="14"/>
        <w:bidi w:val="0"/>
        <w:rPr>
          <w:rFonts w:hint="default" w:ascii="Times New Roman" w:hAnsi="Times New Roman" w:cs="Times New Roman"/>
          <w:color w:val="auto"/>
        </w:rPr>
      </w:pPr>
    </w:p>
    <w:p>
      <w:pPr>
        <w:pStyle w:val="14"/>
        <w:bidi w:val="0"/>
        <w:rPr>
          <w:rFonts w:hint="default" w:ascii="Times New Roman" w:hAnsi="Times New Roman" w:cs="Times New Roman"/>
          <w:color w:val="auto"/>
        </w:rPr>
      </w:pPr>
    </w:p>
    <w:p>
      <w:pPr>
        <w:pStyle w:val="14"/>
        <w:bidi w:val="0"/>
        <w:rPr>
          <w:rFonts w:hint="default" w:ascii="Times New Roman" w:hAnsi="Times New Roman" w:cs="Times New Roman"/>
          <w:color w:val="auto"/>
        </w:rPr>
      </w:pPr>
    </w:p>
    <w:p>
      <w:pPr>
        <w:pStyle w:val="14"/>
        <w:bidi w:val="0"/>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5</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b/>
          <w:color w:val="auto"/>
          <w:kern w:val="2"/>
          <w:sz w:val="21"/>
          <w:szCs w:val="21"/>
          <w:lang w:val="en-US" w:eastAsia="zh-CN" w:bidi="ar-SA"/>
        </w:rPr>
        <w:t>云溪区</w:t>
      </w:r>
      <w:r>
        <w:rPr>
          <w:rFonts w:hint="default" w:ascii="Times New Roman" w:hAnsi="Times New Roman" w:eastAsia="宋体" w:cs="Times New Roman"/>
          <w:b/>
          <w:color w:val="auto"/>
          <w:kern w:val="2"/>
          <w:sz w:val="21"/>
          <w:szCs w:val="21"/>
          <w:lang w:val="en-US" w:eastAsia="zh-CN" w:bidi="ar-SA"/>
        </w:rPr>
        <w:t>生态环境局监测站2019年空气质量指数统计表</w:t>
      </w:r>
    </w:p>
    <w:tbl>
      <w:tblPr>
        <w:tblStyle w:val="24"/>
        <w:tblW w:w="922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1042"/>
        <w:gridCol w:w="971"/>
        <w:gridCol w:w="569"/>
        <w:gridCol w:w="624"/>
        <w:gridCol w:w="624"/>
        <w:gridCol w:w="624"/>
        <w:gridCol w:w="624"/>
        <w:gridCol w:w="624"/>
        <w:gridCol w:w="680"/>
        <w:gridCol w:w="624"/>
        <w:gridCol w:w="794"/>
        <w:gridCol w:w="522"/>
        <w:gridCol w:w="90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042"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97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统计</w:t>
            </w:r>
          </w:p>
        </w:tc>
        <w:tc>
          <w:tcPr>
            <w:tcW w:w="569"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实测天数</w:t>
            </w:r>
          </w:p>
        </w:tc>
        <w:tc>
          <w:tcPr>
            <w:tcW w:w="3800" w:type="dxa"/>
            <w:gridSpan w:val="6"/>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污染物日均值浓度月平均（μg/m³）</w:t>
            </w:r>
          </w:p>
        </w:tc>
        <w:tc>
          <w:tcPr>
            <w:tcW w:w="624"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AQI</w:t>
            </w:r>
          </w:p>
        </w:tc>
        <w:tc>
          <w:tcPr>
            <w:tcW w:w="794"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首要污染物</w:t>
            </w:r>
          </w:p>
        </w:tc>
        <w:tc>
          <w:tcPr>
            <w:tcW w:w="522"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优良天数</w:t>
            </w:r>
          </w:p>
        </w:tc>
        <w:tc>
          <w:tcPr>
            <w:tcW w:w="906"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优良率</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04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97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时间</w:t>
            </w:r>
          </w:p>
        </w:tc>
        <w:tc>
          <w:tcPr>
            <w:tcW w:w="569"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SO</w:t>
            </w:r>
            <w:r>
              <w:rPr>
                <w:rFonts w:hint="default" w:ascii="Times New Roman" w:hAnsi="Times New Roman" w:eastAsia="宋体" w:cs="Times New Roman"/>
                <w:color w:val="auto"/>
                <w:kern w:val="2"/>
                <w:sz w:val="21"/>
                <w:szCs w:val="21"/>
                <w:vertAlign w:val="subscript"/>
                <w:lang w:val="en-US" w:eastAsia="zh-CN" w:bidi="ar-SA"/>
              </w:rPr>
              <w:t>2</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NO</w:t>
            </w:r>
            <w:r>
              <w:rPr>
                <w:rFonts w:hint="default" w:ascii="Times New Roman" w:hAnsi="Times New Roman" w:eastAsia="宋体" w:cs="Times New Roman"/>
                <w:color w:val="auto"/>
                <w:kern w:val="2"/>
                <w:sz w:val="21"/>
                <w:szCs w:val="21"/>
                <w:vertAlign w:val="subscript"/>
                <w:lang w:val="en-US" w:eastAsia="zh-CN" w:bidi="ar-SA"/>
              </w:rPr>
              <w:t>2</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PM</w:t>
            </w:r>
            <w:r>
              <w:rPr>
                <w:rFonts w:hint="default" w:ascii="Times New Roman" w:hAnsi="Times New Roman" w:eastAsia="宋体" w:cs="Times New Roman"/>
                <w:color w:val="auto"/>
                <w:kern w:val="2"/>
                <w:sz w:val="21"/>
                <w:szCs w:val="21"/>
                <w:vertAlign w:val="subscript"/>
                <w:lang w:val="en-US" w:eastAsia="zh-CN" w:bidi="ar-SA"/>
              </w:rPr>
              <w:t>10</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CO</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O</w:t>
            </w:r>
            <w:r>
              <w:rPr>
                <w:rFonts w:hint="default" w:ascii="Times New Roman" w:hAnsi="Times New Roman" w:eastAsia="宋体" w:cs="Times New Roman"/>
                <w:color w:val="auto"/>
                <w:kern w:val="2"/>
                <w:sz w:val="21"/>
                <w:szCs w:val="21"/>
                <w:vertAlign w:val="subscript"/>
                <w:lang w:val="en-US" w:eastAsia="zh-CN" w:bidi="ar-SA"/>
              </w:rPr>
              <w:t>3</w:t>
            </w:r>
          </w:p>
        </w:tc>
        <w:tc>
          <w:tcPr>
            <w:tcW w:w="6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PM</w:t>
            </w:r>
            <w:r>
              <w:rPr>
                <w:rFonts w:hint="default" w:ascii="Times New Roman" w:hAnsi="Times New Roman" w:eastAsia="宋体" w:cs="Times New Roman"/>
                <w:color w:val="auto"/>
                <w:kern w:val="2"/>
                <w:sz w:val="21"/>
                <w:szCs w:val="21"/>
                <w:vertAlign w:val="subscript"/>
                <w:lang w:val="en-US" w:eastAsia="zh-CN" w:bidi="ar-SA"/>
              </w:rPr>
              <w:t>2.5</w:t>
            </w:r>
          </w:p>
        </w:tc>
        <w:tc>
          <w:tcPr>
            <w:tcW w:w="624"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794"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52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906"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042"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云溪区生态环境局</w:t>
            </w:r>
          </w:p>
        </w:tc>
        <w:tc>
          <w:tcPr>
            <w:tcW w:w="97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1月</w:t>
            </w:r>
          </w:p>
        </w:tc>
        <w:tc>
          <w:tcPr>
            <w:tcW w:w="56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31</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33</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84</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53</w:t>
            </w:r>
          </w:p>
        </w:tc>
        <w:tc>
          <w:tcPr>
            <w:tcW w:w="6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71</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95</w:t>
            </w:r>
          </w:p>
        </w:tc>
        <w:tc>
          <w:tcPr>
            <w:tcW w:w="79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PM</w:t>
            </w:r>
            <w:r>
              <w:rPr>
                <w:rFonts w:hint="default" w:ascii="Times New Roman" w:hAnsi="Times New Roman" w:eastAsia="宋体" w:cs="Times New Roman"/>
                <w:color w:val="auto"/>
                <w:kern w:val="2"/>
                <w:sz w:val="21"/>
                <w:szCs w:val="21"/>
                <w:vertAlign w:val="subscript"/>
                <w:lang w:val="en-US" w:eastAsia="zh-CN" w:bidi="ar-SA"/>
              </w:rPr>
              <w:t>2.5</w:t>
            </w:r>
          </w:p>
        </w:tc>
        <w:tc>
          <w:tcPr>
            <w:tcW w:w="5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18</w:t>
            </w:r>
          </w:p>
        </w:tc>
        <w:tc>
          <w:tcPr>
            <w:tcW w:w="90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58.1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04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97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2月</w:t>
            </w:r>
          </w:p>
        </w:tc>
        <w:tc>
          <w:tcPr>
            <w:tcW w:w="56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28</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18</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54</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14</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52</w:t>
            </w:r>
          </w:p>
        </w:tc>
        <w:tc>
          <w:tcPr>
            <w:tcW w:w="6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44</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61</w:t>
            </w:r>
          </w:p>
        </w:tc>
        <w:tc>
          <w:tcPr>
            <w:tcW w:w="79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PM</w:t>
            </w:r>
            <w:r>
              <w:rPr>
                <w:rFonts w:hint="default" w:ascii="Times New Roman" w:hAnsi="Times New Roman" w:eastAsia="宋体" w:cs="Times New Roman"/>
                <w:color w:val="auto"/>
                <w:kern w:val="2"/>
                <w:sz w:val="21"/>
                <w:szCs w:val="21"/>
                <w:vertAlign w:val="subscript"/>
                <w:lang w:val="en-US" w:eastAsia="zh-CN" w:bidi="ar-SA"/>
              </w:rPr>
              <w:t>2.5</w:t>
            </w:r>
          </w:p>
        </w:tc>
        <w:tc>
          <w:tcPr>
            <w:tcW w:w="5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26</w:t>
            </w:r>
          </w:p>
        </w:tc>
        <w:tc>
          <w:tcPr>
            <w:tcW w:w="90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92.9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04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97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3月</w:t>
            </w:r>
          </w:p>
        </w:tc>
        <w:tc>
          <w:tcPr>
            <w:tcW w:w="56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31</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27</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39</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89</w:t>
            </w:r>
          </w:p>
        </w:tc>
        <w:tc>
          <w:tcPr>
            <w:tcW w:w="6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30</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70</w:t>
            </w:r>
          </w:p>
        </w:tc>
        <w:tc>
          <w:tcPr>
            <w:tcW w:w="79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5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31</w:t>
            </w:r>
          </w:p>
        </w:tc>
        <w:tc>
          <w:tcPr>
            <w:tcW w:w="90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04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97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4月</w:t>
            </w:r>
          </w:p>
        </w:tc>
        <w:tc>
          <w:tcPr>
            <w:tcW w:w="56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30</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21</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47</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95</w:t>
            </w:r>
          </w:p>
        </w:tc>
        <w:tc>
          <w:tcPr>
            <w:tcW w:w="6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34</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77</w:t>
            </w:r>
          </w:p>
        </w:tc>
        <w:tc>
          <w:tcPr>
            <w:tcW w:w="79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O</w:t>
            </w:r>
            <w:r>
              <w:rPr>
                <w:rFonts w:hint="default" w:ascii="Times New Roman" w:hAnsi="Times New Roman" w:eastAsia="宋体" w:cs="Times New Roman"/>
                <w:color w:val="auto"/>
                <w:kern w:val="2"/>
                <w:sz w:val="21"/>
                <w:szCs w:val="21"/>
                <w:vertAlign w:val="subscript"/>
                <w:lang w:val="en-US" w:eastAsia="zh-CN" w:bidi="ar-SA"/>
              </w:rPr>
              <w:t>3</w:t>
            </w:r>
          </w:p>
        </w:tc>
        <w:tc>
          <w:tcPr>
            <w:tcW w:w="5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29</w:t>
            </w:r>
          </w:p>
        </w:tc>
        <w:tc>
          <w:tcPr>
            <w:tcW w:w="90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04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97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5月</w:t>
            </w:r>
          </w:p>
        </w:tc>
        <w:tc>
          <w:tcPr>
            <w:tcW w:w="56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31</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19</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55</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104</w:t>
            </w:r>
          </w:p>
        </w:tc>
        <w:tc>
          <w:tcPr>
            <w:tcW w:w="6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36</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56</w:t>
            </w:r>
          </w:p>
        </w:tc>
        <w:tc>
          <w:tcPr>
            <w:tcW w:w="79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O</w:t>
            </w:r>
            <w:r>
              <w:rPr>
                <w:rFonts w:hint="default" w:ascii="Times New Roman" w:hAnsi="Times New Roman" w:eastAsia="宋体" w:cs="Times New Roman"/>
                <w:color w:val="auto"/>
                <w:kern w:val="2"/>
                <w:sz w:val="21"/>
                <w:szCs w:val="21"/>
                <w:vertAlign w:val="subscript"/>
                <w:lang w:val="en-US" w:eastAsia="zh-CN" w:bidi="ar-SA"/>
              </w:rPr>
              <w:t>3</w:t>
            </w:r>
          </w:p>
        </w:tc>
        <w:tc>
          <w:tcPr>
            <w:tcW w:w="5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29</w:t>
            </w:r>
          </w:p>
        </w:tc>
        <w:tc>
          <w:tcPr>
            <w:tcW w:w="90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04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97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6月</w:t>
            </w:r>
          </w:p>
        </w:tc>
        <w:tc>
          <w:tcPr>
            <w:tcW w:w="56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30</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31</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0.5</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107</w:t>
            </w:r>
          </w:p>
        </w:tc>
        <w:tc>
          <w:tcPr>
            <w:tcW w:w="6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24</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56</w:t>
            </w:r>
          </w:p>
        </w:tc>
        <w:tc>
          <w:tcPr>
            <w:tcW w:w="79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5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30</w:t>
            </w:r>
          </w:p>
        </w:tc>
        <w:tc>
          <w:tcPr>
            <w:tcW w:w="90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04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97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7月</w:t>
            </w:r>
          </w:p>
        </w:tc>
        <w:tc>
          <w:tcPr>
            <w:tcW w:w="56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31</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13</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31</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0.8</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108</w:t>
            </w:r>
          </w:p>
        </w:tc>
        <w:tc>
          <w:tcPr>
            <w:tcW w:w="6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25</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57</w:t>
            </w:r>
          </w:p>
        </w:tc>
        <w:tc>
          <w:tcPr>
            <w:tcW w:w="79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O</w:t>
            </w:r>
            <w:r>
              <w:rPr>
                <w:rFonts w:hint="default" w:ascii="Times New Roman" w:hAnsi="Times New Roman" w:eastAsia="宋体" w:cs="Times New Roman"/>
                <w:color w:val="auto"/>
                <w:kern w:val="2"/>
                <w:sz w:val="21"/>
                <w:szCs w:val="21"/>
                <w:vertAlign w:val="subscript"/>
                <w:lang w:val="en-US" w:eastAsia="zh-CN" w:bidi="ar-SA"/>
              </w:rPr>
              <w:t>3</w:t>
            </w:r>
          </w:p>
        </w:tc>
        <w:tc>
          <w:tcPr>
            <w:tcW w:w="5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30</w:t>
            </w:r>
          </w:p>
        </w:tc>
        <w:tc>
          <w:tcPr>
            <w:tcW w:w="90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04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97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8月</w:t>
            </w:r>
          </w:p>
        </w:tc>
        <w:tc>
          <w:tcPr>
            <w:tcW w:w="56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31</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13</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43</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137</w:t>
            </w:r>
          </w:p>
        </w:tc>
        <w:tc>
          <w:tcPr>
            <w:tcW w:w="6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35</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81</w:t>
            </w:r>
          </w:p>
        </w:tc>
        <w:tc>
          <w:tcPr>
            <w:tcW w:w="79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O</w:t>
            </w:r>
            <w:r>
              <w:rPr>
                <w:rFonts w:hint="default" w:ascii="Times New Roman" w:hAnsi="Times New Roman" w:eastAsia="宋体" w:cs="Times New Roman"/>
                <w:color w:val="auto"/>
                <w:kern w:val="2"/>
                <w:sz w:val="21"/>
                <w:szCs w:val="21"/>
                <w:vertAlign w:val="subscript"/>
                <w:lang w:val="en-US" w:eastAsia="zh-CN" w:bidi="ar-SA"/>
              </w:rPr>
              <w:t>3</w:t>
            </w:r>
          </w:p>
        </w:tc>
        <w:tc>
          <w:tcPr>
            <w:tcW w:w="5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29</w:t>
            </w:r>
          </w:p>
        </w:tc>
        <w:tc>
          <w:tcPr>
            <w:tcW w:w="90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04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97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9月</w:t>
            </w:r>
          </w:p>
        </w:tc>
        <w:tc>
          <w:tcPr>
            <w:tcW w:w="56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30</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18</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51</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0.9</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161</w:t>
            </w:r>
          </w:p>
        </w:tc>
        <w:tc>
          <w:tcPr>
            <w:tcW w:w="6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39</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101</w:t>
            </w:r>
          </w:p>
        </w:tc>
        <w:tc>
          <w:tcPr>
            <w:tcW w:w="79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O</w:t>
            </w:r>
            <w:r>
              <w:rPr>
                <w:rFonts w:hint="default" w:ascii="Times New Roman" w:hAnsi="Times New Roman" w:eastAsia="宋体" w:cs="Times New Roman"/>
                <w:color w:val="auto"/>
                <w:kern w:val="2"/>
                <w:sz w:val="21"/>
                <w:szCs w:val="21"/>
                <w:vertAlign w:val="subscript"/>
                <w:lang w:val="en-US" w:eastAsia="zh-CN" w:bidi="ar-SA"/>
              </w:rPr>
              <w:t>3</w:t>
            </w:r>
          </w:p>
        </w:tc>
        <w:tc>
          <w:tcPr>
            <w:tcW w:w="5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24</w:t>
            </w:r>
          </w:p>
        </w:tc>
        <w:tc>
          <w:tcPr>
            <w:tcW w:w="90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04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97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10月</w:t>
            </w:r>
          </w:p>
        </w:tc>
        <w:tc>
          <w:tcPr>
            <w:tcW w:w="56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27</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26</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50</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139</w:t>
            </w:r>
          </w:p>
        </w:tc>
        <w:tc>
          <w:tcPr>
            <w:tcW w:w="6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38</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83</w:t>
            </w:r>
          </w:p>
        </w:tc>
        <w:tc>
          <w:tcPr>
            <w:tcW w:w="79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O</w:t>
            </w:r>
            <w:r>
              <w:rPr>
                <w:rFonts w:hint="default" w:ascii="Times New Roman" w:hAnsi="Times New Roman" w:eastAsia="宋体" w:cs="Times New Roman"/>
                <w:color w:val="auto"/>
                <w:kern w:val="2"/>
                <w:sz w:val="21"/>
                <w:szCs w:val="21"/>
                <w:vertAlign w:val="subscript"/>
                <w:lang w:val="en-US" w:eastAsia="zh-CN" w:bidi="ar-SA"/>
              </w:rPr>
              <w:t>3</w:t>
            </w:r>
          </w:p>
        </w:tc>
        <w:tc>
          <w:tcPr>
            <w:tcW w:w="5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29</w:t>
            </w:r>
          </w:p>
        </w:tc>
        <w:tc>
          <w:tcPr>
            <w:tcW w:w="90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04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97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11月</w:t>
            </w:r>
          </w:p>
        </w:tc>
        <w:tc>
          <w:tcPr>
            <w:tcW w:w="56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30</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32</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68</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125</w:t>
            </w:r>
          </w:p>
        </w:tc>
        <w:tc>
          <w:tcPr>
            <w:tcW w:w="6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47</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71</w:t>
            </w:r>
          </w:p>
        </w:tc>
        <w:tc>
          <w:tcPr>
            <w:tcW w:w="79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PM</w:t>
            </w:r>
            <w:r>
              <w:rPr>
                <w:rFonts w:hint="default" w:ascii="Times New Roman" w:hAnsi="Times New Roman" w:eastAsia="宋体" w:cs="Times New Roman"/>
                <w:color w:val="auto"/>
                <w:kern w:val="2"/>
                <w:sz w:val="21"/>
                <w:szCs w:val="21"/>
                <w:vertAlign w:val="subscript"/>
                <w:lang w:val="en-US" w:eastAsia="zh-CN" w:bidi="ar-SA"/>
              </w:rPr>
              <w:t>2.5</w:t>
            </w:r>
          </w:p>
        </w:tc>
        <w:tc>
          <w:tcPr>
            <w:tcW w:w="5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28</w:t>
            </w:r>
          </w:p>
        </w:tc>
        <w:tc>
          <w:tcPr>
            <w:tcW w:w="90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93.3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04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97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12月</w:t>
            </w:r>
          </w:p>
        </w:tc>
        <w:tc>
          <w:tcPr>
            <w:tcW w:w="56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31</w:t>
            </w:r>
          </w:p>
        </w:tc>
        <w:tc>
          <w:tcPr>
            <w:tcW w:w="624"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624"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41</w:t>
            </w:r>
          </w:p>
        </w:tc>
        <w:tc>
          <w:tcPr>
            <w:tcW w:w="624"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64</w:t>
            </w:r>
          </w:p>
        </w:tc>
        <w:tc>
          <w:tcPr>
            <w:tcW w:w="624"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0.9</w:t>
            </w:r>
          </w:p>
        </w:tc>
        <w:tc>
          <w:tcPr>
            <w:tcW w:w="624"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50</w:t>
            </w:r>
          </w:p>
        </w:tc>
        <w:tc>
          <w:tcPr>
            <w:tcW w:w="68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49</w:t>
            </w:r>
          </w:p>
        </w:tc>
        <w:tc>
          <w:tcPr>
            <w:tcW w:w="624"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68</w:t>
            </w:r>
          </w:p>
        </w:tc>
        <w:tc>
          <w:tcPr>
            <w:tcW w:w="79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PM</w:t>
            </w:r>
            <w:r>
              <w:rPr>
                <w:rFonts w:hint="default" w:ascii="Times New Roman" w:hAnsi="Times New Roman" w:eastAsia="宋体" w:cs="Times New Roman"/>
                <w:color w:val="auto"/>
                <w:kern w:val="2"/>
                <w:sz w:val="21"/>
                <w:szCs w:val="21"/>
                <w:vertAlign w:val="subscript"/>
                <w:lang w:val="en-US" w:eastAsia="zh-CN" w:bidi="ar-SA"/>
              </w:rPr>
              <w:t>2.5</w:t>
            </w:r>
          </w:p>
        </w:tc>
        <w:tc>
          <w:tcPr>
            <w:tcW w:w="5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r>
              <w:rPr>
                <w:rFonts w:hint="default" w:ascii="Times New Roman" w:hAnsi="Times New Roman" w:cs="Times New Roman"/>
                <w:color w:val="auto"/>
                <w:kern w:val="2"/>
                <w:sz w:val="21"/>
                <w:szCs w:val="21"/>
                <w:lang w:val="en-US" w:eastAsia="zh-CN" w:bidi="ar-SA"/>
              </w:rPr>
              <w:t>8</w:t>
            </w:r>
          </w:p>
        </w:tc>
        <w:tc>
          <w:tcPr>
            <w:tcW w:w="90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04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97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年均值</w:t>
            </w:r>
          </w:p>
        </w:tc>
        <w:tc>
          <w:tcPr>
            <w:tcW w:w="56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624"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5.7</w:t>
            </w:r>
          </w:p>
        </w:tc>
        <w:tc>
          <w:tcPr>
            <w:tcW w:w="624"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23</w:t>
            </w:r>
          </w:p>
        </w:tc>
        <w:tc>
          <w:tcPr>
            <w:tcW w:w="624"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51.4</w:t>
            </w:r>
          </w:p>
        </w:tc>
        <w:tc>
          <w:tcPr>
            <w:tcW w:w="624"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2.1</w:t>
            </w:r>
          </w:p>
        </w:tc>
        <w:tc>
          <w:tcPr>
            <w:tcW w:w="624"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101.7</w:t>
            </w:r>
          </w:p>
        </w:tc>
        <w:tc>
          <w:tcPr>
            <w:tcW w:w="68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39.3</w:t>
            </w:r>
          </w:p>
        </w:tc>
        <w:tc>
          <w:tcPr>
            <w:tcW w:w="624"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73</w:t>
            </w:r>
          </w:p>
        </w:tc>
        <w:tc>
          <w:tcPr>
            <w:tcW w:w="79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52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90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042"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97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合计</w:t>
            </w:r>
          </w:p>
        </w:tc>
        <w:tc>
          <w:tcPr>
            <w:tcW w:w="56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365</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6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6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79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52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331</w:t>
            </w:r>
          </w:p>
        </w:tc>
        <w:tc>
          <w:tcPr>
            <w:tcW w:w="906"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90.5</w:t>
            </w:r>
          </w:p>
        </w:tc>
      </w:tr>
    </w:tbl>
    <w:p>
      <w:pPr>
        <w:pStyle w:val="14"/>
        <w:keepNext w:val="0"/>
        <w:keepLines w:val="0"/>
        <w:pageBreakBefore w:val="0"/>
        <w:widowControl w:val="0"/>
        <w:kinsoku/>
        <w:wordWrap/>
        <w:overflowPunct/>
        <w:topLinePunct w:val="0"/>
        <w:autoSpaceDE/>
        <w:autoSpaceDN/>
        <w:bidi w:val="0"/>
        <w:adjustRightInd/>
        <w:snapToGrid/>
        <w:spacing w:before="0" w:beforeLines="100" w:line="240" w:lineRule="auto"/>
        <w:jc w:val="center"/>
        <w:textAlignment w:val="auto"/>
        <w:outlineLvl w:val="9"/>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5</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云溪区</w:t>
      </w:r>
      <w:r>
        <w:rPr>
          <w:rFonts w:hint="default" w:ascii="Times New Roman" w:hAnsi="Times New Roman" w:eastAsia="宋体" w:cs="Times New Roman"/>
          <w:b/>
          <w:color w:val="auto"/>
          <w:kern w:val="2"/>
          <w:sz w:val="21"/>
          <w:szCs w:val="21"/>
          <w:lang w:val="en-US" w:eastAsia="zh-CN" w:bidi="ar-SA"/>
        </w:rPr>
        <w:t>2019年环境空气质量评价表</w:t>
      </w:r>
    </w:p>
    <w:tbl>
      <w:tblPr>
        <w:tblStyle w:val="24"/>
        <w:tblW w:w="90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36"/>
        <w:gridCol w:w="2374"/>
        <w:gridCol w:w="1763"/>
        <w:gridCol w:w="1762"/>
        <w:gridCol w:w="15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3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污染物</w:t>
            </w:r>
          </w:p>
        </w:tc>
        <w:tc>
          <w:tcPr>
            <w:tcW w:w="23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评价指标</w:t>
            </w:r>
          </w:p>
        </w:tc>
        <w:tc>
          <w:tcPr>
            <w:tcW w:w="176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现状浓度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（μg/m³）</w:t>
            </w:r>
          </w:p>
        </w:tc>
        <w:tc>
          <w:tcPr>
            <w:tcW w:w="176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标准值</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（μg/m³）</w:t>
            </w:r>
          </w:p>
        </w:tc>
        <w:tc>
          <w:tcPr>
            <w:tcW w:w="156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53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PM</w:t>
            </w:r>
            <w:r>
              <w:rPr>
                <w:rFonts w:hint="default" w:ascii="Times New Roman" w:hAnsi="Times New Roman" w:eastAsia="宋体" w:cs="Times New Roman"/>
                <w:color w:val="auto"/>
                <w:kern w:val="2"/>
                <w:sz w:val="21"/>
                <w:szCs w:val="21"/>
                <w:vertAlign w:val="subscript"/>
                <w:lang w:val="en-US" w:eastAsia="zh-CN" w:bidi="ar-SA"/>
              </w:rPr>
              <w:t>10</w:t>
            </w:r>
          </w:p>
        </w:tc>
        <w:tc>
          <w:tcPr>
            <w:tcW w:w="23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年平均</w:t>
            </w:r>
          </w:p>
        </w:tc>
        <w:tc>
          <w:tcPr>
            <w:tcW w:w="176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51.4</w:t>
            </w:r>
          </w:p>
        </w:tc>
        <w:tc>
          <w:tcPr>
            <w:tcW w:w="176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70</w:t>
            </w:r>
          </w:p>
        </w:tc>
        <w:tc>
          <w:tcPr>
            <w:tcW w:w="156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53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PM</w:t>
            </w:r>
            <w:r>
              <w:rPr>
                <w:rFonts w:hint="default" w:ascii="Times New Roman" w:hAnsi="Times New Roman" w:eastAsia="宋体" w:cs="Times New Roman"/>
                <w:color w:val="auto"/>
                <w:kern w:val="2"/>
                <w:sz w:val="21"/>
                <w:szCs w:val="21"/>
                <w:vertAlign w:val="subscript"/>
                <w:lang w:val="en-US" w:eastAsia="zh-CN" w:bidi="ar-SA"/>
              </w:rPr>
              <w:t>2.5</w:t>
            </w:r>
          </w:p>
        </w:tc>
        <w:tc>
          <w:tcPr>
            <w:tcW w:w="23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年平均</w:t>
            </w:r>
          </w:p>
        </w:tc>
        <w:tc>
          <w:tcPr>
            <w:tcW w:w="176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39.3</w:t>
            </w:r>
          </w:p>
        </w:tc>
        <w:tc>
          <w:tcPr>
            <w:tcW w:w="176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35 </w:t>
            </w:r>
          </w:p>
        </w:tc>
        <w:tc>
          <w:tcPr>
            <w:tcW w:w="156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53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SO</w:t>
            </w:r>
            <w:r>
              <w:rPr>
                <w:rFonts w:hint="default" w:ascii="Times New Roman" w:hAnsi="Times New Roman" w:eastAsia="宋体" w:cs="Times New Roman"/>
                <w:color w:val="auto"/>
                <w:kern w:val="2"/>
                <w:sz w:val="21"/>
                <w:szCs w:val="21"/>
                <w:vertAlign w:val="subscript"/>
                <w:lang w:val="en-US" w:eastAsia="zh-CN" w:bidi="ar-SA"/>
              </w:rPr>
              <w:t>2</w:t>
            </w:r>
          </w:p>
        </w:tc>
        <w:tc>
          <w:tcPr>
            <w:tcW w:w="23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年平均</w:t>
            </w:r>
          </w:p>
        </w:tc>
        <w:tc>
          <w:tcPr>
            <w:tcW w:w="176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5.7</w:t>
            </w:r>
          </w:p>
        </w:tc>
        <w:tc>
          <w:tcPr>
            <w:tcW w:w="176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156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53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NO</w:t>
            </w:r>
            <w:r>
              <w:rPr>
                <w:rFonts w:hint="default" w:ascii="Times New Roman" w:hAnsi="Times New Roman" w:eastAsia="宋体" w:cs="Times New Roman"/>
                <w:color w:val="auto"/>
                <w:kern w:val="2"/>
                <w:sz w:val="21"/>
                <w:szCs w:val="21"/>
                <w:vertAlign w:val="subscript"/>
                <w:lang w:val="en-US" w:eastAsia="zh-CN" w:bidi="ar-SA"/>
              </w:rPr>
              <w:t>2</w:t>
            </w:r>
          </w:p>
        </w:tc>
        <w:tc>
          <w:tcPr>
            <w:tcW w:w="23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年平均</w:t>
            </w:r>
          </w:p>
        </w:tc>
        <w:tc>
          <w:tcPr>
            <w:tcW w:w="176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23</w:t>
            </w:r>
          </w:p>
        </w:tc>
        <w:tc>
          <w:tcPr>
            <w:tcW w:w="176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40</w:t>
            </w:r>
          </w:p>
        </w:tc>
        <w:tc>
          <w:tcPr>
            <w:tcW w:w="156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3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CO</w:t>
            </w:r>
          </w:p>
        </w:tc>
        <w:tc>
          <w:tcPr>
            <w:tcW w:w="23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24小时平均（第95位百分位数）</w:t>
            </w:r>
          </w:p>
        </w:tc>
        <w:tc>
          <w:tcPr>
            <w:tcW w:w="176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2100</w:t>
            </w:r>
          </w:p>
        </w:tc>
        <w:tc>
          <w:tcPr>
            <w:tcW w:w="176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4000</w:t>
            </w:r>
          </w:p>
        </w:tc>
        <w:tc>
          <w:tcPr>
            <w:tcW w:w="156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3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O</w:t>
            </w:r>
            <w:r>
              <w:rPr>
                <w:rFonts w:hint="default" w:ascii="Times New Roman" w:hAnsi="Times New Roman" w:eastAsia="宋体" w:cs="Times New Roman"/>
                <w:color w:val="auto"/>
                <w:kern w:val="2"/>
                <w:sz w:val="21"/>
                <w:szCs w:val="21"/>
                <w:vertAlign w:val="subscript"/>
                <w:lang w:val="en-US" w:eastAsia="zh-CN" w:bidi="ar-SA"/>
              </w:rPr>
              <w:t>3</w:t>
            </w:r>
          </w:p>
        </w:tc>
        <w:tc>
          <w:tcPr>
            <w:tcW w:w="23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日最大8h平均（第90位百分位数）</w:t>
            </w:r>
          </w:p>
        </w:tc>
        <w:tc>
          <w:tcPr>
            <w:tcW w:w="176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101.7</w:t>
            </w:r>
          </w:p>
        </w:tc>
        <w:tc>
          <w:tcPr>
            <w:tcW w:w="1762"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160</w:t>
            </w:r>
          </w:p>
        </w:tc>
        <w:tc>
          <w:tcPr>
            <w:tcW w:w="156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r>
    </w:tbl>
    <w:p>
      <w:pPr>
        <w:keepNext w:val="0"/>
        <w:keepLines w:val="0"/>
        <w:pageBreakBefore w:val="0"/>
        <w:widowControl w:val="0"/>
        <w:kinsoku/>
        <w:wordWrap/>
        <w:overflowPunct/>
        <w:topLinePunct w:val="0"/>
        <w:autoSpaceDE/>
        <w:autoSpaceDN/>
        <w:bidi w:val="0"/>
        <w:adjustRightInd w:val="0"/>
        <w:snapToGrid w:val="0"/>
        <w:spacing w:before="0" w:line="360" w:lineRule="auto"/>
        <w:ind w:firstLine="480" w:firstLineChars="200"/>
        <w:jc w:val="left"/>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根据《环境影响评价技术导则 大气环境》（HJ2.2-2018）6.4.1.1“城市环境空气质量达标情况评价指标为SO</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、NO</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、PM</w:t>
      </w:r>
      <w:r>
        <w:rPr>
          <w:rFonts w:hint="default" w:ascii="Times New Roman" w:hAnsi="Times New Roman" w:eastAsia="宋体" w:cs="Times New Roman"/>
          <w:color w:val="auto"/>
          <w:kern w:val="2"/>
          <w:sz w:val="24"/>
          <w:szCs w:val="24"/>
          <w:vertAlign w:val="subscript"/>
          <w:lang w:val="en-US" w:eastAsia="zh-CN" w:bidi="ar-SA"/>
        </w:rPr>
        <w:t>10</w:t>
      </w:r>
      <w:r>
        <w:rPr>
          <w:rFonts w:hint="default" w:ascii="Times New Roman" w:hAnsi="Times New Roman" w:eastAsia="宋体" w:cs="Times New Roman"/>
          <w:color w:val="auto"/>
          <w:kern w:val="2"/>
          <w:sz w:val="24"/>
          <w:szCs w:val="24"/>
          <w:lang w:val="en-US" w:eastAsia="zh-CN" w:bidi="ar-SA"/>
        </w:rPr>
        <w:t>、PM</w:t>
      </w:r>
      <w:r>
        <w:rPr>
          <w:rFonts w:hint="default" w:ascii="Times New Roman" w:hAnsi="Times New Roman" w:eastAsia="宋体" w:cs="Times New Roman"/>
          <w:color w:val="auto"/>
          <w:kern w:val="2"/>
          <w:sz w:val="24"/>
          <w:szCs w:val="24"/>
          <w:vertAlign w:val="subscript"/>
          <w:lang w:val="en-US" w:eastAsia="zh-CN" w:bidi="ar-SA"/>
        </w:rPr>
        <w:t>2.5</w:t>
      </w:r>
      <w:r>
        <w:rPr>
          <w:rFonts w:hint="default" w:ascii="Times New Roman" w:hAnsi="Times New Roman" w:eastAsia="宋体" w:cs="Times New Roman"/>
          <w:color w:val="auto"/>
          <w:kern w:val="2"/>
          <w:sz w:val="24"/>
          <w:szCs w:val="24"/>
          <w:lang w:val="en-US" w:eastAsia="zh-CN" w:bidi="ar-SA"/>
        </w:rPr>
        <w:t>、CO和O</w:t>
      </w:r>
      <w:r>
        <w:rPr>
          <w:rFonts w:hint="default" w:ascii="Times New Roman" w:hAnsi="Times New Roman" w:eastAsia="宋体" w:cs="Times New Roman"/>
          <w:color w:val="auto"/>
          <w:kern w:val="2"/>
          <w:sz w:val="24"/>
          <w:szCs w:val="24"/>
          <w:vertAlign w:val="subscript"/>
          <w:lang w:val="en-US" w:eastAsia="zh-CN" w:bidi="ar-SA"/>
        </w:rPr>
        <w:t>3</w:t>
      </w:r>
      <w:r>
        <w:rPr>
          <w:rFonts w:hint="default" w:ascii="Times New Roman" w:hAnsi="Times New Roman" w:eastAsia="宋体" w:cs="Times New Roman"/>
          <w:color w:val="auto"/>
          <w:kern w:val="2"/>
          <w:sz w:val="24"/>
          <w:szCs w:val="24"/>
          <w:lang w:val="en-US" w:eastAsia="zh-CN" w:bidi="ar-SA"/>
        </w:rPr>
        <w:t>，六项污染物全部达标即为城市环境空气质量达标”；6.4.1.3——“采用HJ663中各评价项目的年评价指标进行判定。年评价指标中的平均浓度和相应百分位数24h平均或8h平均质量浓度满足GB3095中浓度限值要求的即为达标。”</w:t>
      </w:r>
    </w:p>
    <w:p>
      <w:pPr>
        <w:pStyle w:val="2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2019年已公布的年评价指标中的平均浓度可知云溪区环境空气质量中PM2.5的年平均质量浓度为39.3μg/m³，不满足GB3095中浓度35μg/m³限值，超标倍数0.12，由此判定2019年云溪区的城市环境空气质量不达标，属于不达标区。</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根据《湖南省污染防治攻坚战三年行动计划（2018-2020年）》、《湖南省“蓝天保卫战”实施方案》（2018-2020 年）文件内容要求，湖南省人民政府持续深入开展大气污染治理，采取的主要措施如下：</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①积极推动转型升级</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a 促进产业结构调整</w:t>
      </w:r>
      <w:r>
        <w:rPr>
          <w:rFonts w:hint="default" w:ascii="Times New Roman" w:hAnsi="Times New Roman" w:cs="Times New Roman"/>
          <w:color w:val="auto"/>
          <w:lang w:eastAsia="zh-CN"/>
        </w:rPr>
        <w:t>；</w:t>
      </w:r>
      <w:r>
        <w:rPr>
          <w:rFonts w:hint="default" w:ascii="Times New Roman" w:hAnsi="Times New Roman" w:cs="Times New Roman"/>
          <w:color w:val="auto"/>
        </w:rPr>
        <w:t>b 推进</w:t>
      </w:r>
      <w:r>
        <w:rPr>
          <w:rFonts w:hint="default" w:ascii="Times New Roman" w:hAnsi="Times New Roman" w:cs="Times New Roman"/>
          <w:color w:val="auto"/>
          <w:lang w:eastAsia="zh-CN"/>
        </w:rPr>
        <w:t>“</w:t>
      </w:r>
      <w:r>
        <w:rPr>
          <w:rFonts w:hint="default" w:ascii="Times New Roman" w:hAnsi="Times New Roman" w:cs="Times New Roman"/>
          <w:color w:val="auto"/>
        </w:rPr>
        <w:t>散乱污</w:t>
      </w:r>
      <w:r>
        <w:rPr>
          <w:rFonts w:hint="default" w:ascii="Times New Roman" w:hAnsi="Times New Roman" w:cs="Times New Roman"/>
          <w:color w:val="auto"/>
          <w:lang w:eastAsia="zh-CN"/>
        </w:rPr>
        <w:t>”</w:t>
      </w:r>
      <w:r>
        <w:rPr>
          <w:rFonts w:hint="default" w:ascii="Times New Roman" w:hAnsi="Times New Roman" w:cs="Times New Roman"/>
          <w:color w:val="auto"/>
        </w:rPr>
        <w:t>企业整治</w:t>
      </w:r>
      <w:r>
        <w:rPr>
          <w:rFonts w:hint="default" w:ascii="Times New Roman" w:hAnsi="Times New Roman" w:cs="Times New Roman"/>
          <w:color w:val="auto"/>
          <w:lang w:eastAsia="zh-CN"/>
        </w:rPr>
        <w:t>；</w:t>
      </w:r>
      <w:r>
        <w:rPr>
          <w:rFonts w:hint="default" w:ascii="Times New Roman" w:hAnsi="Times New Roman" w:cs="Times New Roman"/>
          <w:color w:val="auto"/>
        </w:rPr>
        <w:t>c 优化能源结构调整</w:t>
      </w:r>
      <w:r>
        <w:rPr>
          <w:rFonts w:hint="default" w:ascii="Times New Roman" w:hAnsi="Times New Roman" w:cs="Times New Roman"/>
          <w:color w:val="auto"/>
          <w:lang w:eastAsia="zh-CN"/>
        </w:rPr>
        <w:t>；</w:t>
      </w:r>
      <w:r>
        <w:rPr>
          <w:rFonts w:hint="default" w:ascii="Times New Roman" w:hAnsi="Times New Roman" w:cs="Times New Roman"/>
          <w:color w:val="auto"/>
        </w:rPr>
        <w:t>d 加快 清洁能源替代利用</w:t>
      </w:r>
      <w:r>
        <w:rPr>
          <w:rFonts w:hint="default" w:ascii="Times New Roman" w:hAnsi="Times New Roman" w:cs="Times New Roman"/>
          <w:color w:val="auto"/>
          <w:lang w:eastAsia="zh-CN"/>
        </w:rPr>
        <w:t>；</w:t>
      </w:r>
      <w:r>
        <w:rPr>
          <w:rFonts w:hint="default" w:ascii="Times New Roman" w:hAnsi="Times New Roman" w:cs="Times New Roman"/>
          <w:color w:val="auto"/>
        </w:rPr>
        <w:t>e 推动交通结构调整</w:t>
      </w:r>
      <w:r>
        <w:rPr>
          <w:rFonts w:hint="default" w:ascii="Times New Roman" w:hAnsi="Times New Roman" w:cs="Times New Roman"/>
          <w:color w:val="auto"/>
          <w:lang w:eastAsia="zh-CN"/>
        </w:rPr>
        <w:t>；</w:t>
      </w:r>
      <w:r>
        <w:rPr>
          <w:rFonts w:hint="default" w:ascii="Times New Roman" w:hAnsi="Times New Roman" w:cs="Times New Roman"/>
          <w:color w:val="auto"/>
        </w:rPr>
        <w:t>f 加快绿色交通体系建设</w:t>
      </w:r>
      <w:r>
        <w:rPr>
          <w:rFonts w:hint="default" w:ascii="Times New Roman" w:hAnsi="Times New Roman" w:cs="Times New Roman"/>
          <w:color w:val="auto"/>
          <w:lang w:eastAsia="zh-CN"/>
        </w:rPr>
        <w:t>；</w:t>
      </w:r>
      <w:r>
        <w:rPr>
          <w:rFonts w:hint="default" w:ascii="Times New Roman" w:hAnsi="Times New Roman" w:cs="Times New Roman"/>
          <w:color w:val="auto"/>
        </w:rPr>
        <w:t>g 推进油品提质升级。</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②加大污染治理力度</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a 推动工业污染源稳定达标排放</w:t>
      </w:r>
      <w:r>
        <w:rPr>
          <w:rFonts w:hint="default" w:ascii="Times New Roman" w:hAnsi="Times New Roman" w:cs="Times New Roman"/>
          <w:color w:val="auto"/>
          <w:lang w:eastAsia="zh-CN"/>
        </w:rPr>
        <w:t>；</w:t>
      </w:r>
      <w:r>
        <w:rPr>
          <w:rFonts w:hint="default" w:ascii="Times New Roman" w:hAnsi="Times New Roman" w:cs="Times New Roman"/>
          <w:color w:val="auto"/>
        </w:rPr>
        <w:t>b 加强工业企业无组织排放管控</w:t>
      </w:r>
      <w:r>
        <w:rPr>
          <w:rFonts w:hint="default" w:ascii="Times New Roman" w:hAnsi="Times New Roman" w:cs="Times New Roman"/>
          <w:color w:val="auto"/>
          <w:lang w:eastAsia="zh-CN"/>
        </w:rPr>
        <w:t>；</w:t>
      </w:r>
      <w:r>
        <w:rPr>
          <w:rFonts w:hint="default" w:ascii="Times New Roman" w:hAnsi="Times New Roman" w:cs="Times New Roman"/>
          <w:color w:val="auto"/>
        </w:rPr>
        <w:t>c 加强工业 园区大气污染防治</w:t>
      </w:r>
      <w:r>
        <w:rPr>
          <w:rFonts w:hint="default" w:ascii="Times New Roman" w:hAnsi="Times New Roman" w:cs="Times New Roman"/>
          <w:color w:val="auto"/>
          <w:lang w:eastAsia="zh-CN"/>
        </w:rPr>
        <w:t>；</w:t>
      </w:r>
      <w:r>
        <w:rPr>
          <w:rFonts w:hint="default" w:ascii="Times New Roman" w:hAnsi="Times New Roman" w:cs="Times New Roman"/>
          <w:color w:val="auto"/>
        </w:rPr>
        <w:t>d 推动重点地区和重点行业执行大气污染物特别排放限值</w:t>
      </w:r>
      <w:r>
        <w:rPr>
          <w:rFonts w:hint="default" w:ascii="Times New Roman" w:hAnsi="Times New Roman" w:cs="Times New Roman"/>
          <w:color w:val="auto"/>
          <w:lang w:eastAsia="zh-CN"/>
        </w:rPr>
        <w:t>；</w:t>
      </w:r>
      <w:r>
        <w:rPr>
          <w:rFonts w:hint="default" w:ascii="Times New Roman" w:hAnsi="Times New Roman" w:cs="Times New Roman"/>
          <w:color w:val="auto"/>
        </w:rPr>
        <w:t>e 推 进火电钢铁行业超低排放改造</w:t>
      </w:r>
      <w:r>
        <w:rPr>
          <w:rFonts w:hint="default" w:ascii="Times New Roman" w:hAnsi="Times New Roman" w:cs="Times New Roman"/>
          <w:color w:val="auto"/>
          <w:lang w:eastAsia="zh-CN"/>
        </w:rPr>
        <w:t>；</w:t>
      </w:r>
      <w:r>
        <w:rPr>
          <w:rFonts w:hint="default" w:ascii="Times New Roman" w:hAnsi="Times New Roman" w:cs="Times New Roman"/>
          <w:color w:val="auto"/>
        </w:rPr>
        <w:t>f 全面推进工业</w:t>
      </w:r>
      <w:r>
        <w:rPr>
          <w:rFonts w:hint="default" w:ascii="Times New Roman" w:hAnsi="Times New Roman" w:cs="Times New Roman"/>
          <w:color w:val="auto"/>
          <w:lang w:eastAsia="zh-CN"/>
        </w:rPr>
        <w:t>VOCs</w:t>
      </w:r>
      <w:r>
        <w:rPr>
          <w:rFonts w:hint="default" w:ascii="Times New Roman" w:hAnsi="Times New Roman" w:cs="Times New Roman"/>
          <w:color w:val="auto"/>
        </w:rPr>
        <w:t>综合治理</w:t>
      </w:r>
      <w:r>
        <w:rPr>
          <w:rFonts w:hint="default" w:ascii="Times New Roman" w:hAnsi="Times New Roman" w:cs="Times New Roman"/>
          <w:color w:val="auto"/>
          <w:lang w:eastAsia="zh-CN"/>
        </w:rPr>
        <w:t>；</w:t>
      </w:r>
      <w:r>
        <w:rPr>
          <w:rFonts w:hint="default" w:ascii="Times New Roman" w:hAnsi="Times New Roman" w:cs="Times New Roman"/>
          <w:color w:val="auto"/>
        </w:rPr>
        <w:t>g 打好柴油货车污 染治理攻坚战</w:t>
      </w:r>
      <w:r>
        <w:rPr>
          <w:rFonts w:hint="default" w:ascii="Times New Roman" w:hAnsi="Times New Roman" w:cs="Times New Roman"/>
          <w:color w:val="auto"/>
          <w:lang w:eastAsia="zh-CN"/>
        </w:rPr>
        <w:t>；</w:t>
      </w:r>
      <w:r>
        <w:rPr>
          <w:rFonts w:hint="default" w:ascii="Times New Roman" w:hAnsi="Times New Roman" w:cs="Times New Roman"/>
          <w:color w:val="auto"/>
        </w:rPr>
        <w:t>h 加强非道路移动机械和船舶污染管控</w:t>
      </w:r>
      <w:r>
        <w:rPr>
          <w:rFonts w:hint="default" w:ascii="Times New Roman" w:hAnsi="Times New Roman" w:cs="Times New Roman"/>
          <w:color w:val="auto"/>
          <w:lang w:eastAsia="zh-CN"/>
        </w:rPr>
        <w:t>；</w:t>
      </w:r>
      <w:r>
        <w:rPr>
          <w:rFonts w:hint="default" w:ascii="Times New Roman" w:hAnsi="Times New Roman" w:cs="Times New Roman"/>
          <w:color w:val="auto"/>
        </w:rPr>
        <w:t>i 加强扬尘污染治理</w:t>
      </w:r>
      <w:r>
        <w:rPr>
          <w:rFonts w:hint="default" w:ascii="Times New Roman" w:hAnsi="Times New Roman" w:cs="Times New Roman"/>
          <w:color w:val="auto"/>
          <w:lang w:eastAsia="zh-CN"/>
        </w:rPr>
        <w:t>；</w:t>
      </w:r>
      <w:r>
        <w:rPr>
          <w:rFonts w:hint="default" w:ascii="Times New Roman" w:hAnsi="Times New Roman" w:cs="Times New Roman"/>
          <w:color w:val="auto"/>
        </w:rPr>
        <w:t>j 严禁 秸秆露天焚烧</w:t>
      </w:r>
      <w:r>
        <w:rPr>
          <w:rFonts w:hint="default" w:ascii="Times New Roman" w:hAnsi="Times New Roman" w:cs="Times New Roman"/>
          <w:color w:val="auto"/>
          <w:lang w:eastAsia="zh-CN"/>
        </w:rPr>
        <w:t>；</w:t>
      </w:r>
      <w:r>
        <w:rPr>
          <w:rFonts w:hint="default" w:ascii="Times New Roman" w:hAnsi="Times New Roman" w:cs="Times New Roman"/>
          <w:color w:val="auto"/>
        </w:rPr>
        <w:t>k 加强生活面源整治。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对于环境空气质量现状其他污染物数据，本环评公司委托湖南宏润检测有限公司于2019年</w:t>
      </w:r>
      <w:r>
        <w:rPr>
          <w:rFonts w:hint="default" w:ascii="Times New Roman" w:hAnsi="Times New Roman" w:eastAsia="宋体" w:cs="Times New Roman"/>
          <w:color w:val="auto"/>
          <w:kern w:val="2"/>
          <w:sz w:val="24"/>
          <w:szCs w:val="24"/>
          <w:u w:val="single"/>
          <w:lang w:val="en-US" w:eastAsia="zh-CN" w:bidi="ar-SA"/>
        </w:rPr>
        <w:t>9月23日和29日7</w:t>
      </w:r>
      <w:r>
        <w:rPr>
          <w:rFonts w:hint="default" w:ascii="Times New Roman" w:hAnsi="Times New Roman" w:eastAsia="宋体" w:cs="Times New Roman"/>
          <w:color w:val="auto"/>
          <w:kern w:val="2"/>
          <w:sz w:val="24"/>
          <w:szCs w:val="24"/>
          <w:u w:val="single"/>
          <w:lang w:val="en-US" w:eastAsia="zh-CN" w:bidi="ar-SA"/>
        </w:rPr>
        <w:tab/>
      </w:r>
      <w:r>
        <w:rPr>
          <w:rFonts w:hint="default" w:ascii="Times New Roman" w:hAnsi="Times New Roman" w:eastAsia="宋体" w:cs="Times New Roman"/>
          <w:color w:val="auto"/>
          <w:kern w:val="2"/>
          <w:sz w:val="24"/>
          <w:szCs w:val="24"/>
          <w:u w:val="single"/>
          <w:lang w:val="en-US" w:eastAsia="zh-CN" w:bidi="ar-SA"/>
        </w:rPr>
        <w:t>天</w:t>
      </w:r>
      <w:r>
        <w:rPr>
          <w:rFonts w:hint="default" w:ascii="Times New Roman" w:hAnsi="Times New Roman" w:eastAsia="宋体" w:cs="Times New Roman"/>
          <w:color w:val="auto"/>
          <w:kern w:val="2"/>
          <w:sz w:val="24"/>
          <w:szCs w:val="24"/>
          <w:lang w:val="en-US" w:eastAsia="zh-CN" w:bidi="ar-SA"/>
        </w:rPr>
        <w:t>对项目周边空气环境中非甲烷总烃1小时平均值和VOCs的8小时平均值进行了补充监测。监测点基本信息及监测结果见</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REF _Ref19120 \h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表</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STYLEREF 1 \s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5</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-4</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和</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REF _Ref19120 \h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 xml:space="preserve">表 </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STYLEREF 1 \s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5</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-5</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w:t>
      </w:r>
    </w:p>
    <w:p>
      <w:pPr>
        <w:pStyle w:val="14"/>
        <w:bidi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5</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4</w:t>
      </w:r>
      <w:r>
        <w:rPr>
          <w:rFonts w:hint="default" w:ascii="Times New Roman" w:hAnsi="Times New Roman" w:cs="Times New Roman"/>
          <w:color w:val="auto"/>
        </w:rPr>
        <w:fldChar w:fldCharType="end"/>
      </w:r>
      <w:r>
        <w:rPr>
          <w:rFonts w:hint="default" w:ascii="Times New Roman" w:hAnsi="Times New Roman" w:cs="Times New Roman"/>
          <w:color w:val="auto"/>
        </w:rPr>
        <w:t>环境空气补充监测布点</w:t>
      </w:r>
    </w:p>
    <w:tbl>
      <w:tblPr>
        <w:tblStyle w:val="24"/>
        <w:tblW w:w="9003"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726"/>
        <w:gridCol w:w="1984"/>
        <w:gridCol w:w="2033"/>
        <w:gridCol w:w="426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726"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98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203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监测项目</w:t>
            </w:r>
          </w:p>
        </w:tc>
        <w:tc>
          <w:tcPr>
            <w:tcW w:w="426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726"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A1</w:t>
            </w:r>
          </w:p>
        </w:tc>
        <w:tc>
          <w:tcPr>
            <w:tcW w:w="198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青坡社区</w:t>
            </w:r>
          </w:p>
        </w:tc>
        <w:tc>
          <w:tcPr>
            <w:tcW w:w="203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eastAsia="宋体" w:cs="Times New Roman"/>
                <w:color w:val="auto"/>
                <w:kern w:val="2"/>
                <w:sz w:val="21"/>
                <w:szCs w:val="21"/>
                <w:lang w:val="en-US" w:eastAsia="zh-CN" w:bidi="ar-SA"/>
              </w:rPr>
              <w:t>非甲烷总烃</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VOCs</w:t>
            </w:r>
          </w:p>
        </w:tc>
        <w:tc>
          <w:tcPr>
            <w:tcW w:w="426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项目N方向约1km处，主导风向上风向</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726"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A2</w:t>
            </w:r>
          </w:p>
        </w:tc>
        <w:tc>
          <w:tcPr>
            <w:tcW w:w="198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巴陵石化接待中心</w:t>
            </w:r>
          </w:p>
        </w:tc>
        <w:tc>
          <w:tcPr>
            <w:tcW w:w="203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eastAsia="宋体" w:cs="Times New Roman"/>
                <w:color w:val="auto"/>
                <w:kern w:val="2"/>
                <w:sz w:val="21"/>
                <w:szCs w:val="21"/>
                <w:lang w:val="en-US" w:eastAsia="zh-CN" w:bidi="ar-SA"/>
              </w:rPr>
              <w:t>非甲烷总烃</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VOCs</w:t>
            </w:r>
          </w:p>
        </w:tc>
        <w:tc>
          <w:tcPr>
            <w:tcW w:w="426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项目SW方向约1.3km处，主导风向下风向</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726"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A3</w:t>
            </w:r>
          </w:p>
        </w:tc>
        <w:tc>
          <w:tcPr>
            <w:tcW w:w="198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金盆社区</w:t>
            </w:r>
          </w:p>
        </w:tc>
        <w:tc>
          <w:tcPr>
            <w:tcW w:w="203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eastAsia="宋体" w:cs="Times New Roman"/>
                <w:color w:val="auto"/>
                <w:kern w:val="2"/>
                <w:sz w:val="21"/>
                <w:szCs w:val="21"/>
                <w:lang w:val="en-US" w:eastAsia="zh-CN" w:bidi="ar-SA"/>
              </w:rPr>
              <w:t>非甲烷总烃</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VOCs</w:t>
            </w:r>
          </w:p>
        </w:tc>
        <w:tc>
          <w:tcPr>
            <w:tcW w:w="426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项目SW方向约2.2km处，主导风向下风向</w:t>
            </w:r>
          </w:p>
        </w:tc>
      </w:tr>
    </w:tbl>
    <w:p>
      <w:pPr>
        <w:pStyle w:val="14"/>
        <w:keepNext w:val="0"/>
        <w:keepLines w:val="0"/>
        <w:pageBreakBefore w:val="0"/>
        <w:widowControl w:val="0"/>
        <w:kinsoku/>
        <w:wordWrap/>
        <w:overflowPunct/>
        <w:topLinePunct w:val="0"/>
        <w:autoSpaceDE/>
        <w:autoSpaceDN/>
        <w:bidi w:val="0"/>
        <w:adjustRightInd/>
        <w:snapToGrid/>
        <w:spacing w:before="0" w:beforeLines="50"/>
        <w:textAlignment w:val="auto"/>
        <w:outlineLvl w:val="9"/>
        <w:rPr>
          <w:rFonts w:hint="default" w:ascii="Times New Roman" w:hAnsi="Times New Roman" w:cs="Times New Roman"/>
          <w:color w:val="auto"/>
          <w:highlight w:val="none"/>
        </w:rPr>
      </w:pPr>
      <w:bookmarkStart w:id="445" w:name="_bookmark24"/>
      <w:bookmarkEnd w:id="445"/>
    </w:p>
    <w:p>
      <w:pPr>
        <w:pStyle w:val="14"/>
        <w:keepNext w:val="0"/>
        <w:keepLines w:val="0"/>
        <w:pageBreakBefore w:val="0"/>
        <w:widowControl w:val="0"/>
        <w:kinsoku/>
        <w:wordWrap/>
        <w:overflowPunct/>
        <w:topLinePunct w:val="0"/>
        <w:autoSpaceDE/>
        <w:autoSpaceDN/>
        <w:bidi w:val="0"/>
        <w:adjustRightInd/>
        <w:snapToGrid/>
        <w:spacing w:before="0" w:beforeLines="50"/>
        <w:textAlignment w:val="auto"/>
        <w:outlineLvl w:val="9"/>
        <w:rPr>
          <w:rFonts w:hint="default" w:ascii="Times New Roman" w:hAnsi="Times New Roman" w:cs="Times New Roman"/>
          <w:color w:val="auto"/>
          <w:highlight w:val="none"/>
          <w:u w:val="single"/>
        </w:rPr>
      </w:pPr>
    </w:p>
    <w:p>
      <w:pPr>
        <w:pStyle w:val="14"/>
        <w:keepNext w:val="0"/>
        <w:keepLines w:val="0"/>
        <w:pageBreakBefore w:val="0"/>
        <w:widowControl w:val="0"/>
        <w:kinsoku/>
        <w:wordWrap/>
        <w:overflowPunct/>
        <w:topLinePunct w:val="0"/>
        <w:autoSpaceDE/>
        <w:autoSpaceDN/>
        <w:bidi w:val="0"/>
        <w:adjustRightInd/>
        <w:snapToGrid/>
        <w:spacing w:before="0" w:beforeLines="50"/>
        <w:textAlignment w:val="auto"/>
        <w:outlineLvl w:val="9"/>
        <w:rPr>
          <w:rFonts w:hint="default" w:ascii="Times New Roman" w:hAnsi="Times New Roman" w:cs="Times New Roman"/>
          <w:color w:val="auto"/>
          <w:u w:val="single"/>
        </w:rPr>
      </w:pPr>
      <w:r>
        <w:rPr>
          <w:rFonts w:hint="default" w:ascii="Times New Roman" w:hAnsi="Times New Roman" w:cs="Times New Roman"/>
          <w:color w:val="auto"/>
          <w:highlight w:val="none"/>
          <w:u w:val="single"/>
        </w:rPr>
        <w:t xml:space="preserve">表 </w:t>
      </w:r>
      <w:r>
        <w:rPr>
          <w:rFonts w:hint="default" w:ascii="Times New Roman" w:hAnsi="Times New Roman" w:cs="Times New Roman"/>
          <w:color w:val="auto"/>
          <w:highlight w:val="none"/>
          <w:u w:val="single"/>
        </w:rPr>
        <w:fldChar w:fldCharType="begin"/>
      </w:r>
      <w:r>
        <w:rPr>
          <w:rFonts w:hint="default" w:ascii="Times New Roman" w:hAnsi="Times New Roman" w:cs="Times New Roman"/>
          <w:color w:val="auto"/>
          <w:highlight w:val="none"/>
          <w:u w:val="single"/>
        </w:rPr>
        <w:instrText xml:space="preserve"> STYLEREF 1 \s </w:instrText>
      </w:r>
      <w:r>
        <w:rPr>
          <w:rFonts w:hint="default" w:ascii="Times New Roman" w:hAnsi="Times New Roman" w:cs="Times New Roman"/>
          <w:color w:val="auto"/>
          <w:highlight w:val="none"/>
          <w:u w:val="single"/>
        </w:rPr>
        <w:fldChar w:fldCharType="separate"/>
      </w:r>
      <w:r>
        <w:rPr>
          <w:rFonts w:hint="default" w:ascii="Times New Roman" w:hAnsi="Times New Roman" w:cs="Times New Roman"/>
          <w:color w:val="auto"/>
          <w:highlight w:val="none"/>
          <w:u w:val="single"/>
        </w:rPr>
        <w:t>5</w:t>
      </w:r>
      <w:r>
        <w:rPr>
          <w:rFonts w:hint="default" w:ascii="Times New Roman" w:hAnsi="Times New Roman" w:cs="Times New Roman"/>
          <w:color w:val="auto"/>
          <w:highlight w:val="none"/>
          <w:u w:val="single"/>
        </w:rPr>
        <w:fldChar w:fldCharType="end"/>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fldChar w:fldCharType="begin"/>
      </w:r>
      <w:r>
        <w:rPr>
          <w:rFonts w:hint="default" w:ascii="Times New Roman" w:hAnsi="Times New Roman" w:cs="Times New Roman"/>
          <w:color w:val="auto"/>
          <w:highlight w:val="none"/>
          <w:u w:val="single"/>
        </w:rPr>
        <w:instrText xml:space="preserve"> SEQ 表 \* ARABIC \s 1 </w:instrText>
      </w:r>
      <w:r>
        <w:rPr>
          <w:rFonts w:hint="default" w:ascii="Times New Roman" w:hAnsi="Times New Roman" w:cs="Times New Roman"/>
          <w:color w:val="auto"/>
          <w:highlight w:val="none"/>
          <w:u w:val="single"/>
        </w:rPr>
        <w:fldChar w:fldCharType="separate"/>
      </w:r>
      <w:r>
        <w:rPr>
          <w:rFonts w:hint="default" w:ascii="Times New Roman" w:hAnsi="Times New Roman" w:cs="Times New Roman"/>
          <w:color w:val="auto"/>
          <w:highlight w:val="none"/>
          <w:u w:val="single"/>
        </w:rPr>
        <w:t>5</w:t>
      </w:r>
      <w:r>
        <w:rPr>
          <w:rFonts w:hint="default" w:ascii="Times New Roman" w:hAnsi="Times New Roman" w:cs="Times New Roman"/>
          <w:color w:val="auto"/>
          <w:highlight w:val="none"/>
          <w:u w:val="single"/>
        </w:rPr>
        <w:fldChar w:fldCharType="end"/>
      </w:r>
      <w:r>
        <w:rPr>
          <w:rFonts w:hint="default" w:ascii="Times New Roman" w:hAnsi="Times New Roman" w:cs="Times New Roman"/>
          <w:color w:val="auto"/>
          <w:highlight w:val="none"/>
          <w:u w:val="single"/>
        </w:rPr>
        <w:t>环境空气质量现状补充检测结果表</w:t>
      </w:r>
    </w:p>
    <w:tbl>
      <w:tblPr>
        <w:tblStyle w:val="24"/>
        <w:tblW w:w="9286"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485"/>
        <w:gridCol w:w="735"/>
        <w:gridCol w:w="1245"/>
        <w:gridCol w:w="1305"/>
        <w:gridCol w:w="1065"/>
        <w:gridCol w:w="1185"/>
        <w:gridCol w:w="1200"/>
        <w:gridCol w:w="106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148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监测因子</w:t>
            </w:r>
          </w:p>
        </w:tc>
        <w:tc>
          <w:tcPr>
            <w:tcW w:w="73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监测点</w:t>
            </w:r>
            <w:r>
              <w:rPr>
                <w:rFonts w:hint="default" w:ascii="Times New Roman" w:hAnsi="Times New Roman" w:cs="Times New Roman"/>
                <w:color w:val="auto"/>
                <w:sz w:val="21"/>
                <w:szCs w:val="21"/>
                <w:lang w:eastAsia="zh-CN"/>
              </w:rPr>
              <w:t>位</w:t>
            </w:r>
          </w:p>
        </w:tc>
        <w:tc>
          <w:tcPr>
            <w:tcW w:w="124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监测时间</w:t>
            </w:r>
          </w:p>
        </w:tc>
        <w:tc>
          <w:tcPr>
            <w:tcW w:w="130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浓度</w:t>
            </w:r>
            <w:r>
              <w:rPr>
                <w:rFonts w:hint="default" w:ascii="Times New Roman" w:hAnsi="Times New Roman" w:cs="Times New Roman"/>
                <w:color w:val="auto"/>
                <w:sz w:val="21"/>
                <w:szCs w:val="21"/>
              </w:rPr>
              <w:t>范围（mg/m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06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平均值</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lang w:val="en-US" w:eastAsia="zh-CN"/>
              </w:rPr>
              <w:t>)</w:t>
            </w:r>
          </w:p>
        </w:tc>
        <w:tc>
          <w:tcPr>
            <w:tcW w:w="118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w:t>
            </w:r>
          </w:p>
        </w:tc>
        <w:tc>
          <w:tcPr>
            <w:tcW w:w="120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最大超标倍数</w:t>
            </w:r>
          </w:p>
        </w:tc>
        <w:tc>
          <w:tcPr>
            <w:tcW w:w="106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超标率（％）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1485" w:type="dxa"/>
            <w:vMerge w:val="restart"/>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非甲烷总烃</w:t>
            </w:r>
          </w:p>
        </w:tc>
        <w:tc>
          <w:tcPr>
            <w:tcW w:w="73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A1</w:t>
            </w:r>
          </w:p>
        </w:tc>
        <w:tc>
          <w:tcPr>
            <w:tcW w:w="1245" w:type="dxa"/>
            <w:vMerge w:val="restart"/>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2019.9.23~29</w:t>
            </w:r>
          </w:p>
        </w:tc>
        <w:tc>
          <w:tcPr>
            <w:tcW w:w="130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4~0.7</w:t>
            </w:r>
            <w:r>
              <w:rPr>
                <w:rFonts w:hint="default" w:ascii="Times New Roman" w:hAnsi="Times New Roman" w:cs="Times New Roman"/>
                <w:color w:val="auto"/>
                <w:sz w:val="21"/>
                <w:szCs w:val="21"/>
                <w:lang w:val="en-US" w:eastAsia="zh-CN"/>
              </w:rPr>
              <w:t>8</w:t>
            </w:r>
          </w:p>
        </w:tc>
        <w:tc>
          <w:tcPr>
            <w:tcW w:w="106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67</w:t>
            </w:r>
          </w:p>
        </w:tc>
        <w:tc>
          <w:tcPr>
            <w:tcW w:w="1185" w:type="dxa"/>
            <w:vMerge w:val="restart"/>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小时值）</w:t>
            </w:r>
          </w:p>
        </w:tc>
        <w:tc>
          <w:tcPr>
            <w:tcW w:w="120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6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1485" w:type="dxa"/>
            <w:vMerge w:val="continue"/>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73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A2</w:t>
            </w:r>
          </w:p>
        </w:tc>
        <w:tc>
          <w:tcPr>
            <w:tcW w:w="1245" w:type="dxa"/>
            <w:vMerge w:val="continue"/>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u w:val="single"/>
              </w:rPr>
            </w:pPr>
          </w:p>
        </w:tc>
        <w:tc>
          <w:tcPr>
            <w:tcW w:w="130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0.89</w:t>
            </w:r>
            <w:r>
              <w:rPr>
                <w:rFonts w:hint="default" w:ascii="Times New Roman" w:hAnsi="Times New Roman" w:cs="Times New Roman"/>
                <w:color w:val="auto"/>
                <w:sz w:val="21"/>
                <w:szCs w:val="21"/>
                <w:lang w:val="en-US" w:eastAsia="zh-CN"/>
              </w:rPr>
              <w:t>~1.20</w:t>
            </w:r>
          </w:p>
        </w:tc>
        <w:tc>
          <w:tcPr>
            <w:tcW w:w="106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1.00</w:t>
            </w:r>
          </w:p>
        </w:tc>
        <w:tc>
          <w:tcPr>
            <w:tcW w:w="1185" w:type="dxa"/>
            <w:vMerge w:val="continue"/>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120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6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1485" w:type="dxa"/>
            <w:vMerge w:val="continue"/>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73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A3</w:t>
            </w:r>
          </w:p>
        </w:tc>
        <w:tc>
          <w:tcPr>
            <w:tcW w:w="1245" w:type="dxa"/>
            <w:vMerge w:val="continue"/>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u w:val="single"/>
              </w:rPr>
            </w:pPr>
          </w:p>
        </w:tc>
        <w:tc>
          <w:tcPr>
            <w:tcW w:w="130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65</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0.92</w:t>
            </w:r>
          </w:p>
        </w:tc>
        <w:tc>
          <w:tcPr>
            <w:tcW w:w="106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0.8</w:t>
            </w:r>
            <w:r>
              <w:rPr>
                <w:rFonts w:hint="default" w:ascii="Times New Roman" w:hAnsi="Times New Roman" w:cs="Times New Roman"/>
                <w:color w:val="auto"/>
                <w:sz w:val="21"/>
                <w:szCs w:val="21"/>
                <w:lang w:val="en-US" w:eastAsia="zh-CN"/>
              </w:rPr>
              <w:t>0</w:t>
            </w:r>
          </w:p>
        </w:tc>
        <w:tc>
          <w:tcPr>
            <w:tcW w:w="1185" w:type="dxa"/>
            <w:vMerge w:val="continue"/>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120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6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1485" w:type="dxa"/>
            <w:vMerge w:val="restart"/>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VOCs</w:t>
            </w:r>
          </w:p>
        </w:tc>
        <w:tc>
          <w:tcPr>
            <w:tcW w:w="73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A1</w:t>
            </w:r>
          </w:p>
        </w:tc>
        <w:tc>
          <w:tcPr>
            <w:tcW w:w="1245" w:type="dxa"/>
            <w:vMerge w:val="restart"/>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val="en-US" w:eastAsia="zh-CN"/>
              </w:rPr>
              <w:t>2019.9.23~29</w:t>
            </w:r>
          </w:p>
        </w:tc>
        <w:tc>
          <w:tcPr>
            <w:tcW w:w="130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106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85" w:type="dxa"/>
            <w:vMerge w:val="restart"/>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20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6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1485" w:type="dxa"/>
            <w:vMerge w:val="continue"/>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73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A2</w:t>
            </w:r>
          </w:p>
        </w:tc>
        <w:tc>
          <w:tcPr>
            <w:tcW w:w="1245" w:type="dxa"/>
            <w:vMerge w:val="continue"/>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130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106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85" w:type="dxa"/>
            <w:vMerge w:val="continue"/>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120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6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1485" w:type="dxa"/>
            <w:vMerge w:val="continue"/>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73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A3</w:t>
            </w:r>
          </w:p>
        </w:tc>
        <w:tc>
          <w:tcPr>
            <w:tcW w:w="1245" w:type="dxa"/>
            <w:vMerge w:val="continue"/>
            <w:vAlign w:val="center"/>
          </w:tcPr>
          <w:p>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130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L</w:t>
            </w:r>
          </w:p>
        </w:tc>
        <w:tc>
          <w:tcPr>
            <w:tcW w:w="1065"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85" w:type="dxa"/>
            <w:vMerge w:val="continue"/>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120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6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9286" w:type="dxa"/>
            <w:gridSpan w:val="8"/>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注：L表示该方法的检出限</w:t>
            </w:r>
          </w:p>
        </w:tc>
      </w:tr>
    </w:tbl>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color w:val="auto"/>
        </w:rPr>
      </w:pPr>
      <w:r>
        <w:rPr>
          <w:rFonts w:hint="default" w:ascii="Times New Roman" w:hAnsi="Times New Roman" w:cs="Times New Roman"/>
          <w:color w:val="auto"/>
        </w:rPr>
        <w:t>监测结果表明：各监测点的非甲烷总烃和</w:t>
      </w:r>
      <w:r>
        <w:rPr>
          <w:rFonts w:hint="default" w:ascii="Times New Roman" w:hAnsi="Times New Roman" w:cs="Times New Roman"/>
          <w:color w:val="auto"/>
          <w:lang w:eastAsia="zh-CN"/>
        </w:rPr>
        <w:t>VOCs</w:t>
      </w:r>
      <w:r>
        <w:rPr>
          <w:rFonts w:hint="default" w:ascii="Times New Roman" w:hAnsi="Times New Roman" w:cs="Times New Roman"/>
          <w:color w:val="auto"/>
        </w:rPr>
        <w:t>空气环境质量满足相应标准要求。</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446" w:name="_Toc26313"/>
      <w:bookmarkStart w:id="447" w:name="_Toc13691"/>
      <w:r>
        <w:rPr>
          <w:rFonts w:hint="default" w:ascii="Times New Roman" w:hAnsi="Times New Roman" w:cs="Times New Roman"/>
          <w:color w:val="auto"/>
        </w:rPr>
        <w:t>地表水环境质量现状评价</w:t>
      </w:r>
      <w:bookmarkEnd w:id="446"/>
      <w:bookmarkEnd w:id="447"/>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u w:val="single"/>
          <w:lang w:val="en-US" w:eastAsia="zh-CN" w:bidi="ar-SA"/>
        </w:rPr>
      </w:pPr>
      <w:r>
        <w:rPr>
          <w:rFonts w:hint="default" w:ascii="Times New Roman" w:hAnsi="Times New Roman" w:eastAsia="宋体" w:cs="Times New Roman"/>
          <w:color w:val="auto"/>
          <w:kern w:val="2"/>
          <w:sz w:val="24"/>
          <w:szCs w:val="24"/>
          <w:u w:val="single"/>
          <w:lang w:val="en-US" w:eastAsia="zh-CN" w:bidi="ar-SA"/>
        </w:rPr>
        <w:t>本项目地表水环境质量评价因子引用岳阳市环境监测站 2019 年 1 月及 2 月对长江城陵矶、陆城断面以及松阳湖进行的地表水环境常规监测的数据。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u w:val="single"/>
          <w:lang w:val="en-US" w:eastAsia="zh-CN" w:bidi="ar-SA"/>
        </w:rPr>
      </w:pPr>
      <w:r>
        <w:rPr>
          <w:rFonts w:hint="default" w:ascii="Times New Roman" w:hAnsi="Times New Roman" w:eastAsia="宋体" w:cs="Times New Roman"/>
          <w:color w:val="auto"/>
          <w:kern w:val="2"/>
          <w:sz w:val="24"/>
          <w:szCs w:val="24"/>
          <w:u w:val="single"/>
          <w:lang w:val="en-US" w:eastAsia="zh-CN" w:bidi="ar-SA"/>
        </w:rPr>
        <w:t>（1）监测断面： W1：长江城陵矶断面；</w:t>
      </w:r>
    </w:p>
    <w:p>
      <w:pPr>
        <w:keepNext w:val="0"/>
        <w:keepLines w:val="0"/>
        <w:pageBreakBefore w:val="0"/>
        <w:widowControl w:val="0"/>
        <w:kinsoku/>
        <w:wordWrap/>
        <w:overflowPunct/>
        <w:topLinePunct w:val="0"/>
        <w:autoSpaceDE/>
        <w:autoSpaceDN/>
        <w:bidi w:val="0"/>
        <w:adjustRightInd w:val="0"/>
        <w:snapToGrid w:val="0"/>
        <w:spacing w:line="360" w:lineRule="auto"/>
        <w:ind w:firstLine="2400" w:firstLineChars="1000"/>
        <w:jc w:val="left"/>
        <w:textAlignment w:val="auto"/>
        <w:rPr>
          <w:rFonts w:hint="default" w:ascii="Times New Roman" w:hAnsi="Times New Roman" w:eastAsia="宋体" w:cs="Times New Roman"/>
          <w:color w:val="auto"/>
          <w:kern w:val="2"/>
          <w:sz w:val="24"/>
          <w:szCs w:val="24"/>
          <w:u w:val="single"/>
          <w:lang w:val="en-US" w:eastAsia="zh-CN" w:bidi="ar-SA"/>
        </w:rPr>
      </w:pPr>
      <w:r>
        <w:rPr>
          <w:rFonts w:hint="default" w:ascii="Times New Roman" w:hAnsi="Times New Roman" w:eastAsia="宋体" w:cs="Times New Roman"/>
          <w:color w:val="auto"/>
          <w:kern w:val="2"/>
          <w:sz w:val="24"/>
          <w:szCs w:val="24"/>
          <w:u w:val="single"/>
          <w:lang w:val="en-US" w:eastAsia="zh-CN" w:bidi="ar-SA"/>
        </w:rPr>
        <w:t>W2：长江陆城断面；</w:t>
      </w:r>
    </w:p>
    <w:p>
      <w:pPr>
        <w:keepNext w:val="0"/>
        <w:keepLines w:val="0"/>
        <w:pageBreakBefore w:val="0"/>
        <w:widowControl w:val="0"/>
        <w:kinsoku/>
        <w:wordWrap/>
        <w:overflowPunct/>
        <w:topLinePunct w:val="0"/>
        <w:autoSpaceDE/>
        <w:autoSpaceDN/>
        <w:bidi w:val="0"/>
        <w:adjustRightInd w:val="0"/>
        <w:snapToGrid w:val="0"/>
        <w:spacing w:line="360" w:lineRule="auto"/>
        <w:ind w:firstLine="2400" w:firstLineChars="1000"/>
        <w:jc w:val="left"/>
        <w:textAlignment w:val="auto"/>
        <w:rPr>
          <w:rFonts w:hint="default" w:ascii="Times New Roman" w:hAnsi="Times New Roman" w:eastAsia="宋体" w:cs="Times New Roman"/>
          <w:color w:val="auto"/>
          <w:kern w:val="2"/>
          <w:sz w:val="24"/>
          <w:szCs w:val="24"/>
          <w:u w:val="single"/>
          <w:lang w:val="en-US" w:eastAsia="zh-CN" w:bidi="ar-SA"/>
        </w:rPr>
      </w:pPr>
      <w:r>
        <w:rPr>
          <w:rFonts w:hint="default" w:ascii="Times New Roman" w:hAnsi="Times New Roman" w:eastAsia="宋体" w:cs="Times New Roman"/>
          <w:color w:val="auto"/>
          <w:kern w:val="2"/>
          <w:sz w:val="24"/>
          <w:szCs w:val="24"/>
          <w:u w:val="single"/>
          <w:lang w:val="en-US" w:eastAsia="zh-CN" w:bidi="ar-SA"/>
        </w:rPr>
        <w:t>W3：松阳湖</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u w:val="single"/>
          <w:lang w:val="en-US" w:eastAsia="zh-CN" w:bidi="ar-SA"/>
        </w:rPr>
      </w:pPr>
      <w:r>
        <w:rPr>
          <w:rFonts w:hint="default" w:ascii="Times New Roman" w:hAnsi="Times New Roman" w:eastAsia="宋体" w:cs="Times New Roman"/>
          <w:color w:val="auto"/>
          <w:kern w:val="2"/>
          <w:sz w:val="24"/>
          <w:szCs w:val="24"/>
          <w:u w:val="single"/>
          <w:lang w:val="en-US" w:eastAsia="zh-CN" w:bidi="ar-SA"/>
        </w:rPr>
        <w:t>（2）监测因子：长江监测断面监测因子：pH、COD、BOD5、DO、氨氮、总磷、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u w:val="single"/>
          <w:lang w:val="en-US" w:eastAsia="zh-CN" w:bidi="ar-SA"/>
        </w:rPr>
      </w:pPr>
      <w:r>
        <w:rPr>
          <w:rFonts w:hint="default" w:ascii="Times New Roman" w:hAnsi="Times New Roman" w:eastAsia="宋体" w:cs="Times New Roman"/>
          <w:color w:val="auto"/>
          <w:kern w:val="2"/>
          <w:sz w:val="24"/>
          <w:szCs w:val="24"/>
          <w:u w:val="single"/>
          <w:lang w:val="en-US" w:eastAsia="zh-CN" w:bidi="ar-SA"/>
        </w:rPr>
        <w:t>S、石油类；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u w:val="single"/>
          <w:lang w:val="en-US" w:eastAsia="zh-CN" w:bidi="ar-SA"/>
        </w:rPr>
      </w:pPr>
      <w:r>
        <w:rPr>
          <w:rFonts w:hint="default" w:ascii="Times New Roman" w:hAnsi="Times New Roman" w:eastAsia="宋体" w:cs="Times New Roman"/>
          <w:color w:val="auto"/>
          <w:kern w:val="2"/>
          <w:sz w:val="24"/>
          <w:szCs w:val="24"/>
          <w:u w:val="single"/>
          <w:lang w:val="en-US" w:eastAsia="zh-CN" w:bidi="ar-SA"/>
        </w:rPr>
        <w:t>松阳湖监测因子：pH、COD、高锰酸盐指数、BOD5、DO、氨氮、总磷、石油类、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u w:val="single"/>
          <w:lang w:val="en-US" w:eastAsia="zh-CN" w:bidi="ar-SA"/>
        </w:rPr>
      </w:pPr>
      <w:r>
        <w:rPr>
          <w:rFonts w:hint="default" w:ascii="Times New Roman" w:hAnsi="Times New Roman" w:eastAsia="宋体" w:cs="Times New Roman"/>
          <w:color w:val="auto"/>
          <w:kern w:val="2"/>
          <w:sz w:val="24"/>
          <w:szCs w:val="24"/>
          <w:u w:val="single"/>
          <w:lang w:val="en-US" w:eastAsia="zh-CN" w:bidi="ar-SA"/>
        </w:rPr>
        <w:t>铜、锌、氟化物、硒、砷、汞、镉、六价铬、铅、氰化物、挥发酚。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u w:val="single"/>
          <w:lang w:val="en-US" w:eastAsia="zh-CN" w:bidi="ar-SA"/>
        </w:rPr>
      </w:pPr>
      <w:r>
        <w:rPr>
          <w:rFonts w:hint="default" w:ascii="Times New Roman" w:hAnsi="Times New Roman" w:eastAsia="宋体" w:cs="Times New Roman"/>
          <w:color w:val="auto"/>
          <w:kern w:val="2"/>
          <w:sz w:val="24"/>
          <w:szCs w:val="24"/>
          <w:u w:val="single"/>
          <w:lang w:val="en-US" w:eastAsia="zh-CN" w:bidi="ar-SA"/>
        </w:rPr>
        <w:t>（3）评价标准：长江断面执行《地表水环境质量标准》（GB38-202）中的Ⅲ类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u w:val="single"/>
          <w:lang w:val="en-US" w:eastAsia="zh-CN" w:bidi="ar-SA"/>
        </w:rPr>
      </w:pPr>
      <w:r>
        <w:rPr>
          <w:rFonts w:hint="default" w:ascii="Times New Roman" w:hAnsi="Times New Roman" w:eastAsia="宋体" w:cs="Times New Roman"/>
          <w:color w:val="auto"/>
          <w:kern w:val="2"/>
          <w:sz w:val="24"/>
          <w:szCs w:val="24"/>
          <w:u w:val="single"/>
          <w:lang w:val="en-US" w:eastAsia="zh-CN" w:bidi="ar-SA"/>
        </w:rPr>
        <w:t>标准，松阳湖断面执行《地表水环境质量标准》（GB38-202）中的Ⅳ类标准。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u w:val="single"/>
          <w:lang w:val="en-US" w:eastAsia="zh-CN" w:bidi="ar-SA"/>
        </w:rPr>
      </w:pPr>
      <w:r>
        <w:rPr>
          <w:rFonts w:hint="default" w:ascii="Times New Roman" w:hAnsi="Times New Roman" w:eastAsia="宋体" w:cs="Times New Roman"/>
          <w:color w:val="auto"/>
          <w:kern w:val="2"/>
          <w:sz w:val="24"/>
          <w:szCs w:val="24"/>
          <w:u w:val="single"/>
          <w:lang w:val="en-US" w:eastAsia="zh-CN" w:bidi="ar-SA"/>
        </w:rPr>
        <w:t>（4）监测结果统计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u w:val="single"/>
          <w:lang w:val="en-US" w:eastAsia="zh-CN" w:bidi="ar-SA"/>
        </w:rPr>
      </w:pPr>
      <w:r>
        <w:rPr>
          <w:rFonts w:hint="default" w:ascii="Times New Roman" w:hAnsi="Times New Roman" w:eastAsia="宋体" w:cs="Times New Roman"/>
          <w:color w:val="auto"/>
          <w:kern w:val="2"/>
          <w:sz w:val="24"/>
          <w:szCs w:val="24"/>
          <w:u w:val="single"/>
          <w:lang w:val="en-US" w:eastAsia="zh-CN" w:bidi="ar-SA"/>
        </w:rPr>
        <w:t>监测结果统计见下表。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u w:val="single"/>
          <w:lang w:val="en-US" w:eastAsia="zh-CN" w:bidi="ar-SA"/>
        </w:rPr>
      </w:pPr>
      <w:r>
        <w:rPr>
          <w:rFonts w:hint="default" w:ascii="Times New Roman" w:hAnsi="Times New Roman" w:eastAsia="宋体" w:cs="Times New Roman"/>
          <w:color w:val="auto"/>
          <w:kern w:val="2"/>
          <w:sz w:val="24"/>
          <w:szCs w:val="24"/>
          <w:u w:val="single"/>
          <w:lang w:val="en-US" w:eastAsia="zh-CN" w:bidi="ar-SA"/>
        </w:rPr>
        <w:t>（5）监测结果统计与评价：监测结果统计见</w:t>
      </w:r>
      <w:r>
        <w:rPr>
          <w:rFonts w:hint="default" w:ascii="Times New Roman" w:hAnsi="Times New Roman" w:eastAsia="宋体" w:cs="Times New Roman"/>
          <w:color w:val="auto"/>
          <w:kern w:val="2"/>
          <w:sz w:val="24"/>
          <w:szCs w:val="24"/>
          <w:u w:val="single"/>
          <w:lang w:val="en-US" w:eastAsia="zh-CN" w:bidi="ar-SA"/>
        </w:rPr>
        <w:fldChar w:fldCharType="begin"/>
      </w:r>
      <w:r>
        <w:rPr>
          <w:rFonts w:hint="default" w:ascii="Times New Roman" w:hAnsi="Times New Roman" w:eastAsia="宋体" w:cs="Times New Roman"/>
          <w:color w:val="auto"/>
          <w:kern w:val="2"/>
          <w:sz w:val="24"/>
          <w:szCs w:val="24"/>
          <w:u w:val="single"/>
          <w:lang w:val="en-US" w:eastAsia="zh-CN" w:bidi="ar-SA"/>
        </w:rPr>
        <w:instrText xml:space="preserve"> REF _Ref26564 \h </w:instrText>
      </w:r>
      <w:r>
        <w:rPr>
          <w:rFonts w:hint="default" w:ascii="Times New Roman" w:hAnsi="Times New Roman" w:eastAsia="宋体" w:cs="Times New Roman"/>
          <w:color w:val="auto"/>
          <w:kern w:val="2"/>
          <w:sz w:val="24"/>
          <w:szCs w:val="24"/>
          <w:u w:val="single"/>
          <w:lang w:val="en-US" w:eastAsia="zh-CN" w:bidi="ar-SA"/>
        </w:rPr>
        <w:fldChar w:fldCharType="separate"/>
      </w:r>
      <w:r>
        <w:rPr>
          <w:rFonts w:hint="default" w:ascii="Times New Roman" w:hAnsi="Times New Roman" w:eastAsia="宋体" w:cs="Times New Roman"/>
          <w:color w:val="auto"/>
          <w:kern w:val="2"/>
          <w:sz w:val="24"/>
          <w:szCs w:val="24"/>
          <w:u w:val="single"/>
          <w:lang w:val="en-US" w:eastAsia="zh-CN" w:bidi="ar-SA"/>
        </w:rPr>
        <w:t xml:space="preserve">表 </w:t>
      </w:r>
      <w:r>
        <w:rPr>
          <w:rFonts w:hint="default" w:ascii="Times New Roman" w:hAnsi="Times New Roman" w:eastAsia="宋体" w:cs="Times New Roman"/>
          <w:color w:val="auto"/>
          <w:kern w:val="2"/>
          <w:sz w:val="24"/>
          <w:szCs w:val="24"/>
          <w:u w:val="single"/>
          <w:lang w:val="en-US" w:eastAsia="zh-CN" w:bidi="ar-SA"/>
        </w:rPr>
        <w:fldChar w:fldCharType="begin"/>
      </w:r>
      <w:r>
        <w:rPr>
          <w:rFonts w:hint="default" w:ascii="Times New Roman" w:hAnsi="Times New Roman" w:eastAsia="宋体" w:cs="Times New Roman"/>
          <w:color w:val="auto"/>
          <w:kern w:val="2"/>
          <w:sz w:val="24"/>
          <w:szCs w:val="24"/>
          <w:u w:val="single"/>
          <w:lang w:val="en-US" w:eastAsia="zh-CN" w:bidi="ar-SA"/>
        </w:rPr>
        <w:instrText xml:space="preserve"> STYLEREF 1 \s </w:instrText>
      </w:r>
      <w:r>
        <w:rPr>
          <w:rFonts w:hint="default" w:ascii="Times New Roman" w:hAnsi="Times New Roman" w:eastAsia="宋体" w:cs="Times New Roman"/>
          <w:color w:val="auto"/>
          <w:kern w:val="2"/>
          <w:sz w:val="24"/>
          <w:szCs w:val="24"/>
          <w:u w:val="single"/>
          <w:lang w:val="en-US" w:eastAsia="zh-CN" w:bidi="ar-SA"/>
        </w:rPr>
        <w:fldChar w:fldCharType="separate"/>
      </w:r>
      <w:r>
        <w:rPr>
          <w:rFonts w:hint="default" w:ascii="Times New Roman" w:hAnsi="Times New Roman" w:eastAsia="宋体" w:cs="Times New Roman"/>
          <w:color w:val="auto"/>
          <w:kern w:val="2"/>
          <w:sz w:val="24"/>
          <w:szCs w:val="24"/>
          <w:u w:val="single"/>
          <w:lang w:val="en-US" w:eastAsia="zh-CN" w:bidi="ar-SA"/>
        </w:rPr>
        <w:t>5</w:t>
      </w:r>
      <w:r>
        <w:rPr>
          <w:rFonts w:hint="default" w:ascii="Times New Roman" w:hAnsi="Times New Roman" w:eastAsia="宋体" w:cs="Times New Roman"/>
          <w:color w:val="auto"/>
          <w:kern w:val="2"/>
          <w:sz w:val="24"/>
          <w:szCs w:val="24"/>
          <w:u w:val="single"/>
          <w:lang w:val="en-US" w:eastAsia="zh-CN" w:bidi="ar-SA"/>
        </w:rPr>
        <w:fldChar w:fldCharType="end"/>
      </w:r>
      <w:r>
        <w:rPr>
          <w:rFonts w:hint="default" w:ascii="Times New Roman" w:hAnsi="Times New Roman" w:eastAsia="宋体" w:cs="Times New Roman"/>
          <w:color w:val="auto"/>
          <w:kern w:val="2"/>
          <w:sz w:val="24"/>
          <w:szCs w:val="24"/>
          <w:u w:val="single"/>
          <w:lang w:val="en-US" w:eastAsia="zh-CN" w:bidi="ar-SA"/>
        </w:rPr>
        <w:t>-6</w:t>
      </w:r>
      <w:r>
        <w:rPr>
          <w:rFonts w:hint="default" w:ascii="Times New Roman" w:hAnsi="Times New Roman" w:eastAsia="宋体" w:cs="Times New Roman"/>
          <w:color w:val="auto"/>
          <w:kern w:val="2"/>
          <w:sz w:val="24"/>
          <w:szCs w:val="24"/>
          <w:u w:val="single"/>
          <w:lang w:val="en-US" w:eastAsia="zh-CN" w:bidi="ar-SA"/>
        </w:rPr>
        <w:fldChar w:fldCharType="end"/>
      </w:r>
      <w:r>
        <w:rPr>
          <w:rFonts w:hint="default" w:ascii="Times New Roman" w:hAnsi="Times New Roman" w:eastAsia="宋体" w:cs="Times New Roman"/>
          <w:color w:val="auto"/>
          <w:kern w:val="2"/>
          <w:sz w:val="24"/>
          <w:szCs w:val="24"/>
          <w:u w:val="single"/>
          <w:lang w:val="en-US" w:eastAsia="zh-CN" w:bidi="ar-SA"/>
        </w:rPr>
        <w:t>、</w:t>
      </w:r>
      <w:r>
        <w:rPr>
          <w:rFonts w:hint="default" w:ascii="Times New Roman" w:hAnsi="Times New Roman" w:eastAsia="宋体" w:cs="Times New Roman"/>
          <w:color w:val="auto"/>
          <w:kern w:val="2"/>
          <w:sz w:val="24"/>
          <w:szCs w:val="24"/>
          <w:u w:val="single"/>
          <w:lang w:val="en-US" w:eastAsia="zh-CN" w:bidi="ar-SA"/>
        </w:rPr>
        <w:fldChar w:fldCharType="begin"/>
      </w:r>
      <w:r>
        <w:rPr>
          <w:rFonts w:hint="default" w:ascii="Times New Roman" w:hAnsi="Times New Roman" w:eastAsia="宋体" w:cs="Times New Roman"/>
          <w:color w:val="auto"/>
          <w:kern w:val="2"/>
          <w:sz w:val="24"/>
          <w:szCs w:val="24"/>
          <w:u w:val="single"/>
          <w:lang w:val="en-US" w:eastAsia="zh-CN" w:bidi="ar-SA"/>
        </w:rPr>
        <w:instrText xml:space="preserve"> REF _Ref22471 \h </w:instrText>
      </w:r>
      <w:r>
        <w:rPr>
          <w:rFonts w:hint="default" w:ascii="Times New Roman" w:hAnsi="Times New Roman" w:eastAsia="宋体" w:cs="Times New Roman"/>
          <w:color w:val="auto"/>
          <w:kern w:val="2"/>
          <w:sz w:val="24"/>
          <w:szCs w:val="24"/>
          <w:u w:val="single"/>
          <w:lang w:val="en-US" w:eastAsia="zh-CN" w:bidi="ar-SA"/>
        </w:rPr>
        <w:fldChar w:fldCharType="separate"/>
      </w:r>
      <w:r>
        <w:rPr>
          <w:rFonts w:hint="default" w:ascii="Times New Roman" w:hAnsi="Times New Roman" w:eastAsia="宋体" w:cs="Times New Roman"/>
          <w:color w:val="auto"/>
          <w:kern w:val="2"/>
          <w:sz w:val="24"/>
          <w:szCs w:val="24"/>
          <w:u w:val="single"/>
          <w:lang w:val="en-US" w:eastAsia="zh-CN" w:bidi="ar-SA"/>
        </w:rPr>
        <w:t xml:space="preserve">表 </w:t>
      </w:r>
      <w:r>
        <w:rPr>
          <w:rFonts w:hint="default" w:ascii="Times New Roman" w:hAnsi="Times New Roman" w:eastAsia="宋体" w:cs="Times New Roman"/>
          <w:color w:val="auto"/>
          <w:kern w:val="2"/>
          <w:sz w:val="24"/>
          <w:szCs w:val="24"/>
          <w:u w:val="single"/>
          <w:lang w:val="en-US" w:eastAsia="zh-CN" w:bidi="ar-SA"/>
        </w:rPr>
        <w:fldChar w:fldCharType="begin"/>
      </w:r>
      <w:r>
        <w:rPr>
          <w:rFonts w:hint="default" w:ascii="Times New Roman" w:hAnsi="Times New Roman" w:eastAsia="宋体" w:cs="Times New Roman"/>
          <w:color w:val="auto"/>
          <w:kern w:val="2"/>
          <w:sz w:val="24"/>
          <w:szCs w:val="24"/>
          <w:u w:val="single"/>
          <w:lang w:val="en-US" w:eastAsia="zh-CN" w:bidi="ar-SA"/>
        </w:rPr>
        <w:instrText xml:space="preserve"> STYLEREF 1 \s </w:instrText>
      </w:r>
      <w:r>
        <w:rPr>
          <w:rFonts w:hint="default" w:ascii="Times New Roman" w:hAnsi="Times New Roman" w:eastAsia="宋体" w:cs="Times New Roman"/>
          <w:color w:val="auto"/>
          <w:kern w:val="2"/>
          <w:sz w:val="24"/>
          <w:szCs w:val="24"/>
          <w:u w:val="single"/>
          <w:lang w:val="en-US" w:eastAsia="zh-CN" w:bidi="ar-SA"/>
        </w:rPr>
        <w:fldChar w:fldCharType="separate"/>
      </w:r>
      <w:r>
        <w:rPr>
          <w:rFonts w:hint="default" w:ascii="Times New Roman" w:hAnsi="Times New Roman" w:eastAsia="宋体" w:cs="Times New Roman"/>
          <w:color w:val="auto"/>
          <w:kern w:val="2"/>
          <w:sz w:val="24"/>
          <w:szCs w:val="24"/>
          <w:u w:val="single"/>
          <w:lang w:val="en-US" w:eastAsia="zh-CN" w:bidi="ar-SA"/>
        </w:rPr>
        <w:t>5</w:t>
      </w:r>
      <w:r>
        <w:rPr>
          <w:rFonts w:hint="default" w:ascii="Times New Roman" w:hAnsi="Times New Roman" w:eastAsia="宋体" w:cs="Times New Roman"/>
          <w:color w:val="auto"/>
          <w:kern w:val="2"/>
          <w:sz w:val="24"/>
          <w:szCs w:val="24"/>
          <w:u w:val="single"/>
          <w:lang w:val="en-US" w:eastAsia="zh-CN" w:bidi="ar-SA"/>
        </w:rPr>
        <w:fldChar w:fldCharType="end"/>
      </w:r>
      <w:r>
        <w:rPr>
          <w:rFonts w:hint="default" w:ascii="Times New Roman" w:hAnsi="Times New Roman" w:eastAsia="宋体" w:cs="Times New Roman"/>
          <w:color w:val="auto"/>
          <w:kern w:val="2"/>
          <w:sz w:val="24"/>
          <w:szCs w:val="24"/>
          <w:u w:val="single"/>
          <w:lang w:val="en-US" w:eastAsia="zh-CN" w:bidi="ar-SA"/>
        </w:rPr>
        <w:t>-7</w:t>
      </w:r>
      <w:r>
        <w:rPr>
          <w:rFonts w:hint="default" w:ascii="Times New Roman" w:hAnsi="Times New Roman" w:eastAsia="宋体" w:cs="Times New Roman"/>
          <w:color w:val="auto"/>
          <w:kern w:val="2"/>
          <w:sz w:val="24"/>
          <w:szCs w:val="24"/>
          <w:u w:val="single"/>
          <w:lang w:val="en-US" w:eastAsia="zh-CN" w:bidi="ar-SA"/>
        </w:rPr>
        <w:fldChar w:fldCharType="end"/>
      </w:r>
      <w:r>
        <w:rPr>
          <w:rFonts w:hint="default" w:ascii="Times New Roman" w:hAnsi="Times New Roman" w:eastAsia="宋体" w:cs="Times New Roman"/>
          <w:color w:val="auto"/>
          <w:kern w:val="2"/>
          <w:sz w:val="24"/>
          <w:szCs w:val="24"/>
          <w:u w:val="single"/>
          <w:lang w:val="en-US" w:eastAsia="zh-CN" w:bidi="ar-SA"/>
        </w:rPr>
        <w:t>。</w:t>
      </w: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u w:val="single"/>
        </w:rPr>
      </w:pP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u w:val="single"/>
        </w:rPr>
      </w:pP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u w:val="single"/>
        </w:rPr>
      </w:pP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u w:val="single"/>
        </w:rPr>
      </w:pP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u w:val="single"/>
        </w:rPr>
      </w:pP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u w:val="single"/>
        </w:rPr>
      </w:pP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u w:val="single"/>
          <w:lang w:eastAsia="zh-CN"/>
        </w:rPr>
      </w:pPr>
      <w:r>
        <w:rPr>
          <w:rFonts w:hint="default" w:ascii="Times New Roman" w:hAnsi="Times New Roman" w:cs="Times New Roman"/>
          <w:color w:val="auto"/>
          <w:u w:val="single"/>
        </w:rPr>
        <w:t xml:space="preserve">表 </w:t>
      </w:r>
      <w:r>
        <w:rPr>
          <w:rFonts w:hint="default" w:ascii="Times New Roman" w:hAnsi="Times New Roman" w:cs="Times New Roman"/>
          <w:color w:val="auto"/>
          <w:u w:val="single"/>
        </w:rPr>
        <w:fldChar w:fldCharType="begin"/>
      </w:r>
      <w:r>
        <w:rPr>
          <w:rFonts w:hint="default" w:ascii="Times New Roman" w:hAnsi="Times New Roman" w:cs="Times New Roman"/>
          <w:color w:val="auto"/>
          <w:u w:val="single"/>
        </w:rPr>
        <w:instrText xml:space="preserve"> STYLEREF 1 \s </w:instrText>
      </w:r>
      <w:r>
        <w:rPr>
          <w:rFonts w:hint="default" w:ascii="Times New Roman" w:hAnsi="Times New Roman" w:cs="Times New Roman"/>
          <w:color w:val="auto"/>
          <w:u w:val="single"/>
        </w:rPr>
        <w:fldChar w:fldCharType="separate"/>
      </w:r>
      <w:r>
        <w:rPr>
          <w:rFonts w:hint="default" w:ascii="Times New Roman" w:hAnsi="Times New Roman" w:cs="Times New Roman"/>
          <w:color w:val="auto"/>
          <w:u w:val="single"/>
        </w:rPr>
        <w:t>5</w:t>
      </w:r>
      <w:r>
        <w:rPr>
          <w:rFonts w:hint="default" w:ascii="Times New Roman" w:hAnsi="Times New Roman" w:cs="Times New Roman"/>
          <w:color w:val="auto"/>
          <w:u w:val="single"/>
        </w:rPr>
        <w:fldChar w:fldCharType="end"/>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fldChar w:fldCharType="begin"/>
      </w:r>
      <w:r>
        <w:rPr>
          <w:rFonts w:hint="default" w:ascii="Times New Roman" w:hAnsi="Times New Roman" w:cs="Times New Roman"/>
          <w:color w:val="auto"/>
          <w:u w:val="single"/>
        </w:rPr>
        <w:instrText xml:space="preserve"> SEQ 表 \* ARABIC \s 1 </w:instrText>
      </w:r>
      <w:r>
        <w:rPr>
          <w:rFonts w:hint="default" w:ascii="Times New Roman" w:hAnsi="Times New Roman" w:cs="Times New Roman"/>
          <w:color w:val="auto"/>
          <w:u w:val="single"/>
        </w:rPr>
        <w:fldChar w:fldCharType="separate"/>
      </w:r>
      <w:r>
        <w:rPr>
          <w:rFonts w:hint="default" w:ascii="Times New Roman" w:hAnsi="Times New Roman" w:cs="Times New Roman"/>
          <w:color w:val="auto"/>
          <w:u w:val="single"/>
        </w:rPr>
        <w:t>6</w:t>
      </w:r>
      <w:r>
        <w:rPr>
          <w:rFonts w:hint="default" w:ascii="Times New Roman" w:hAnsi="Times New Roman" w:cs="Times New Roman"/>
          <w:color w:val="auto"/>
          <w:u w:val="single"/>
        </w:rPr>
        <w:fldChar w:fldCharType="end"/>
      </w:r>
      <w:r>
        <w:rPr>
          <w:rFonts w:hint="default" w:ascii="Times New Roman" w:hAnsi="Times New Roman" w:cs="Times New Roman"/>
          <w:color w:val="auto"/>
          <w:u w:val="single"/>
          <w:lang w:val="en-US" w:eastAsia="zh-CN"/>
        </w:rPr>
        <w:t xml:space="preserve"> </w:t>
      </w:r>
      <w:r>
        <w:rPr>
          <w:rFonts w:hint="default" w:ascii="Times New Roman" w:hAnsi="Times New Roman" w:cs="Times New Roman"/>
          <w:color w:val="auto"/>
          <w:u w:val="single"/>
        </w:rPr>
        <w:t>长江城陵矶</w:t>
      </w:r>
      <w:r>
        <w:rPr>
          <w:rFonts w:hint="default" w:ascii="Times New Roman" w:hAnsi="Times New Roman" w:cs="Times New Roman"/>
          <w:color w:val="auto"/>
          <w:u w:val="single"/>
          <w:lang w:eastAsia="zh-CN"/>
        </w:rPr>
        <w:t>断面</w:t>
      </w:r>
      <w:r>
        <w:rPr>
          <w:rFonts w:hint="default" w:ascii="Times New Roman" w:hAnsi="Times New Roman" w:cs="Times New Roman"/>
          <w:color w:val="auto"/>
          <w:u w:val="single"/>
        </w:rPr>
        <w:t>水质监测结果统计表</w:t>
      </w:r>
      <w:r>
        <w:rPr>
          <w:rFonts w:hint="default" w:ascii="Times New Roman" w:hAnsi="Times New Roman" w:cs="Times New Roman"/>
          <w:color w:val="auto"/>
          <w:u w:val="single"/>
          <w:lang w:val="en-US" w:eastAsia="zh-CN"/>
        </w:rPr>
        <w:t>，</w:t>
      </w:r>
      <w:r>
        <w:rPr>
          <w:rFonts w:hint="default" w:ascii="Times New Roman" w:hAnsi="Times New Roman" w:cs="Times New Roman"/>
          <w:color w:val="auto"/>
          <w:u w:val="single"/>
        </w:rPr>
        <w:t>mg/L</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pH 无量纲</w:t>
      </w:r>
      <w:r>
        <w:rPr>
          <w:rFonts w:hint="default" w:ascii="Times New Roman" w:hAnsi="Times New Roman" w:cs="Times New Roman"/>
          <w:color w:val="auto"/>
          <w:u w:val="single"/>
          <w:lang w:eastAsia="zh-CN"/>
        </w:rPr>
        <w:t>）</w:t>
      </w:r>
    </w:p>
    <w:tbl>
      <w:tblPr>
        <w:tblStyle w:val="25"/>
        <w:tblpPr w:leftFromText="180" w:rightFromText="180" w:vertAnchor="text" w:tblpXSpec="center" w:tblpY="1"/>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1410"/>
        <w:gridCol w:w="2130"/>
        <w:gridCol w:w="885"/>
        <w:gridCol w:w="735"/>
        <w:gridCol w:w="945"/>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336" w:type="dxa"/>
            <w:tcBorders>
              <w:top w:val="single" w:color="auto" w:sz="12" w:space="0"/>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断面</w:t>
            </w:r>
          </w:p>
        </w:tc>
        <w:tc>
          <w:tcPr>
            <w:tcW w:w="1410"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监测因子</w:t>
            </w:r>
          </w:p>
        </w:tc>
        <w:tc>
          <w:tcPr>
            <w:tcW w:w="2130"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范围值</w:t>
            </w:r>
          </w:p>
        </w:tc>
        <w:tc>
          <w:tcPr>
            <w:tcW w:w="885"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标准指数</w:t>
            </w:r>
          </w:p>
        </w:tc>
        <w:tc>
          <w:tcPr>
            <w:tcW w:w="735"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超标率</w:t>
            </w:r>
          </w:p>
        </w:tc>
        <w:tc>
          <w:tcPr>
            <w:tcW w:w="945" w:type="dxa"/>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最大超标倍数</w:t>
            </w:r>
          </w:p>
        </w:tc>
        <w:tc>
          <w:tcPr>
            <w:tcW w:w="1081" w:type="dxa"/>
            <w:tcBorders>
              <w:top w:val="single" w:color="auto" w:sz="12"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rPr>
              <w:fldChar w:fldCharType="begin"/>
            </w:r>
            <w:r>
              <w:rPr>
                <w:rFonts w:hint="default" w:ascii="Times New Roman" w:hAnsi="Times New Roman" w:cs="Times New Roman"/>
                <w:color w:val="auto"/>
                <w:sz w:val="21"/>
                <w:szCs w:val="21"/>
                <w:u w:val="single"/>
                <w:vertAlign w:val="baseline"/>
              </w:rPr>
              <w:instrText xml:space="preserve"> = 3 \* ROMAN \* MERGEFORMAT </w:instrText>
            </w:r>
            <w:r>
              <w:rPr>
                <w:rFonts w:hint="default" w:ascii="Times New Roman" w:hAnsi="Times New Roman" w:cs="Times New Roman"/>
                <w:color w:val="auto"/>
                <w:sz w:val="21"/>
                <w:szCs w:val="21"/>
                <w:u w:val="single"/>
                <w:vertAlign w:val="baseline"/>
              </w:rPr>
              <w:fldChar w:fldCharType="separate"/>
            </w:r>
            <w:r>
              <w:rPr>
                <w:rFonts w:hint="default" w:ascii="Times New Roman" w:hAnsi="Times New Roman" w:cs="Times New Roman"/>
                <w:color w:val="auto"/>
                <w:sz w:val="21"/>
                <w:szCs w:val="21"/>
                <w:u w:val="single"/>
              </w:rPr>
              <w:t>III</w:t>
            </w:r>
            <w:r>
              <w:rPr>
                <w:rFonts w:hint="default" w:ascii="Times New Roman" w:hAnsi="Times New Roman" w:cs="Times New Roman"/>
                <w:color w:val="auto"/>
                <w:sz w:val="21"/>
                <w:szCs w:val="21"/>
                <w:u w:val="single"/>
                <w:vertAlign w:val="baseline"/>
              </w:rPr>
              <w:fldChar w:fldCharType="end"/>
            </w:r>
            <w:r>
              <w:rPr>
                <w:rFonts w:hint="default" w:ascii="Times New Roman" w:hAnsi="Times New Roman" w:cs="Times New Roman"/>
                <w:color w:val="auto"/>
                <w:sz w:val="21"/>
                <w:szCs w:val="21"/>
                <w:u w:val="single"/>
                <w:vertAlign w:val="baseline"/>
                <w:lang w:eastAsia="zh-CN"/>
              </w:rPr>
              <w:t>类标准值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36" w:type="dxa"/>
            <w:vMerge w:val="restart"/>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长江城陵矶断面（</w:t>
            </w:r>
            <w:r>
              <w:rPr>
                <w:rFonts w:hint="default" w:ascii="Times New Roman" w:hAnsi="Times New Roman" w:cs="Times New Roman"/>
                <w:color w:val="auto"/>
                <w:sz w:val="21"/>
                <w:szCs w:val="21"/>
                <w:u w:val="single"/>
                <w:vertAlign w:val="baseline"/>
                <w:lang w:val="en-US" w:eastAsia="zh-CN"/>
              </w:rPr>
              <w:t>2019.1</w:t>
            </w:r>
            <w:r>
              <w:rPr>
                <w:rFonts w:hint="default" w:ascii="Times New Roman" w:hAnsi="Times New Roman" w:cs="Times New Roman"/>
                <w:color w:val="auto"/>
                <w:sz w:val="21"/>
                <w:szCs w:val="21"/>
                <w:u w:val="single"/>
                <w:vertAlign w:val="baseline"/>
                <w:lang w:eastAsia="zh-CN"/>
              </w:rPr>
              <w:t>）</w:t>
            </w: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pH</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8.03</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0.485</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高锰酸钾指数</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1.7</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0.283</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COD</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6.0</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0.300</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BOD</w:t>
            </w:r>
            <w:r>
              <w:rPr>
                <w:rFonts w:hint="default" w:ascii="Times New Roman" w:hAnsi="Times New Roman" w:cs="Times New Roman"/>
                <w:color w:val="auto"/>
                <w:sz w:val="21"/>
                <w:szCs w:val="21"/>
                <w:u w:val="single"/>
                <w:vertAlign w:val="subscript"/>
                <w:lang w:val="en-US" w:eastAsia="zh-CN"/>
              </w:rPr>
              <w:t>5</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0.70</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0.175</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tabs>
                <w:tab w:val="left" w:pos="507"/>
              </w:tabs>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NH</w:t>
            </w:r>
            <w:r>
              <w:rPr>
                <w:rFonts w:hint="default" w:ascii="Times New Roman" w:hAnsi="Times New Roman" w:cs="Times New Roman"/>
                <w:color w:val="auto"/>
                <w:sz w:val="21"/>
                <w:szCs w:val="21"/>
                <w:u w:val="single"/>
                <w:vertAlign w:val="subscript"/>
                <w:lang w:val="en-US" w:eastAsia="zh-CN"/>
              </w:rPr>
              <w:t>3</w:t>
            </w:r>
            <w:r>
              <w:rPr>
                <w:rFonts w:hint="default" w:ascii="Times New Roman" w:hAnsi="Times New Roman" w:cs="Times New Roman"/>
                <w:color w:val="auto"/>
                <w:sz w:val="21"/>
                <w:szCs w:val="21"/>
                <w:u w:val="single"/>
                <w:vertAlign w:val="baseline"/>
                <w:lang w:val="en-US" w:eastAsia="zh-CN"/>
              </w:rPr>
              <w:t>-N</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0.23</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0.230</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TP</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0.120</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0.600</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铜</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0.02</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0.020</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锌</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0.004</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0.004</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氟化物</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0.16</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0.160</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硒</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0.0002</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0.020</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砷</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0.0019</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0.038</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汞</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0.00002</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0.200</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镉</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0.0003</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0.060</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六价铬</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0.002</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0.040</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铅</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0.0002</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0.004</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氰化物</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0.0005</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0.003</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挥发酚</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0.0006</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0.000</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石油类</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0.005</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0.100</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阴离子表面活性剂</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0.04</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0.200</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硫化物</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0.002</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0.010</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8522" w:type="dxa"/>
            <w:gridSpan w:val="7"/>
            <w:tcBorders>
              <w:left w:val="single" w:color="auto" w:sz="12" w:space="0"/>
              <w:bottom w:val="single" w:color="auto" w:sz="12"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注：悬浮物参照《地表水资源质量标准》（SL63-94）三级标准。</w:t>
            </w:r>
          </w:p>
        </w:tc>
      </w:tr>
    </w:tbl>
    <w:p>
      <w:pPr>
        <w:pStyle w:val="14"/>
        <w:bidi w:val="0"/>
        <w:rPr>
          <w:rFonts w:hint="default" w:ascii="Times New Roman" w:hAnsi="Times New Roman" w:cs="Times New Roman"/>
          <w:color w:val="auto"/>
          <w:u w:val="single"/>
        </w:rPr>
      </w:pPr>
    </w:p>
    <w:p>
      <w:pPr>
        <w:pStyle w:val="14"/>
        <w:bidi w:val="0"/>
        <w:rPr>
          <w:rFonts w:hint="default" w:ascii="Times New Roman" w:hAnsi="Times New Roman" w:cs="Times New Roman"/>
          <w:color w:val="auto"/>
          <w:u w:val="single"/>
        </w:rPr>
      </w:pPr>
    </w:p>
    <w:p>
      <w:pPr>
        <w:pStyle w:val="14"/>
        <w:bidi w:val="0"/>
        <w:rPr>
          <w:rFonts w:hint="default" w:ascii="Times New Roman" w:hAnsi="Times New Roman" w:cs="Times New Roman"/>
          <w:color w:val="auto"/>
          <w:u w:val="single"/>
        </w:rPr>
      </w:pPr>
    </w:p>
    <w:p>
      <w:pPr>
        <w:pStyle w:val="14"/>
        <w:bidi w:val="0"/>
        <w:rPr>
          <w:rFonts w:hint="default" w:ascii="Times New Roman" w:hAnsi="Times New Roman" w:cs="Times New Roman"/>
          <w:color w:val="auto"/>
          <w:u w:val="single"/>
        </w:rPr>
      </w:pPr>
    </w:p>
    <w:p>
      <w:pPr>
        <w:pStyle w:val="14"/>
        <w:bidi w:val="0"/>
        <w:rPr>
          <w:rFonts w:hint="default" w:ascii="Times New Roman" w:hAnsi="Times New Roman" w:cs="Times New Roman"/>
          <w:color w:val="auto"/>
          <w:u w:val="single"/>
        </w:rPr>
      </w:pPr>
    </w:p>
    <w:p>
      <w:pPr>
        <w:pStyle w:val="14"/>
        <w:bidi w:val="0"/>
        <w:rPr>
          <w:rFonts w:hint="default" w:ascii="Times New Roman" w:hAnsi="Times New Roman" w:cs="Times New Roman"/>
          <w:color w:val="auto"/>
          <w:u w:val="single"/>
        </w:rPr>
      </w:pPr>
    </w:p>
    <w:p>
      <w:pPr>
        <w:pStyle w:val="14"/>
        <w:bidi w:val="0"/>
        <w:rPr>
          <w:rFonts w:hint="default" w:ascii="Times New Roman" w:hAnsi="Times New Roman" w:cs="Times New Roman"/>
          <w:color w:val="auto"/>
          <w:u w:val="single"/>
        </w:rPr>
      </w:pPr>
    </w:p>
    <w:p>
      <w:pPr>
        <w:pStyle w:val="14"/>
        <w:bidi w:val="0"/>
        <w:rPr>
          <w:rFonts w:hint="default" w:ascii="Times New Roman" w:hAnsi="Times New Roman" w:cs="Times New Roman"/>
          <w:color w:val="auto"/>
          <w:u w:val="single"/>
        </w:rPr>
      </w:pPr>
    </w:p>
    <w:p>
      <w:pPr>
        <w:pStyle w:val="14"/>
        <w:bidi w:val="0"/>
        <w:rPr>
          <w:rFonts w:hint="default" w:ascii="Times New Roman" w:hAnsi="Times New Roman" w:cs="Times New Roman"/>
          <w:color w:val="auto"/>
          <w:u w:val="single"/>
        </w:rPr>
      </w:pPr>
      <w:r>
        <w:rPr>
          <w:rFonts w:hint="default" w:ascii="Times New Roman" w:hAnsi="Times New Roman" w:cs="Times New Roman"/>
          <w:color w:val="auto"/>
          <w:u w:val="single"/>
        </w:rPr>
        <w:t xml:space="preserve">表 </w:t>
      </w:r>
      <w:r>
        <w:rPr>
          <w:rFonts w:hint="default" w:ascii="Times New Roman" w:hAnsi="Times New Roman" w:cs="Times New Roman"/>
          <w:color w:val="auto"/>
          <w:u w:val="single"/>
        </w:rPr>
        <w:fldChar w:fldCharType="begin"/>
      </w:r>
      <w:r>
        <w:rPr>
          <w:rFonts w:hint="default" w:ascii="Times New Roman" w:hAnsi="Times New Roman" w:cs="Times New Roman"/>
          <w:color w:val="auto"/>
          <w:u w:val="single"/>
        </w:rPr>
        <w:instrText xml:space="preserve"> STYLEREF 1 \s </w:instrText>
      </w:r>
      <w:r>
        <w:rPr>
          <w:rFonts w:hint="default" w:ascii="Times New Roman" w:hAnsi="Times New Roman" w:cs="Times New Roman"/>
          <w:color w:val="auto"/>
          <w:u w:val="single"/>
        </w:rPr>
        <w:fldChar w:fldCharType="separate"/>
      </w:r>
      <w:r>
        <w:rPr>
          <w:rFonts w:hint="default" w:ascii="Times New Roman" w:hAnsi="Times New Roman" w:cs="Times New Roman"/>
          <w:color w:val="auto"/>
          <w:u w:val="single"/>
        </w:rPr>
        <w:t>5</w:t>
      </w:r>
      <w:r>
        <w:rPr>
          <w:rFonts w:hint="default" w:ascii="Times New Roman" w:hAnsi="Times New Roman" w:cs="Times New Roman"/>
          <w:color w:val="auto"/>
          <w:u w:val="single"/>
        </w:rPr>
        <w:fldChar w:fldCharType="end"/>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lang w:val="en-US" w:eastAsia="zh-CN"/>
        </w:rPr>
        <w:t xml:space="preserve">7 </w:t>
      </w:r>
      <w:r>
        <w:rPr>
          <w:rFonts w:hint="default" w:ascii="Times New Roman" w:hAnsi="Times New Roman" w:cs="Times New Roman"/>
          <w:color w:val="auto"/>
          <w:u w:val="single"/>
        </w:rPr>
        <w:t>长江</w:t>
      </w:r>
      <w:r>
        <w:rPr>
          <w:rFonts w:hint="default" w:ascii="Times New Roman" w:hAnsi="Times New Roman" w:cs="Times New Roman"/>
          <w:color w:val="auto"/>
          <w:u w:val="single"/>
          <w:lang w:eastAsia="zh-CN"/>
        </w:rPr>
        <w:t>陆城断面</w:t>
      </w:r>
      <w:r>
        <w:rPr>
          <w:rFonts w:hint="default" w:ascii="Times New Roman" w:hAnsi="Times New Roman" w:cs="Times New Roman"/>
          <w:color w:val="auto"/>
          <w:u w:val="single"/>
        </w:rPr>
        <w:t>水质监测结果统计表</w:t>
      </w:r>
      <w:r>
        <w:rPr>
          <w:rFonts w:hint="default" w:ascii="Times New Roman" w:hAnsi="Times New Roman" w:cs="Times New Roman"/>
          <w:color w:val="auto"/>
          <w:u w:val="single"/>
          <w:lang w:val="en-US" w:eastAsia="zh-CN"/>
        </w:rPr>
        <w:t>，</w:t>
      </w:r>
      <w:r>
        <w:rPr>
          <w:rFonts w:hint="default" w:ascii="Times New Roman" w:hAnsi="Times New Roman" w:cs="Times New Roman"/>
          <w:color w:val="auto"/>
          <w:u w:val="single"/>
        </w:rPr>
        <w:t>mg/L</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pH 无量纲</w:t>
      </w:r>
      <w:r>
        <w:rPr>
          <w:rFonts w:hint="default" w:ascii="Times New Roman" w:hAnsi="Times New Roman" w:cs="Times New Roman"/>
          <w:color w:val="auto"/>
          <w:u w:val="single"/>
          <w:lang w:eastAsia="zh-CN"/>
        </w:rPr>
        <w:t>）</w:t>
      </w:r>
    </w:p>
    <w:tbl>
      <w:tblPr>
        <w:tblStyle w:val="25"/>
        <w:tblpPr w:leftFromText="180" w:rightFromText="180" w:vertAnchor="text" w:tblpXSpec="center" w:tblpY="1"/>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1410"/>
        <w:gridCol w:w="2130"/>
        <w:gridCol w:w="885"/>
        <w:gridCol w:w="735"/>
        <w:gridCol w:w="945"/>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336" w:type="dxa"/>
            <w:tcBorders>
              <w:left w:val="single" w:color="auto" w:sz="12"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u w:val="single"/>
                <w:vertAlign w:val="baseline"/>
                <w:lang w:val="en-US" w:eastAsia="zh-CN" w:bidi="ar-SA"/>
              </w:rPr>
            </w:pPr>
            <w:r>
              <w:rPr>
                <w:rFonts w:hint="default" w:ascii="Times New Roman" w:hAnsi="Times New Roman" w:cs="Times New Roman"/>
                <w:color w:val="auto"/>
                <w:sz w:val="21"/>
                <w:szCs w:val="21"/>
                <w:u w:val="single"/>
                <w:vertAlign w:val="baseline"/>
                <w:lang w:eastAsia="zh-CN"/>
              </w:rPr>
              <w:t>断面</w:t>
            </w:r>
          </w:p>
        </w:tc>
        <w:tc>
          <w:tcPr>
            <w:tcW w:w="14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u w:val="single"/>
                <w:vertAlign w:val="baseline"/>
                <w:lang w:val="en-US" w:eastAsia="zh-CN" w:bidi="ar-SA"/>
              </w:rPr>
            </w:pPr>
            <w:r>
              <w:rPr>
                <w:rFonts w:hint="default" w:ascii="Times New Roman" w:hAnsi="Times New Roman" w:cs="Times New Roman"/>
                <w:color w:val="auto"/>
                <w:sz w:val="21"/>
                <w:szCs w:val="21"/>
                <w:u w:val="single"/>
                <w:vertAlign w:val="baseline"/>
                <w:lang w:eastAsia="zh-CN"/>
              </w:rPr>
              <w:t>监测因子</w:t>
            </w:r>
          </w:p>
        </w:tc>
        <w:tc>
          <w:tcPr>
            <w:tcW w:w="213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u w:val="single"/>
                <w:vertAlign w:val="baseline"/>
                <w:lang w:val="en-US" w:eastAsia="zh-CN" w:bidi="ar-SA"/>
              </w:rPr>
            </w:pPr>
            <w:r>
              <w:rPr>
                <w:rFonts w:hint="default" w:ascii="Times New Roman" w:hAnsi="Times New Roman" w:cs="Times New Roman"/>
                <w:color w:val="auto"/>
                <w:sz w:val="21"/>
                <w:szCs w:val="21"/>
                <w:u w:val="single"/>
                <w:vertAlign w:val="baseline"/>
                <w:lang w:eastAsia="zh-CN"/>
              </w:rPr>
              <w:t>范围值</w:t>
            </w:r>
          </w:p>
        </w:tc>
        <w:tc>
          <w:tcPr>
            <w:tcW w:w="885"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u w:val="single"/>
                <w:vertAlign w:val="baseline"/>
                <w:lang w:val="en-US" w:eastAsia="zh-CN" w:bidi="ar-SA"/>
              </w:rPr>
            </w:pPr>
            <w:r>
              <w:rPr>
                <w:rFonts w:hint="default" w:ascii="Times New Roman" w:hAnsi="Times New Roman" w:cs="Times New Roman"/>
                <w:color w:val="auto"/>
                <w:sz w:val="21"/>
                <w:szCs w:val="21"/>
                <w:u w:val="single"/>
                <w:vertAlign w:val="baseline"/>
                <w:lang w:eastAsia="zh-CN"/>
              </w:rPr>
              <w:t>标准指数</w:t>
            </w:r>
          </w:p>
        </w:tc>
        <w:tc>
          <w:tcPr>
            <w:tcW w:w="735"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u w:val="single"/>
                <w:vertAlign w:val="baseline"/>
                <w:lang w:val="en-US" w:eastAsia="zh-CN" w:bidi="ar-SA"/>
              </w:rPr>
            </w:pPr>
            <w:r>
              <w:rPr>
                <w:rFonts w:hint="default" w:ascii="Times New Roman" w:hAnsi="Times New Roman" w:cs="Times New Roman"/>
                <w:color w:val="auto"/>
                <w:sz w:val="21"/>
                <w:szCs w:val="21"/>
                <w:u w:val="single"/>
                <w:vertAlign w:val="baseline"/>
                <w:lang w:eastAsia="zh-CN"/>
              </w:rPr>
              <w:t>超标率</w:t>
            </w:r>
          </w:p>
        </w:tc>
        <w:tc>
          <w:tcPr>
            <w:tcW w:w="945"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u w:val="single"/>
                <w:vertAlign w:val="baseline"/>
                <w:lang w:val="en-US" w:eastAsia="zh-CN" w:bidi="ar-SA"/>
              </w:rPr>
            </w:pPr>
            <w:r>
              <w:rPr>
                <w:rFonts w:hint="default" w:ascii="Times New Roman" w:hAnsi="Times New Roman" w:cs="Times New Roman"/>
                <w:color w:val="auto"/>
                <w:sz w:val="21"/>
                <w:szCs w:val="21"/>
                <w:u w:val="single"/>
                <w:vertAlign w:val="baseline"/>
                <w:lang w:eastAsia="zh-CN"/>
              </w:rPr>
              <w:t>最大超标倍数</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u w:val="single"/>
                <w:vertAlign w:val="baseline"/>
                <w:lang w:val="en-US" w:eastAsia="zh-CN" w:bidi="ar-SA"/>
              </w:rPr>
            </w:pPr>
            <w:r>
              <w:rPr>
                <w:rFonts w:hint="default" w:ascii="Times New Roman" w:hAnsi="Times New Roman" w:cs="Times New Roman"/>
                <w:color w:val="auto"/>
                <w:sz w:val="21"/>
                <w:szCs w:val="21"/>
                <w:u w:val="single"/>
                <w:vertAlign w:val="baseline"/>
              </w:rPr>
              <w:fldChar w:fldCharType="begin"/>
            </w:r>
            <w:r>
              <w:rPr>
                <w:rFonts w:hint="default" w:ascii="Times New Roman" w:hAnsi="Times New Roman" w:cs="Times New Roman"/>
                <w:color w:val="auto"/>
                <w:sz w:val="21"/>
                <w:szCs w:val="21"/>
                <w:u w:val="single"/>
                <w:vertAlign w:val="baseline"/>
              </w:rPr>
              <w:instrText xml:space="preserve"> = 3 \* ROMAN \* MERGEFORMAT </w:instrText>
            </w:r>
            <w:r>
              <w:rPr>
                <w:rFonts w:hint="default" w:ascii="Times New Roman" w:hAnsi="Times New Roman" w:cs="Times New Roman"/>
                <w:color w:val="auto"/>
                <w:sz w:val="21"/>
                <w:szCs w:val="21"/>
                <w:u w:val="single"/>
                <w:vertAlign w:val="baseline"/>
              </w:rPr>
              <w:fldChar w:fldCharType="separate"/>
            </w:r>
            <w:r>
              <w:rPr>
                <w:rFonts w:hint="default" w:ascii="Times New Roman" w:hAnsi="Times New Roman" w:cs="Times New Roman"/>
                <w:color w:val="auto"/>
                <w:sz w:val="21"/>
                <w:szCs w:val="21"/>
                <w:u w:val="single"/>
              </w:rPr>
              <w:t>III</w:t>
            </w:r>
            <w:r>
              <w:rPr>
                <w:rFonts w:hint="default" w:ascii="Times New Roman" w:hAnsi="Times New Roman" w:cs="Times New Roman"/>
                <w:color w:val="auto"/>
                <w:sz w:val="21"/>
                <w:szCs w:val="21"/>
                <w:u w:val="single"/>
                <w:vertAlign w:val="baseline"/>
              </w:rPr>
              <w:fldChar w:fldCharType="end"/>
            </w:r>
            <w:r>
              <w:rPr>
                <w:rFonts w:hint="default" w:ascii="Times New Roman" w:hAnsi="Times New Roman" w:cs="Times New Roman"/>
                <w:color w:val="auto"/>
                <w:sz w:val="21"/>
                <w:szCs w:val="21"/>
                <w:u w:val="single"/>
                <w:vertAlign w:val="baseline"/>
                <w:lang w:eastAsia="zh-CN"/>
              </w:rPr>
              <w:t>类标准值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36" w:type="dxa"/>
            <w:vMerge w:val="restart"/>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陆城断面（</w:t>
            </w:r>
            <w:r>
              <w:rPr>
                <w:rFonts w:hint="default" w:ascii="Times New Roman" w:hAnsi="Times New Roman" w:cs="Times New Roman"/>
                <w:color w:val="auto"/>
                <w:sz w:val="21"/>
                <w:szCs w:val="21"/>
                <w:u w:val="single"/>
                <w:vertAlign w:val="baseline"/>
                <w:lang w:val="en-US" w:eastAsia="zh-CN"/>
              </w:rPr>
              <w:t>2019.1</w:t>
            </w:r>
            <w:r>
              <w:rPr>
                <w:rFonts w:hint="default" w:ascii="Times New Roman" w:hAnsi="Times New Roman" w:cs="Times New Roman"/>
                <w:color w:val="auto"/>
                <w:sz w:val="21"/>
                <w:szCs w:val="21"/>
                <w:u w:val="single"/>
                <w:vertAlign w:val="baseline"/>
                <w:lang w:eastAsia="zh-CN"/>
              </w:rPr>
              <w:t>）</w:t>
            </w: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pH</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7.57-7.59</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0.295</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高锰酸钾指数</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2.0-2.2</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0.367</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COD</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5.0-11.3</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0.565</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BOD</w:t>
            </w:r>
            <w:r>
              <w:rPr>
                <w:rFonts w:hint="default" w:ascii="Times New Roman" w:hAnsi="Times New Roman" w:cs="Times New Roman"/>
                <w:color w:val="auto"/>
                <w:sz w:val="21"/>
                <w:szCs w:val="21"/>
                <w:u w:val="single"/>
                <w:vertAlign w:val="subscript"/>
                <w:lang w:val="en-US" w:eastAsia="zh-CN"/>
              </w:rPr>
              <w:t>5</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1.20-2.17</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0.543</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tabs>
                <w:tab w:val="left" w:pos="507"/>
              </w:tabs>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NH</w:t>
            </w:r>
            <w:r>
              <w:rPr>
                <w:rFonts w:hint="default" w:ascii="Times New Roman" w:hAnsi="Times New Roman" w:cs="Times New Roman"/>
                <w:color w:val="auto"/>
                <w:sz w:val="21"/>
                <w:szCs w:val="21"/>
                <w:u w:val="single"/>
                <w:vertAlign w:val="subscript"/>
                <w:lang w:val="en-US" w:eastAsia="zh-CN"/>
              </w:rPr>
              <w:t>3</w:t>
            </w:r>
            <w:r>
              <w:rPr>
                <w:rFonts w:hint="default" w:ascii="Times New Roman" w:hAnsi="Times New Roman" w:cs="Times New Roman"/>
                <w:color w:val="auto"/>
                <w:sz w:val="21"/>
                <w:szCs w:val="21"/>
                <w:u w:val="single"/>
                <w:vertAlign w:val="baseline"/>
                <w:lang w:val="en-US" w:eastAsia="zh-CN"/>
              </w:rPr>
              <w:t>-N</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0.11-0.18</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0.180</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5"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TP</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0.077-0.083</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0.415</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铜</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0.002667-0.003</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0.003</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锌</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0.05L</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氟化物</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0.103-0.230</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0.230</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硒</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0.0004L</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砷</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0.0018-0.002933</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0.059</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汞</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0.00004L</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镉</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0.0001L</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六价铬</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0.004L</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铅</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0.002L</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氰化物</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0.001L</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挥发酚</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0.0003L</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石油类</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0.01L</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阴离子表面活性剂</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0.05L</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336" w:type="dxa"/>
            <w:vMerge w:val="continue"/>
            <w:tcBorders>
              <w:lef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rPr>
            </w:pPr>
          </w:p>
        </w:tc>
        <w:tc>
          <w:tcPr>
            <w:tcW w:w="14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硫化物</w:t>
            </w:r>
          </w:p>
        </w:tc>
        <w:tc>
          <w:tcPr>
            <w:tcW w:w="21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0.005L</w:t>
            </w:r>
          </w:p>
        </w:tc>
        <w:tc>
          <w:tcPr>
            <w:tcW w:w="88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w:t>
            </w:r>
          </w:p>
        </w:tc>
        <w:tc>
          <w:tcPr>
            <w:tcW w:w="7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8522" w:type="dxa"/>
            <w:gridSpan w:val="7"/>
            <w:tcBorders>
              <w:left w:val="single" w:color="auto" w:sz="12" w:space="0"/>
              <w:bottom w:val="single" w:color="auto" w:sz="12" w:space="0"/>
              <w:right w:val="single" w:color="auto" w:sz="12" w:space="0"/>
            </w:tcBorders>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注：悬浮物参照《地表水资源质量标准》（SL63-94）三级标准。</w:t>
            </w:r>
          </w:p>
        </w:tc>
      </w:tr>
    </w:tbl>
    <w:p>
      <w:pPr>
        <w:pStyle w:val="39"/>
        <w:keepNext w:val="0"/>
        <w:keepLines w:val="0"/>
        <w:pageBreakBefore w:val="0"/>
        <w:widowControl w:val="0"/>
        <w:kinsoku/>
        <w:wordWrap/>
        <w:overflowPunct/>
        <w:topLinePunct w:val="0"/>
        <w:autoSpaceDE/>
        <w:autoSpaceDN/>
        <w:bidi w:val="0"/>
        <w:adjustRightInd/>
        <w:snapToGrid/>
        <w:spacing w:before="157" w:beforeLines="50"/>
        <w:textAlignment w:val="auto"/>
        <w:outlineLvl w:val="9"/>
        <w:rPr>
          <w:rFonts w:hint="default" w:ascii="Times New Roman" w:hAnsi="Times New Roman" w:cs="Times New Roman"/>
          <w:color w:val="auto"/>
          <w:u w:val="single"/>
        </w:rPr>
      </w:pPr>
      <w:r>
        <w:rPr>
          <w:rFonts w:hint="default" w:ascii="Times New Roman" w:hAnsi="Times New Roman" w:cs="Times New Roman"/>
          <w:color w:val="auto"/>
          <w:u w:val="single"/>
        </w:rPr>
        <w:t>根据监测结果可知，长江城陵矶断面和陆城断面所有监测因子均满足《地表水环境质量标准》（GB3838-2002）中的Ⅲ类标准。</w:t>
      </w:r>
    </w:p>
    <w:p>
      <w:pPr>
        <w:pStyle w:val="14"/>
        <w:bidi w:val="0"/>
        <w:rPr>
          <w:rFonts w:hint="default" w:ascii="Times New Roman" w:hAnsi="Times New Roman" w:cs="Times New Roman"/>
          <w:color w:val="auto"/>
          <w:u w:val="single"/>
        </w:rPr>
      </w:pPr>
    </w:p>
    <w:p>
      <w:pPr>
        <w:pStyle w:val="14"/>
        <w:bidi w:val="0"/>
        <w:rPr>
          <w:rFonts w:hint="default" w:ascii="Times New Roman" w:hAnsi="Times New Roman" w:cs="Times New Roman"/>
          <w:color w:val="auto"/>
          <w:u w:val="single"/>
        </w:rPr>
      </w:pPr>
    </w:p>
    <w:p>
      <w:pPr>
        <w:pStyle w:val="14"/>
        <w:bidi w:val="0"/>
        <w:rPr>
          <w:rFonts w:hint="default" w:ascii="Times New Roman" w:hAnsi="Times New Roman" w:cs="Times New Roman"/>
          <w:color w:val="auto"/>
          <w:u w:val="single"/>
        </w:rPr>
      </w:pPr>
    </w:p>
    <w:p>
      <w:pPr>
        <w:pStyle w:val="14"/>
        <w:bidi w:val="0"/>
        <w:rPr>
          <w:rFonts w:hint="default" w:ascii="Times New Roman" w:hAnsi="Times New Roman" w:cs="Times New Roman"/>
          <w:color w:val="auto"/>
          <w:u w:val="single"/>
        </w:rPr>
      </w:pPr>
      <w:r>
        <w:rPr>
          <w:rFonts w:hint="default" w:ascii="Times New Roman" w:hAnsi="Times New Roman" w:cs="Times New Roman"/>
          <w:color w:val="auto"/>
          <w:u w:val="single"/>
        </w:rPr>
        <w:t xml:space="preserve">表 </w:t>
      </w:r>
      <w:r>
        <w:rPr>
          <w:rFonts w:hint="default" w:ascii="Times New Roman" w:hAnsi="Times New Roman" w:cs="Times New Roman"/>
          <w:color w:val="auto"/>
          <w:u w:val="single"/>
        </w:rPr>
        <w:fldChar w:fldCharType="begin"/>
      </w:r>
      <w:r>
        <w:rPr>
          <w:rFonts w:hint="default" w:ascii="Times New Roman" w:hAnsi="Times New Roman" w:cs="Times New Roman"/>
          <w:color w:val="auto"/>
          <w:u w:val="single"/>
        </w:rPr>
        <w:instrText xml:space="preserve"> STYLEREF 1 \s </w:instrText>
      </w:r>
      <w:r>
        <w:rPr>
          <w:rFonts w:hint="default" w:ascii="Times New Roman" w:hAnsi="Times New Roman" w:cs="Times New Roman"/>
          <w:color w:val="auto"/>
          <w:u w:val="single"/>
        </w:rPr>
        <w:fldChar w:fldCharType="separate"/>
      </w:r>
      <w:r>
        <w:rPr>
          <w:rFonts w:hint="default" w:ascii="Times New Roman" w:hAnsi="Times New Roman" w:cs="Times New Roman"/>
          <w:color w:val="auto"/>
          <w:u w:val="single"/>
        </w:rPr>
        <w:t>5</w:t>
      </w:r>
      <w:r>
        <w:rPr>
          <w:rFonts w:hint="default" w:ascii="Times New Roman" w:hAnsi="Times New Roman" w:cs="Times New Roman"/>
          <w:color w:val="auto"/>
          <w:u w:val="single"/>
        </w:rPr>
        <w:fldChar w:fldCharType="end"/>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lang w:val="en-US" w:eastAsia="zh-CN"/>
        </w:rPr>
        <w:t xml:space="preserve">8 </w:t>
      </w:r>
      <w:r>
        <w:rPr>
          <w:rFonts w:hint="default" w:ascii="Times New Roman" w:hAnsi="Times New Roman" w:cs="Times New Roman"/>
          <w:color w:val="auto"/>
          <w:u w:val="single"/>
        </w:rPr>
        <w:t>松杨湖水环境质量现状监测结果统计表</w:t>
      </w:r>
      <w:r>
        <w:rPr>
          <w:rFonts w:hint="default" w:ascii="Times New Roman" w:hAnsi="Times New Roman" w:cs="Times New Roman"/>
          <w:color w:val="auto"/>
          <w:u w:val="single"/>
          <w:lang w:val="en-US" w:eastAsia="zh-CN"/>
        </w:rPr>
        <w:t xml:space="preserve"> </w:t>
      </w:r>
      <w:r>
        <w:rPr>
          <w:rFonts w:hint="default" w:ascii="Times New Roman" w:hAnsi="Times New Roman" w:cs="Times New Roman"/>
          <w:color w:val="auto"/>
          <w:u w:val="single"/>
        </w:rPr>
        <w:t>（单位：mg/L，pH 无量纲）</w:t>
      </w:r>
    </w:p>
    <w:tbl>
      <w:tblPr>
        <w:tblStyle w:val="25"/>
        <w:tblpPr w:leftFromText="180" w:rightFromText="180" w:vertAnchor="text" w:tblpXSpec="center" w:tblpY="1"/>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1574"/>
        <w:gridCol w:w="1785"/>
        <w:gridCol w:w="1080"/>
        <w:gridCol w:w="885"/>
        <w:gridCol w:w="945"/>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72" w:type="dxa"/>
            <w:tcBorders>
              <w:top w:val="single" w:color="auto" w:sz="12" w:space="0"/>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断面</w:t>
            </w:r>
          </w:p>
        </w:tc>
        <w:tc>
          <w:tcPr>
            <w:tcW w:w="1574" w:type="dxa"/>
            <w:tcBorders>
              <w:top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监测因子</w:t>
            </w:r>
          </w:p>
        </w:tc>
        <w:tc>
          <w:tcPr>
            <w:tcW w:w="1785" w:type="dxa"/>
            <w:tcBorders>
              <w:top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范围值</w:t>
            </w:r>
          </w:p>
        </w:tc>
        <w:tc>
          <w:tcPr>
            <w:tcW w:w="1080" w:type="dxa"/>
            <w:tcBorders>
              <w:top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标准指数</w:t>
            </w:r>
          </w:p>
        </w:tc>
        <w:tc>
          <w:tcPr>
            <w:tcW w:w="885" w:type="dxa"/>
            <w:tcBorders>
              <w:top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超标率</w:t>
            </w:r>
          </w:p>
        </w:tc>
        <w:tc>
          <w:tcPr>
            <w:tcW w:w="945" w:type="dxa"/>
            <w:tcBorders>
              <w:top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最大超标倍数</w:t>
            </w:r>
          </w:p>
        </w:tc>
        <w:tc>
          <w:tcPr>
            <w:tcW w:w="1081" w:type="dxa"/>
            <w:tcBorders>
              <w:top w:val="single" w:color="auto" w:sz="12" w:space="0"/>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rPr>
              <w:fldChar w:fldCharType="begin"/>
            </w:r>
            <w:r>
              <w:rPr>
                <w:rFonts w:hint="default" w:ascii="Times New Roman" w:hAnsi="Times New Roman" w:cs="Times New Roman"/>
                <w:color w:val="auto"/>
                <w:sz w:val="21"/>
                <w:szCs w:val="21"/>
                <w:u w:val="single"/>
                <w:vertAlign w:val="baseline"/>
              </w:rPr>
              <w:instrText xml:space="preserve"> = 3 \* ROMAN \* MERGEFORMAT </w:instrText>
            </w:r>
            <w:r>
              <w:rPr>
                <w:rFonts w:hint="default" w:ascii="Times New Roman" w:hAnsi="Times New Roman" w:cs="Times New Roman"/>
                <w:color w:val="auto"/>
                <w:sz w:val="21"/>
                <w:szCs w:val="21"/>
                <w:u w:val="single"/>
                <w:vertAlign w:val="baseline"/>
              </w:rPr>
              <w:fldChar w:fldCharType="separate"/>
            </w:r>
            <w:r>
              <w:rPr>
                <w:rFonts w:hint="default" w:ascii="Times New Roman" w:hAnsi="Times New Roman" w:cs="Times New Roman"/>
                <w:color w:val="auto"/>
                <w:sz w:val="21"/>
                <w:szCs w:val="21"/>
                <w:u w:val="single"/>
              </w:rPr>
              <w:t>III</w:t>
            </w:r>
            <w:r>
              <w:rPr>
                <w:rFonts w:hint="default" w:ascii="Times New Roman" w:hAnsi="Times New Roman" w:cs="Times New Roman"/>
                <w:color w:val="auto"/>
                <w:sz w:val="21"/>
                <w:szCs w:val="21"/>
                <w:u w:val="single"/>
                <w:vertAlign w:val="baseline"/>
              </w:rPr>
              <w:fldChar w:fldCharType="end"/>
            </w:r>
            <w:r>
              <w:rPr>
                <w:rFonts w:hint="default" w:ascii="Times New Roman" w:hAnsi="Times New Roman" w:cs="Times New Roman"/>
                <w:color w:val="auto"/>
                <w:sz w:val="21"/>
                <w:szCs w:val="21"/>
                <w:u w:val="single"/>
                <w:vertAlign w:val="baseline"/>
                <w:lang w:eastAsia="zh-CN"/>
              </w:rPr>
              <w:t>类标准值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72" w:type="dxa"/>
            <w:vMerge w:val="restart"/>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松阳湖</w:t>
            </w:r>
          </w:p>
        </w:tc>
        <w:tc>
          <w:tcPr>
            <w:tcW w:w="15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pH</w:t>
            </w:r>
          </w:p>
        </w:tc>
        <w:tc>
          <w:tcPr>
            <w:tcW w:w="17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7.45-7.65</w:t>
            </w:r>
          </w:p>
        </w:tc>
        <w:tc>
          <w:tcPr>
            <w:tcW w:w="10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0.325</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72"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rPr>
            </w:pPr>
          </w:p>
        </w:tc>
        <w:tc>
          <w:tcPr>
            <w:tcW w:w="15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高锰酸钾指数</w:t>
            </w:r>
          </w:p>
        </w:tc>
        <w:tc>
          <w:tcPr>
            <w:tcW w:w="17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3.5-3.6</w:t>
            </w:r>
          </w:p>
        </w:tc>
        <w:tc>
          <w:tcPr>
            <w:tcW w:w="10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0.36</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72"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rPr>
            </w:pPr>
          </w:p>
        </w:tc>
        <w:tc>
          <w:tcPr>
            <w:tcW w:w="15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COD</w:t>
            </w:r>
          </w:p>
        </w:tc>
        <w:tc>
          <w:tcPr>
            <w:tcW w:w="17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13-16</w:t>
            </w:r>
          </w:p>
        </w:tc>
        <w:tc>
          <w:tcPr>
            <w:tcW w:w="10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0.533</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72"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rPr>
            </w:pPr>
          </w:p>
        </w:tc>
        <w:tc>
          <w:tcPr>
            <w:tcW w:w="15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BOD</w:t>
            </w:r>
            <w:r>
              <w:rPr>
                <w:rFonts w:hint="default" w:ascii="Times New Roman" w:hAnsi="Times New Roman" w:cs="Times New Roman"/>
                <w:color w:val="auto"/>
                <w:sz w:val="21"/>
                <w:szCs w:val="21"/>
                <w:u w:val="single"/>
                <w:vertAlign w:val="subscript"/>
                <w:lang w:val="en-US" w:eastAsia="zh-CN"/>
              </w:rPr>
              <w:t>5</w:t>
            </w:r>
          </w:p>
        </w:tc>
        <w:tc>
          <w:tcPr>
            <w:tcW w:w="17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3.7-7.2</w:t>
            </w:r>
          </w:p>
        </w:tc>
        <w:tc>
          <w:tcPr>
            <w:tcW w:w="10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1.2</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100%</w:t>
            </w:r>
          </w:p>
        </w:tc>
        <w:tc>
          <w:tcPr>
            <w:tcW w:w="9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0.2</w:t>
            </w:r>
          </w:p>
        </w:tc>
        <w:tc>
          <w:tcPr>
            <w:tcW w:w="1081"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72"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rPr>
            </w:pPr>
          </w:p>
        </w:tc>
        <w:tc>
          <w:tcPr>
            <w:tcW w:w="1574" w:type="dxa"/>
            <w:vAlign w:val="center"/>
          </w:tcPr>
          <w:p>
            <w:pPr>
              <w:keepNext w:val="0"/>
              <w:keepLines w:val="0"/>
              <w:pageBreakBefore w:val="0"/>
              <w:widowControl w:val="0"/>
              <w:suppressLineNumbers w:val="0"/>
              <w:tabs>
                <w:tab w:val="left" w:pos="507"/>
              </w:tabs>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NH</w:t>
            </w:r>
            <w:r>
              <w:rPr>
                <w:rFonts w:hint="default" w:ascii="Times New Roman" w:hAnsi="Times New Roman" w:cs="Times New Roman"/>
                <w:color w:val="auto"/>
                <w:sz w:val="21"/>
                <w:szCs w:val="21"/>
                <w:u w:val="single"/>
                <w:vertAlign w:val="subscript"/>
                <w:lang w:val="en-US" w:eastAsia="zh-CN"/>
              </w:rPr>
              <w:t>3</w:t>
            </w:r>
            <w:r>
              <w:rPr>
                <w:rFonts w:hint="default" w:ascii="Times New Roman" w:hAnsi="Times New Roman" w:cs="Times New Roman"/>
                <w:color w:val="auto"/>
                <w:sz w:val="21"/>
                <w:szCs w:val="21"/>
                <w:u w:val="single"/>
                <w:vertAlign w:val="baseline"/>
                <w:lang w:val="en-US" w:eastAsia="zh-CN"/>
              </w:rPr>
              <w:t>-N</w:t>
            </w:r>
          </w:p>
        </w:tc>
        <w:tc>
          <w:tcPr>
            <w:tcW w:w="17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0.15-0.27</w:t>
            </w:r>
          </w:p>
        </w:tc>
        <w:tc>
          <w:tcPr>
            <w:tcW w:w="10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0.18</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172"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rPr>
            </w:pPr>
          </w:p>
        </w:tc>
        <w:tc>
          <w:tcPr>
            <w:tcW w:w="15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TP</w:t>
            </w:r>
          </w:p>
        </w:tc>
        <w:tc>
          <w:tcPr>
            <w:tcW w:w="17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0.05-0.08</w:t>
            </w:r>
          </w:p>
        </w:tc>
        <w:tc>
          <w:tcPr>
            <w:tcW w:w="10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1.6</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100%</w:t>
            </w:r>
          </w:p>
        </w:tc>
        <w:tc>
          <w:tcPr>
            <w:tcW w:w="9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0.6</w:t>
            </w:r>
          </w:p>
        </w:tc>
        <w:tc>
          <w:tcPr>
            <w:tcW w:w="1081"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72"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rPr>
            </w:pPr>
          </w:p>
        </w:tc>
        <w:tc>
          <w:tcPr>
            <w:tcW w:w="15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铜</w:t>
            </w:r>
          </w:p>
        </w:tc>
        <w:tc>
          <w:tcPr>
            <w:tcW w:w="17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0.001L-0.006</w:t>
            </w:r>
          </w:p>
        </w:tc>
        <w:tc>
          <w:tcPr>
            <w:tcW w:w="10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0.006</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72"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rPr>
            </w:pPr>
          </w:p>
        </w:tc>
        <w:tc>
          <w:tcPr>
            <w:tcW w:w="15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锌</w:t>
            </w:r>
          </w:p>
        </w:tc>
        <w:tc>
          <w:tcPr>
            <w:tcW w:w="17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0.05L</w:t>
            </w:r>
          </w:p>
        </w:tc>
        <w:tc>
          <w:tcPr>
            <w:tcW w:w="10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72"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rPr>
            </w:pPr>
          </w:p>
        </w:tc>
        <w:tc>
          <w:tcPr>
            <w:tcW w:w="15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氟化物</w:t>
            </w:r>
          </w:p>
        </w:tc>
        <w:tc>
          <w:tcPr>
            <w:tcW w:w="17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1.3-1.39</w:t>
            </w:r>
          </w:p>
        </w:tc>
        <w:tc>
          <w:tcPr>
            <w:tcW w:w="10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0.927</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72"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rPr>
            </w:pPr>
          </w:p>
        </w:tc>
        <w:tc>
          <w:tcPr>
            <w:tcW w:w="15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硒</w:t>
            </w:r>
          </w:p>
        </w:tc>
        <w:tc>
          <w:tcPr>
            <w:tcW w:w="17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0.0004L</w:t>
            </w:r>
          </w:p>
        </w:tc>
        <w:tc>
          <w:tcPr>
            <w:tcW w:w="10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72"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rPr>
            </w:pPr>
          </w:p>
        </w:tc>
        <w:tc>
          <w:tcPr>
            <w:tcW w:w="15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砷</w:t>
            </w:r>
          </w:p>
        </w:tc>
        <w:tc>
          <w:tcPr>
            <w:tcW w:w="17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0.0003L-0.0005</w:t>
            </w:r>
          </w:p>
        </w:tc>
        <w:tc>
          <w:tcPr>
            <w:tcW w:w="10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0.005</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72"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rPr>
            </w:pPr>
          </w:p>
        </w:tc>
        <w:tc>
          <w:tcPr>
            <w:tcW w:w="15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汞</w:t>
            </w:r>
          </w:p>
        </w:tc>
        <w:tc>
          <w:tcPr>
            <w:tcW w:w="17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0.00004L</w:t>
            </w:r>
          </w:p>
        </w:tc>
        <w:tc>
          <w:tcPr>
            <w:tcW w:w="10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72"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rPr>
            </w:pPr>
          </w:p>
        </w:tc>
        <w:tc>
          <w:tcPr>
            <w:tcW w:w="15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镉</w:t>
            </w:r>
          </w:p>
        </w:tc>
        <w:tc>
          <w:tcPr>
            <w:tcW w:w="17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0.0001L</w:t>
            </w:r>
          </w:p>
        </w:tc>
        <w:tc>
          <w:tcPr>
            <w:tcW w:w="10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72"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rPr>
            </w:pPr>
          </w:p>
        </w:tc>
        <w:tc>
          <w:tcPr>
            <w:tcW w:w="15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六价铬</w:t>
            </w:r>
          </w:p>
        </w:tc>
        <w:tc>
          <w:tcPr>
            <w:tcW w:w="17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0.004L</w:t>
            </w:r>
          </w:p>
        </w:tc>
        <w:tc>
          <w:tcPr>
            <w:tcW w:w="10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72"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rPr>
            </w:pPr>
          </w:p>
        </w:tc>
        <w:tc>
          <w:tcPr>
            <w:tcW w:w="15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铅</w:t>
            </w:r>
          </w:p>
        </w:tc>
        <w:tc>
          <w:tcPr>
            <w:tcW w:w="17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0.002L</w:t>
            </w:r>
          </w:p>
        </w:tc>
        <w:tc>
          <w:tcPr>
            <w:tcW w:w="10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72"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rPr>
            </w:pPr>
          </w:p>
        </w:tc>
        <w:tc>
          <w:tcPr>
            <w:tcW w:w="15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氰化物</w:t>
            </w:r>
          </w:p>
        </w:tc>
        <w:tc>
          <w:tcPr>
            <w:tcW w:w="17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0.001L</w:t>
            </w:r>
          </w:p>
        </w:tc>
        <w:tc>
          <w:tcPr>
            <w:tcW w:w="10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72"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rPr>
            </w:pPr>
          </w:p>
        </w:tc>
        <w:tc>
          <w:tcPr>
            <w:tcW w:w="15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挥发酚</w:t>
            </w:r>
          </w:p>
        </w:tc>
        <w:tc>
          <w:tcPr>
            <w:tcW w:w="17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0.0003L</w:t>
            </w:r>
          </w:p>
        </w:tc>
        <w:tc>
          <w:tcPr>
            <w:tcW w:w="10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72"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rPr>
            </w:pPr>
          </w:p>
        </w:tc>
        <w:tc>
          <w:tcPr>
            <w:tcW w:w="15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石油类</w:t>
            </w:r>
          </w:p>
        </w:tc>
        <w:tc>
          <w:tcPr>
            <w:tcW w:w="17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0.01L</w:t>
            </w:r>
          </w:p>
        </w:tc>
        <w:tc>
          <w:tcPr>
            <w:tcW w:w="10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72"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rPr>
            </w:pPr>
          </w:p>
        </w:tc>
        <w:tc>
          <w:tcPr>
            <w:tcW w:w="15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阴离子表面活性剂</w:t>
            </w:r>
          </w:p>
        </w:tc>
        <w:tc>
          <w:tcPr>
            <w:tcW w:w="17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0.05L</w:t>
            </w:r>
          </w:p>
        </w:tc>
        <w:tc>
          <w:tcPr>
            <w:tcW w:w="108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72" w:type="dxa"/>
            <w:vMerge w:val="continue"/>
            <w:tcBorders>
              <w:left w:val="single" w:color="auto" w:sz="12" w:space="0"/>
              <w:bottom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rPr>
            </w:pPr>
          </w:p>
        </w:tc>
        <w:tc>
          <w:tcPr>
            <w:tcW w:w="1574" w:type="dxa"/>
            <w:tcBorders>
              <w:bottom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eastAsia="zh-CN"/>
              </w:rPr>
            </w:pPr>
            <w:r>
              <w:rPr>
                <w:rFonts w:hint="default" w:ascii="Times New Roman" w:hAnsi="Times New Roman" w:cs="Times New Roman"/>
                <w:color w:val="auto"/>
                <w:sz w:val="21"/>
                <w:szCs w:val="21"/>
                <w:u w:val="single"/>
                <w:vertAlign w:val="baseline"/>
                <w:lang w:eastAsia="zh-CN"/>
              </w:rPr>
              <w:t>硫化物</w:t>
            </w:r>
          </w:p>
        </w:tc>
        <w:tc>
          <w:tcPr>
            <w:tcW w:w="1785" w:type="dxa"/>
            <w:tcBorders>
              <w:bottom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0.005L</w:t>
            </w:r>
          </w:p>
        </w:tc>
        <w:tc>
          <w:tcPr>
            <w:tcW w:w="1080" w:type="dxa"/>
            <w:tcBorders>
              <w:bottom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w:t>
            </w:r>
          </w:p>
        </w:tc>
        <w:tc>
          <w:tcPr>
            <w:tcW w:w="885" w:type="dxa"/>
            <w:tcBorders>
              <w:bottom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945" w:type="dxa"/>
            <w:tcBorders>
              <w:bottom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w:t>
            </w:r>
          </w:p>
        </w:tc>
        <w:tc>
          <w:tcPr>
            <w:tcW w:w="1081" w:type="dxa"/>
            <w:tcBorders>
              <w:bottom w:val="single" w:color="auto" w:sz="12" w:space="0"/>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u w:val="single"/>
                <w:vertAlign w:val="baseline"/>
                <w:lang w:val="en-US" w:eastAsia="zh-CN"/>
              </w:rPr>
            </w:pPr>
            <w:r>
              <w:rPr>
                <w:rFonts w:hint="default" w:ascii="Times New Roman" w:hAnsi="Times New Roman" w:cs="Times New Roman"/>
                <w:color w:val="auto"/>
                <w:sz w:val="21"/>
                <w:szCs w:val="21"/>
                <w:u w:val="single"/>
                <w:vertAlign w:val="baseline"/>
                <w:lang w:val="en-US" w:eastAsia="zh-CN"/>
              </w:rPr>
              <w:t>≤0.5</w:t>
            </w:r>
          </w:p>
        </w:tc>
      </w:tr>
    </w:tbl>
    <w:p>
      <w:pPr>
        <w:pStyle w:val="39"/>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color w:val="auto"/>
          <w:u w:val="single"/>
        </w:rPr>
      </w:pPr>
      <w:r>
        <w:rPr>
          <w:rFonts w:hint="default" w:ascii="Times New Roman" w:hAnsi="Times New Roman" w:cs="Times New Roman"/>
          <w:color w:val="auto"/>
          <w:u w:val="single"/>
        </w:rPr>
        <w:t>根据监测结果可知，松杨湖监测因子</w:t>
      </w:r>
      <w:r>
        <w:rPr>
          <w:rFonts w:hint="default" w:ascii="Times New Roman" w:hAnsi="Times New Roman" w:cs="Times New Roman"/>
          <w:color w:val="auto"/>
          <w:u w:val="single"/>
          <w:lang w:eastAsia="zh-CN"/>
        </w:rPr>
        <w:t>除五日生化需要量和总磷外，其余监测因子包括</w:t>
      </w:r>
      <w:r>
        <w:rPr>
          <w:rFonts w:hint="default" w:ascii="Times New Roman" w:hAnsi="Times New Roman" w:cs="Times New Roman"/>
          <w:color w:val="auto"/>
          <w:u w:val="single"/>
        </w:rPr>
        <w:t>铜</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锌</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硒</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砷</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汞</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镉</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六价铬</w:t>
      </w:r>
      <w:r>
        <w:rPr>
          <w:rFonts w:hint="default" w:ascii="Times New Roman" w:hAnsi="Times New Roman" w:cs="Times New Roman"/>
          <w:color w:val="auto"/>
          <w:u w:val="single"/>
          <w:lang w:eastAsia="zh-CN"/>
        </w:rPr>
        <w:t>和</w:t>
      </w:r>
      <w:r>
        <w:rPr>
          <w:rFonts w:hint="default" w:ascii="Times New Roman" w:hAnsi="Times New Roman" w:cs="Times New Roman"/>
          <w:color w:val="auto"/>
          <w:u w:val="single"/>
        </w:rPr>
        <w:t>铅</w:t>
      </w:r>
      <w:r>
        <w:rPr>
          <w:rFonts w:hint="default" w:ascii="Times New Roman" w:hAnsi="Times New Roman" w:cs="Times New Roman"/>
          <w:color w:val="auto"/>
          <w:u w:val="single"/>
          <w:lang w:eastAsia="zh-CN"/>
        </w:rPr>
        <w:t>等重金属均</w:t>
      </w:r>
      <w:r>
        <w:rPr>
          <w:rFonts w:hint="default" w:ascii="Times New Roman" w:hAnsi="Times New Roman" w:cs="Times New Roman"/>
          <w:color w:val="auto"/>
          <w:u w:val="single"/>
        </w:rPr>
        <w:t>能满足《地表水环境质量标准》（GB3838-2002）中的Ⅳ类标准要求。</w:t>
      </w:r>
      <w:r>
        <w:rPr>
          <w:rFonts w:hint="default" w:ascii="Times New Roman" w:hAnsi="Times New Roman" w:cs="Times New Roman"/>
          <w:color w:val="auto"/>
          <w:u w:val="single"/>
          <w:lang w:eastAsia="zh-CN"/>
        </w:rPr>
        <w:t>其中五日生化需氧量和总磷超标原因为当时园区污水管网未完善，周边企业污水偷排进松阳湖。目前，云溪工业园污水管网配套设</w:t>
      </w:r>
      <w:r>
        <w:rPr>
          <w:rFonts w:hint="default" w:ascii="Times New Roman" w:hAnsi="Times New Roman" w:cs="Times New Roman"/>
          <w:color w:val="auto"/>
          <w:u w:val="single"/>
          <w:lang w:val="en-US" w:eastAsia="zh-CN"/>
        </w:rPr>
        <w:t xml:space="preserve">       </w:t>
      </w:r>
      <w:r>
        <w:rPr>
          <w:rFonts w:hint="default" w:ascii="Times New Roman" w:hAnsi="Times New Roman" w:cs="Times New Roman"/>
          <w:color w:val="auto"/>
          <w:u w:val="single"/>
          <w:lang w:eastAsia="zh-CN"/>
        </w:rPr>
        <w:t>施建设正在完善。</w:t>
      </w:r>
    </w:p>
    <w:p>
      <w:pPr>
        <w:pStyle w:val="39"/>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宋体" w:cs="Times New Roman"/>
          <w:color w:val="auto"/>
          <w:lang w:eastAsia="zh-CN"/>
        </w:rPr>
      </w:pPr>
      <w:r>
        <w:rPr>
          <w:rFonts w:hint="default" w:ascii="Times New Roman" w:hAnsi="Times New Roman" w:cs="Times New Roman"/>
          <w:color w:val="auto"/>
          <w:u w:val="single"/>
          <w:lang w:eastAsia="zh-CN"/>
        </w:rPr>
        <w:t>根据湖南省岳阳生态环境监测中心</w:t>
      </w:r>
      <w:r>
        <w:rPr>
          <w:rFonts w:hint="default" w:ascii="Times New Roman" w:hAnsi="Times New Roman" w:cs="Times New Roman"/>
          <w:color w:val="auto"/>
          <w:u w:val="single"/>
          <w:lang w:val="en-US" w:eastAsia="zh-CN"/>
        </w:rPr>
        <w:t>2020年7月岳阳市环境监测动态总第205期公布数据，长江城陵矶和陆城断面的水质类别均为</w:t>
      </w:r>
      <w:r>
        <w:rPr>
          <w:rFonts w:hint="default" w:ascii="Times New Roman" w:hAnsi="Times New Roman" w:eastAsia="宋体" w:cs="Times New Roman"/>
          <w:color w:val="auto"/>
          <w:u w:val="single"/>
          <w:lang w:val="en-US" w:eastAsia="zh-CN"/>
        </w:rPr>
        <w:t>Ⅱ</w:t>
      </w:r>
      <w:r>
        <w:rPr>
          <w:rFonts w:hint="default" w:ascii="Times New Roman" w:hAnsi="Times New Roman" w:cs="Times New Roman"/>
          <w:color w:val="auto"/>
          <w:u w:val="single"/>
          <w:lang w:val="en-US" w:eastAsia="zh-CN"/>
        </w:rPr>
        <w:t>类，可见，岳阳鑫达公司微量排放的重金属镍在相关的长江水体中不会引起水质类别的明显变更。</w:t>
      </w:r>
      <w:r>
        <w:rPr>
          <w:rFonts w:hint="default" w:ascii="Times New Roman" w:hAnsi="Times New Roman" w:eastAsia="宋体" w:cs="Times New Roman"/>
          <w:color w:val="auto"/>
          <w:lang w:eastAsia="zh-CN"/>
        </w:rPr>
        <w:drawing>
          <wp:inline distT="0" distB="0" distL="114300" distR="114300">
            <wp:extent cx="5574030" cy="4932045"/>
            <wp:effectExtent l="0" t="0" r="7620" b="1905"/>
            <wp:docPr id="30" name="图片 30" descr="长江陆城断面2020年水质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长江陆城断面2020年水质报告"/>
                    <pic:cNvPicPr>
                      <a:picLocks noChangeAspect="1"/>
                    </pic:cNvPicPr>
                  </pic:nvPicPr>
                  <pic:blipFill>
                    <a:blip r:embed="rId39"/>
                    <a:stretch>
                      <a:fillRect/>
                    </a:stretch>
                  </pic:blipFill>
                  <pic:spPr>
                    <a:xfrm>
                      <a:off x="0" y="0"/>
                      <a:ext cx="5574030" cy="4932045"/>
                    </a:xfrm>
                    <a:prstGeom prst="rect">
                      <a:avLst/>
                    </a:prstGeom>
                  </pic:spPr>
                </pic:pic>
              </a:graphicData>
            </a:graphic>
          </wp:inline>
        </w:drawing>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448" w:name="_bookmark25"/>
      <w:bookmarkEnd w:id="448"/>
      <w:bookmarkStart w:id="449" w:name="_Toc20106"/>
      <w:bookmarkStart w:id="450" w:name="_Toc28077"/>
      <w:r>
        <w:rPr>
          <w:rFonts w:hint="default" w:ascii="Times New Roman" w:hAnsi="Times New Roman" w:cs="Times New Roman"/>
          <w:color w:val="auto"/>
        </w:rPr>
        <w:t>地下水质量现状评价</w:t>
      </w:r>
      <w:bookmarkEnd w:id="449"/>
      <w:bookmarkEnd w:id="450"/>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为了了解本项目地下水评价范围内地下水水质情况，</w:t>
      </w:r>
      <w:r>
        <w:rPr>
          <w:rFonts w:hint="default" w:ascii="Times New Roman" w:hAnsi="Times New Roman" w:cs="Times New Roman"/>
          <w:color w:val="auto"/>
          <w:lang w:val="en-US" w:eastAsia="zh-CN"/>
        </w:rPr>
        <w:t>本环评公司委托湖南宏润检测有限公司于2019年9月28~29日</w:t>
      </w:r>
      <w:r>
        <w:rPr>
          <w:rFonts w:hint="default" w:ascii="Times New Roman" w:hAnsi="Times New Roman" w:cs="Times New Roman"/>
          <w:color w:val="auto"/>
        </w:rPr>
        <w:t>对项目周边</w:t>
      </w:r>
      <w:r>
        <w:rPr>
          <w:rFonts w:hint="default" w:ascii="Times New Roman" w:hAnsi="Times New Roman" w:cs="Times New Roman"/>
          <w:color w:val="auto"/>
          <w:lang w:val="en-US" w:eastAsia="zh-CN"/>
        </w:rPr>
        <w:t>6个</w:t>
      </w:r>
      <w:r>
        <w:rPr>
          <w:rFonts w:hint="default" w:ascii="Times New Roman" w:hAnsi="Times New Roman" w:cs="Times New Roman"/>
          <w:color w:val="auto"/>
        </w:rPr>
        <w:t>地下</w:t>
      </w:r>
      <w:r>
        <w:rPr>
          <w:rFonts w:hint="default" w:ascii="Times New Roman" w:hAnsi="Times New Roman" w:cs="Times New Roman"/>
          <w:color w:val="auto"/>
          <w:lang w:eastAsia="zh-CN"/>
        </w:rPr>
        <w:t>水井</w:t>
      </w:r>
      <w:r>
        <w:rPr>
          <w:rFonts w:hint="default" w:ascii="Times New Roman" w:hAnsi="Times New Roman" w:cs="Times New Roman"/>
          <w:color w:val="auto"/>
        </w:rPr>
        <w:t>环境质量现状进行了</w:t>
      </w:r>
      <w:r>
        <w:rPr>
          <w:rFonts w:hint="default" w:ascii="Times New Roman" w:hAnsi="Times New Roman" w:cs="Times New Roman"/>
          <w:color w:val="auto"/>
          <w:lang w:eastAsia="zh-CN"/>
        </w:rPr>
        <w:t>现场</w:t>
      </w:r>
      <w:r>
        <w:rPr>
          <w:rFonts w:hint="default" w:ascii="Times New Roman" w:hAnsi="Times New Roman" w:cs="Times New Roman"/>
          <w:color w:val="auto"/>
        </w:rPr>
        <w:t>监测。</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lang w:val="en-US" w:eastAsia="zh-CN"/>
        </w:rPr>
        <w:t>1</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lang w:val="en-US" w:eastAsia="zh-CN"/>
        </w:rPr>
        <w:t>6个</w:t>
      </w:r>
      <w:r>
        <w:rPr>
          <w:rFonts w:hint="default" w:ascii="Times New Roman" w:hAnsi="Times New Roman" w:cs="Times New Roman"/>
          <w:color w:val="auto"/>
          <w:u w:val="single"/>
        </w:rPr>
        <w:t>地下水</w:t>
      </w:r>
      <w:r>
        <w:rPr>
          <w:rFonts w:hint="default" w:ascii="Times New Roman" w:hAnsi="Times New Roman" w:cs="Times New Roman"/>
          <w:color w:val="auto"/>
          <w:u w:val="single"/>
          <w:lang w:eastAsia="zh-CN"/>
        </w:rPr>
        <w:t>现场</w:t>
      </w:r>
      <w:r>
        <w:rPr>
          <w:rFonts w:hint="default" w:ascii="Times New Roman" w:hAnsi="Times New Roman" w:cs="Times New Roman"/>
          <w:color w:val="auto"/>
          <w:u w:val="single"/>
        </w:rPr>
        <w:t>监测点</w:t>
      </w:r>
      <w:r>
        <w:rPr>
          <w:rFonts w:hint="default" w:ascii="Times New Roman" w:hAnsi="Times New Roman" w:cs="Times New Roman"/>
          <w:color w:val="auto"/>
          <w:highlight w:val="none"/>
          <w:u w:val="single"/>
        </w:rPr>
        <w:t>位详见下表和附图</w:t>
      </w:r>
      <w:r>
        <w:rPr>
          <w:rFonts w:hint="default" w:ascii="Times New Roman" w:hAnsi="Times New Roman" w:cs="Times New Roman"/>
          <w:color w:val="auto"/>
          <w:highlight w:val="none"/>
          <w:u w:val="single"/>
          <w:lang w:val="en-US" w:eastAsia="zh-CN"/>
        </w:rPr>
        <w:t>11</w:t>
      </w:r>
      <w:r>
        <w:rPr>
          <w:rFonts w:hint="default" w:ascii="Times New Roman" w:hAnsi="Times New Roman" w:cs="Times New Roman"/>
          <w:color w:val="auto"/>
          <w:highlight w:val="none"/>
          <w:u w:val="single"/>
        </w:rPr>
        <w:t>。</w:t>
      </w: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u w:val="single"/>
        </w:rPr>
      </w:pPr>
      <w:r>
        <w:rPr>
          <w:rFonts w:hint="default" w:ascii="Times New Roman" w:hAnsi="Times New Roman" w:cs="Times New Roman"/>
          <w:color w:val="auto"/>
          <w:u w:val="single"/>
        </w:rPr>
        <w:t xml:space="preserve">表 </w:t>
      </w:r>
      <w:r>
        <w:rPr>
          <w:rFonts w:hint="default" w:ascii="Times New Roman" w:hAnsi="Times New Roman" w:cs="Times New Roman"/>
          <w:color w:val="auto"/>
          <w:u w:val="single"/>
        </w:rPr>
        <w:fldChar w:fldCharType="begin"/>
      </w:r>
      <w:r>
        <w:rPr>
          <w:rFonts w:hint="default" w:ascii="Times New Roman" w:hAnsi="Times New Roman" w:cs="Times New Roman"/>
          <w:color w:val="auto"/>
          <w:u w:val="single"/>
        </w:rPr>
        <w:instrText xml:space="preserve"> STYLEREF 1 \s </w:instrText>
      </w:r>
      <w:r>
        <w:rPr>
          <w:rFonts w:hint="default" w:ascii="Times New Roman" w:hAnsi="Times New Roman" w:cs="Times New Roman"/>
          <w:color w:val="auto"/>
          <w:u w:val="single"/>
        </w:rPr>
        <w:fldChar w:fldCharType="separate"/>
      </w:r>
      <w:r>
        <w:rPr>
          <w:rFonts w:hint="default" w:ascii="Times New Roman" w:hAnsi="Times New Roman" w:cs="Times New Roman"/>
          <w:color w:val="auto"/>
          <w:u w:val="single"/>
        </w:rPr>
        <w:t>5</w:t>
      </w:r>
      <w:r>
        <w:rPr>
          <w:rFonts w:hint="default" w:ascii="Times New Roman" w:hAnsi="Times New Roman" w:cs="Times New Roman"/>
          <w:color w:val="auto"/>
          <w:u w:val="single"/>
        </w:rPr>
        <w:fldChar w:fldCharType="end"/>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lang w:val="en-US" w:eastAsia="zh-CN"/>
        </w:rPr>
        <w:t>9</w:t>
      </w:r>
      <w:r>
        <w:rPr>
          <w:rFonts w:hint="default" w:ascii="Times New Roman" w:hAnsi="Times New Roman" w:cs="Times New Roman"/>
          <w:color w:val="auto"/>
          <w:u w:val="single"/>
        </w:rPr>
        <w:t>地下水环境质量现状监测</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lang w:val="en-US" w:eastAsia="zh-CN"/>
        </w:rPr>
        <w:t>D1~D6</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布点信息表</w:t>
      </w:r>
    </w:p>
    <w:tbl>
      <w:tblPr>
        <w:tblStyle w:val="24"/>
        <w:tblW w:w="90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90"/>
        <w:gridCol w:w="1828"/>
        <w:gridCol w:w="1695"/>
        <w:gridCol w:w="1245"/>
        <w:gridCol w:w="1158"/>
        <w:gridCol w:w="1143"/>
        <w:gridCol w:w="114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3" w:hRule="exact"/>
          <w:jc w:val="center"/>
        </w:trPr>
        <w:tc>
          <w:tcPr>
            <w:tcW w:w="79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点位编号</w:t>
            </w:r>
          </w:p>
        </w:tc>
        <w:tc>
          <w:tcPr>
            <w:tcW w:w="1828"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点位</w:t>
            </w:r>
            <w:r>
              <w:rPr>
                <w:rFonts w:hint="default" w:ascii="Times New Roman" w:hAnsi="Times New Roman" w:cs="Times New Roman"/>
                <w:color w:val="auto"/>
                <w:sz w:val="21"/>
                <w:szCs w:val="21"/>
                <w:lang w:eastAsia="zh-CN"/>
              </w:rPr>
              <w:t>名称</w:t>
            </w:r>
          </w:p>
        </w:tc>
        <w:tc>
          <w:tcPr>
            <w:tcW w:w="169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水井相对鑫达项目区方位及距离</w:t>
            </w:r>
            <w:r>
              <w:rPr>
                <w:rFonts w:hint="default" w:ascii="Times New Roman" w:hAnsi="Times New Roman" w:cs="Times New Roman"/>
                <w:color w:val="auto"/>
                <w:sz w:val="21"/>
                <w:szCs w:val="21"/>
                <w:lang w:val="en-US" w:eastAsia="zh-CN"/>
              </w:rPr>
              <w:t>(m)</w:t>
            </w:r>
          </w:p>
        </w:tc>
        <w:tc>
          <w:tcPr>
            <w:tcW w:w="124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w:t>
            </w:r>
          </w:p>
        </w:tc>
        <w:tc>
          <w:tcPr>
            <w:tcW w:w="1158"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w:t>
            </w:r>
          </w:p>
        </w:tc>
        <w:tc>
          <w:tcPr>
            <w:tcW w:w="1143"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水</w:t>
            </w:r>
            <w:r>
              <w:rPr>
                <w:rFonts w:hint="default" w:ascii="Times New Roman" w:hAnsi="Times New Roman" w:cs="Times New Roman"/>
                <w:color w:val="auto"/>
                <w:sz w:val="21"/>
                <w:szCs w:val="21"/>
              </w:rPr>
              <w:t>井</w:t>
            </w:r>
            <w:r>
              <w:rPr>
                <w:rFonts w:hint="default" w:ascii="Times New Roman" w:hAnsi="Times New Roman" w:cs="Times New Roman"/>
                <w:color w:val="auto"/>
                <w:sz w:val="21"/>
                <w:szCs w:val="21"/>
                <w:lang w:eastAsia="zh-CN"/>
              </w:rPr>
              <w:t>口海拔高度</w:t>
            </w:r>
            <w:r>
              <w:rPr>
                <w:rFonts w:hint="default" w:ascii="Times New Roman" w:hAnsi="Times New Roman" w:cs="Times New Roman"/>
                <w:color w:val="auto"/>
                <w:sz w:val="21"/>
                <w:szCs w:val="21"/>
                <w:lang w:val="en-US" w:eastAsia="zh-CN"/>
              </w:rPr>
              <w:t>(m)</w:t>
            </w:r>
          </w:p>
        </w:tc>
        <w:tc>
          <w:tcPr>
            <w:tcW w:w="1143"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井深</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3" w:hRule="exact"/>
          <w:jc w:val="center"/>
        </w:trPr>
        <w:tc>
          <w:tcPr>
            <w:tcW w:w="79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w:t>
            </w:r>
            <w:r>
              <w:rPr>
                <w:rFonts w:hint="default" w:ascii="Times New Roman" w:hAnsi="Times New Roman" w:cs="Times New Roman"/>
                <w:color w:val="auto"/>
                <w:sz w:val="21"/>
                <w:szCs w:val="21"/>
              </w:rPr>
              <w:t>1</w:t>
            </w:r>
          </w:p>
        </w:tc>
        <w:tc>
          <w:tcPr>
            <w:tcW w:w="1828"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双花村</w:t>
            </w:r>
            <w:r>
              <w:rPr>
                <w:rFonts w:hint="default" w:ascii="Times New Roman" w:hAnsi="Times New Roman" w:cs="Times New Roman"/>
                <w:color w:val="auto"/>
                <w:sz w:val="21"/>
                <w:szCs w:val="21"/>
                <w:lang w:eastAsia="zh-CN"/>
              </w:rPr>
              <w:t>邓家组丁家</w:t>
            </w:r>
            <w:r>
              <w:rPr>
                <w:rFonts w:hint="default" w:ascii="Times New Roman" w:hAnsi="Times New Roman" w:cs="Times New Roman"/>
                <w:color w:val="auto"/>
                <w:sz w:val="21"/>
                <w:szCs w:val="21"/>
              </w:rPr>
              <w:t>水井</w:t>
            </w:r>
          </w:p>
        </w:tc>
        <w:tc>
          <w:tcPr>
            <w:tcW w:w="169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E,2700</w:t>
            </w:r>
          </w:p>
        </w:tc>
        <w:tc>
          <w:tcPr>
            <w:tcW w:w="124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113°1</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26</w:t>
            </w:r>
            <w:r>
              <w:rPr>
                <w:rFonts w:hint="default" w:ascii="Times New Roman" w:hAnsi="Times New Roman" w:cs="Times New Roman"/>
                <w:color w:val="auto"/>
                <w:sz w:val="21"/>
                <w:szCs w:val="21"/>
              </w:rPr>
              <w:t>″</w:t>
            </w:r>
          </w:p>
        </w:tc>
        <w:tc>
          <w:tcPr>
            <w:tcW w:w="1158"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29°2</w:t>
            </w:r>
            <w:r>
              <w:rPr>
                <w:rFonts w:hint="default"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46</w:t>
            </w:r>
            <w:r>
              <w:rPr>
                <w:rFonts w:hint="default" w:ascii="Times New Roman" w:hAnsi="Times New Roman" w:cs="Times New Roman"/>
                <w:color w:val="auto"/>
                <w:sz w:val="21"/>
                <w:szCs w:val="21"/>
              </w:rPr>
              <w:t>″</w:t>
            </w:r>
          </w:p>
        </w:tc>
        <w:tc>
          <w:tcPr>
            <w:tcW w:w="1143"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171.0</w:t>
            </w:r>
          </w:p>
        </w:tc>
        <w:tc>
          <w:tcPr>
            <w:tcW w:w="1143"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3" w:hRule="exact"/>
          <w:jc w:val="center"/>
        </w:trPr>
        <w:tc>
          <w:tcPr>
            <w:tcW w:w="79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D2</w:t>
            </w:r>
          </w:p>
        </w:tc>
        <w:tc>
          <w:tcPr>
            <w:tcW w:w="1828"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巴陵石化</w:t>
            </w:r>
            <w:r>
              <w:rPr>
                <w:rFonts w:hint="default" w:ascii="Times New Roman" w:hAnsi="Times New Roman" w:cs="Times New Roman"/>
                <w:color w:val="auto"/>
                <w:sz w:val="21"/>
                <w:szCs w:val="21"/>
                <w:lang w:val="en-US" w:eastAsia="zh-CN"/>
              </w:rPr>
              <w:t>SEBS</w:t>
            </w:r>
            <w:r>
              <w:rPr>
                <w:rFonts w:hint="default" w:ascii="Times New Roman" w:hAnsi="Times New Roman" w:cs="Times New Roman"/>
                <w:color w:val="auto"/>
                <w:sz w:val="21"/>
                <w:szCs w:val="21"/>
                <w:lang w:eastAsia="zh-CN"/>
              </w:rPr>
              <w:t>项目下游水井</w:t>
            </w:r>
          </w:p>
        </w:tc>
        <w:tc>
          <w:tcPr>
            <w:tcW w:w="169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E,900</w:t>
            </w:r>
          </w:p>
        </w:tc>
        <w:tc>
          <w:tcPr>
            <w:tcW w:w="124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113.3182</w:t>
            </w:r>
          </w:p>
        </w:tc>
        <w:tc>
          <w:tcPr>
            <w:tcW w:w="1158"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29.4818</w:t>
            </w:r>
          </w:p>
        </w:tc>
        <w:tc>
          <w:tcPr>
            <w:tcW w:w="1143"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108.2</w:t>
            </w:r>
          </w:p>
        </w:tc>
        <w:tc>
          <w:tcPr>
            <w:tcW w:w="1143"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3" w:hRule="exact"/>
          <w:jc w:val="center"/>
        </w:trPr>
        <w:tc>
          <w:tcPr>
            <w:tcW w:w="79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D3</w:t>
            </w:r>
          </w:p>
        </w:tc>
        <w:tc>
          <w:tcPr>
            <w:tcW w:w="1828"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云溪镇居民水井</w:t>
            </w:r>
          </w:p>
        </w:tc>
        <w:tc>
          <w:tcPr>
            <w:tcW w:w="169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W,4000</w:t>
            </w:r>
          </w:p>
        </w:tc>
        <w:tc>
          <w:tcPr>
            <w:tcW w:w="124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113.2666</w:t>
            </w:r>
          </w:p>
        </w:tc>
        <w:tc>
          <w:tcPr>
            <w:tcW w:w="1158"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29.4753</w:t>
            </w:r>
          </w:p>
        </w:tc>
        <w:tc>
          <w:tcPr>
            <w:tcW w:w="1143"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47.6</w:t>
            </w:r>
          </w:p>
        </w:tc>
        <w:tc>
          <w:tcPr>
            <w:tcW w:w="1143"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703" w:hRule="exact"/>
          <w:jc w:val="center"/>
        </w:trPr>
        <w:tc>
          <w:tcPr>
            <w:tcW w:w="79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D4</w:t>
            </w:r>
          </w:p>
        </w:tc>
        <w:tc>
          <w:tcPr>
            <w:tcW w:w="1828"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八一村</w:t>
            </w:r>
            <w:r>
              <w:rPr>
                <w:rFonts w:hint="default" w:ascii="Times New Roman" w:hAnsi="Times New Roman" w:cs="Times New Roman"/>
                <w:color w:val="auto"/>
                <w:sz w:val="21"/>
                <w:szCs w:val="21"/>
                <w:lang w:eastAsia="zh-CN"/>
              </w:rPr>
              <w:t>孙李组水田</w:t>
            </w:r>
            <w:r>
              <w:rPr>
                <w:rFonts w:hint="default" w:ascii="Times New Roman" w:hAnsi="Times New Roman" w:cs="Times New Roman"/>
                <w:color w:val="auto"/>
                <w:sz w:val="21"/>
                <w:szCs w:val="21"/>
              </w:rPr>
              <w:t>水井</w:t>
            </w:r>
          </w:p>
        </w:tc>
        <w:tc>
          <w:tcPr>
            <w:tcW w:w="1695"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NW,2800</w:t>
            </w:r>
          </w:p>
        </w:tc>
        <w:tc>
          <w:tcPr>
            <w:tcW w:w="1245"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113°1</w:t>
            </w:r>
            <w:r>
              <w:rPr>
                <w:rFonts w:hint="default"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37</w:t>
            </w:r>
            <w:r>
              <w:rPr>
                <w:rFonts w:hint="default" w:ascii="Times New Roman" w:hAnsi="Times New Roman" w:cs="Times New Roman"/>
                <w:color w:val="auto"/>
                <w:sz w:val="21"/>
                <w:szCs w:val="21"/>
              </w:rPr>
              <w:t>″</w:t>
            </w:r>
          </w:p>
        </w:tc>
        <w:tc>
          <w:tcPr>
            <w:tcW w:w="1158"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29°</w:t>
            </w:r>
            <w:r>
              <w:rPr>
                <w:rFonts w:hint="default" w:ascii="Times New Roman" w:hAnsi="Times New Roman" w:cs="Times New Roman"/>
                <w:color w:val="auto"/>
                <w:sz w:val="21"/>
                <w:szCs w:val="21"/>
                <w:lang w:val="en-US" w:eastAsia="zh-CN"/>
              </w:rPr>
              <w:t>27</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18</w:t>
            </w:r>
            <w:r>
              <w:rPr>
                <w:rFonts w:hint="default" w:ascii="Times New Roman" w:hAnsi="Times New Roman" w:cs="Times New Roman"/>
                <w:color w:val="auto"/>
                <w:sz w:val="21"/>
                <w:szCs w:val="21"/>
              </w:rPr>
              <w:t>″</w:t>
            </w:r>
          </w:p>
        </w:tc>
        <w:tc>
          <w:tcPr>
            <w:tcW w:w="1143"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62.1</w:t>
            </w:r>
          </w:p>
        </w:tc>
        <w:tc>
          <w:tcPr>
            <w:tcW w:w="1143"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3" w:hRule="exact"/>
          <w:jc w:val="center"/>
        </w:trPr>
        <w:tc>
          <w:tcPr>
            <w:tcW w:w="79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D5</w:t>
            </w:r>
          </w:p>
        </w:tc>
        <w:tc>
          <w:tcPr>
            <w:tcW w:w="1828"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镇龙村</w:t>
            </w:r>
            <w:r>
              <w:rPr>
                <w:rFonts w:hint="default" w:ascii="Times New Roman" w:hAnsi="Times New Roman" w:cs="Times New Roman"/>
                <w:color w:val="auto"/>
                <w:sz w:val="21"/>
                <w:szCs w:val="21"/>
                <w:lang w:eastAsia="zh-CN"/>
              </w:rPr>
              <w:t>五星学校操坪</w:t>
            </w:r>
            <w:r>
              <w:rPr>
                <w:rFonts w:hint="default" w:ascii="Times New Roman" w:hAnsi="Times New Roman" w:cs="Times New Roman"/>
                <w:color w:val="auto"/>
                <w:sz w:val="21"/>
                <w:szCs w:val="21"/>
              </w:rPr>
              <w:t>水井</w:t>
            </w:r>
          </w:p>
        </w:tc>
        <w:tc>
          <w:tcPr>
            <w:tcW w:w="1695"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W,3100</w:t>
            </w:r>
          </w:p>
        </w:tc>
        <w:tc>
          <w:tcPr>
            <w:tcW w:w="1245"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113°</w:t>
            </w:r>
            <w:r>
              <w:rPr>
                <w:rFonts w:hint="default" w:ascii="Times New Roman" w:hAnsi="Times New Roman" w:cs="Times New Roman"/>
                <w:color w:val="auto"/>
                <w:sz w:val="21"/>
                <w:szCs w:val="21"/>
                <w:lang w:val="en-US" w:eastAsia="zh-CN"/>
              </w:rPr>
              <w:t>17</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16</w:t>
            </w:r>
            <w:r>
              <w:rPr>
                <w:rFonts w:hint="default" w:ascii="Times New Roman" w:hAnsi="Times New Roman" w:cs="Times New Roman"/>
                <w:color w:val="auto"/>
                <w:sz w:val="21"/>
                <w:szCs w:val="21"/>
              </w:rPr>
              <w:t>″</w:t>
            </w:r>
          </w:p>
        </w:tc>
        <w:tc>
          <w:tcPr>
            <w:tcW w:w="1158"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29°</w:t>
            </w:r>
            <w:r>
              <w:rPr>
                <w:rFonts w:hint="default" w:ascii="Times New Roman" w:hAnsi="Times New Roman" w:cs="Times New Roman"/>
                <w:color w:val="auto"/>
                <w:sz w:val="21"/>
                <w:szCs w:val="21"/>
                <w:lang w:val="en-US" w:eastAsia="zh-CN"/>
              </w:rPr>
              <w:t>28</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16</w:t>
            </w:r>
            <w:r>
              <w:rPr>
                <w:rFonts w:hint="default" w:ascii="Times New Roman" w:hAnsi="Times New Roman" w:cs="Times New Roman"/>
                <w:color w:val="auto"/>
                <w:sz w:val="21"/>
                <w:szCs w:val="21"/>
              </w:rPr>
              <w:t>″</w:t>
            </w:r>
          </w:p>
        </w:tc>
        <w:tc>
          <w:tcPr>
            <w:tcW w:w="1143"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58.7</w:t>
            </w:r>
          </w:p>
        </w:tc>
        <w:tc>
          <w:tcPr>
            <w:tcW w:w="1143"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3" w:hRule="exact"/>
          <w:jc w:val="center"/>
        </w:trPr>
        <w:tc>
          <w:tcPr>
            <w:tcW w:w="79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D6</w:t>
            </w:r>
          </w:p>
        </w:tc>
        <w:tc>
          <w:tcPr>
            <w:tcW w:w="1828"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荷花村</w:t>
            </w:r>
            <w:r>
              <w:rPr>
                <w:rFonts w:hint="default" w:ascii="Times New Roman" w:hAnsi="Times New Roman" w:cs="Times New Roman"/>
                <w:color w:val="auto"/>
                <w:sz w:val="21"/>
                <w:szCs w:val="21"/>
                <w:lang w:eastAsia="zh-CN"/>
              </w:rPr>
              <w:t>张益林家</w:t>
            </w:r>
            <w:r>
              <w:rPr>
                <w:rFonts w:hint="default" w:ascii="Times New Roman" w:hAnsi="Times New Roman" w:cs="Times New Roman"/>
                <w:color w:val="auto"/>
                <w:sz w:val="21"/>
                <w:szCs w:val="21"/>
              </w:rPr>
              <w:t>水井</w:t>
            </w:r>
          </w:p>
        </w:tc>
        <w:tc>
          <w:tcPr>
            <w:tcW w:w="1695"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SW,4000</w:t>
            </w:r>
          </w:p>
        </w:tc>
        <w:tc>
          <w:tcPr>
            <w:tcW w:w="1245"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113°1</w:t>
            </w:r>
            <w:r>
              <w:rPr>
                <w:rFonts w:hint="default"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rPr>
              <w:t>′4</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w:t>
            </w:r>
          </w:p>
        </w:tc>
        <w:tc>
          <w:tcPr>
            <w:tcW w:w="1158"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29°29′45″</w:t>
            </w:r>
          </w:p>
        </w:tc>
        <w:tc>
          <w:tcPr>
            <w:tcW w:w="1143"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38.3</w:t>
            </w:r>
          </w:p>
        </w:tc>
        <w:tc>
          <w:tcPr>
            <w:tcW w:w="1143"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13.0</w:t>
            </w:r>
          </w:p>
        </w:tc>
      </w:tr>
    </w:tbl>
    <w:p>
      <w:pPr>
        <w:pStyle w:val="39"/>
        <w:bidi w:val="0"/>
        <w:rPr>
          <w:rFonts w:hint="default" w:ascii="Times New Roman" w:hAnsi="Times New Roman" w:eastAsia="宋体" w:cs="Times New Roman"/>
          <w:color w:val="auto"/>
          <w:spacing w:val="8"/>
          <w:lang w:eastAsia="zh-CN"/>
        </w:rPr>
      </w:pPr>
      <w:r>
        <w:rPr>
          <w:rFonts w:hint="default" w:ascii="Times New Roman" w:hAnsi="Times New Roman" w:cs="Times New Roman"/>
          <w:color w:val="auto"/>
        </w:rPr>
        <w:t>监测项目</w:t>
      </w:r>
      <w:r>
        <w:rPr>
          <w:rFonts w:hint="default" w:ascii="Times New Roman" w:hAnsi="Times New Roman" w:cs="Times New Roman"/>
          <w:color w:val="auto"/>
          <w:lang w:eastAsia="zh-CN"/>
        </w:rPr>
        <w:t>：</w:t>
      </w:r>
      <w:r>
        <w:rPr>
          <w:rFonts w:hint="default" w:ascii="Times New Roman" w:hAnsi="Times New Roman" w:cs="Times New Roman"/>
          <w:color w:val="auto"/>
        </w:rPr>
        <w:t>pH、总硬度、CODMn、NH3-N、</w:t>
      </w:r>
      <w:r>
        <w:rPr>
          <w:rFonts w:hint="default" w:ascii="Times New Roman" w:hAnsi="Times New Roman" w:cs="Times New Roman"/>
          <w:color w:val="auto"/>
          <w:lang w:val="en-US" w:eastAsia="zh-CN"/>
        </w:rPr>
        <w:t>石油类、挥发性酚类、</w:t>
      </w:r>
      <w:r>
        <w:rPr>
          <w:rFonts w:hint="default" w:ascii="Times New Roman" w:hAnsi="Times New Roman" w:cs="Times New Roman"/>
          <w:color w:val="auto"/>
        </w:rPr>
        <w:t>氟化物、硫酸盐、</w:t>
      </w:r>
      <w:r>
        <w:rPr>
          <w:rFonts w:hint="default" w:ascii="Times New Roman" w:hAnsi="Times New Roman" w:cs="Times New Roman"/>
          <w:color w:val="auto"/>
          <w:lang w:val="en-US" w:eastAsia="zh-CN"/>
        </w:rPr>
        <w:t>硫化物、氯化物、</w:t>
      </w:r>
      <w:r>
        <w:rPr>
          <w:rFonts w:hint="default" w:ascii="Times New Roman" w:hAnsi="Times New Roman" w:cs="Times New Roman"/>
          <w:color w:val="auto"/>
        </w:rPr>
        <w:t>亚硝酸盐、</w:t>
      </w:r>
      <w:r>
        <w:rPr>
          <w:rFonts w:hint="default" w:ascii="Times New Roman" w:hAnsi="Times New Roman" w:cs="Times New Roman"/>
          <w:color w:val="auto"/>
          <w:lang w:val="en-US" w:eastAsia="zh-CN"/>
        </w:rPr>
        <w:t>溴和味、</w:t>
      </w:r>
      <w:r>
        <w:rPr>
          <w:rFonts w:hint="default" w:ascii="Times New Roman" w:hAnsi="Times New Roman" w:cs="Times New Roman"/>
          <w:color w:val="auto"/>
        </w:rPr>
        <w:t>Ni、As、Pb、Cr6+、Cd、Mn</w:t>
      </w:r>
      <w:r>
        <w:rPr>
          <w:rFonts w:hint="default" w:ascii="Times New Roman" w:hAnsi="Times New Roman" w:cs="Times New Roman"/>
          <w:color w:val="auto"/>
          <w:lang w:eastAsia="zh-CN"/>
        </w:rPr>
        <w:t>及</w:t>
      </w:r>
      <w:r>
        <w:rPr>
          <w:rFonts w:hint="default" w:ascii="Times New Roman" w:hAnsi="Times New Roman" w:cs="Times New Roman"/>
          <w:color w:val="auto"/>
        </w:rPr>
        <w:t>总大肠菌群</w:t>
      </w:r>
      <w:r>
        <w:rPr>
          <w:rFonts w:hint="default" w:ascii="Times New Roman" w:hAnsi="Times New Roman" w:cs="Times New Roman"/>
          <w:color w:val="auto"/>
          <w:lang w:eastAsia="zh-CN"/>
        </w:rPr>
        <w:t>共</w:t>
      </w:r>
      <w:r>
        <w:rPr>
          <w:rFonts w:hint="default" w:ascii="Times New Roman" w:hAnsi="Times New Roman" w:cs="Times New Roman"/>
          <w:color w:val="auto"/>
          <w:lang w:val="en-US" w:eastAsia="zh-CN"/>
        </w:rPr>
        <w:t>19项</w:t>
      </w:r>
      <w:r>
        <w:rPr>
          <w:rFonts w:hint="default" w:ascii="Times New Roman" w:hAnsi="Times New Roman" w:cs="Times New Roman"/>
          <w:color w:val="auto"/>
          <w:lang w:eastAsia="zh-CN"/>
        </w:rPr>
        <w:t>。</w:t>
      </w:r>
    </w:p>
    <w:p>
      <w:pPr>
        <w:pStyle w:val="39"/>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cs="Times New Roman"/>
          <w:color w:val="auto"/>
        </w:rPr>
        <w:t>评价标准</w:t>
      </w:r>
      <w:r>
        <w:rPr>
          <w:rFonts w:hint="default" w:ascii="Times New Roman" w:hAnsi="Times New Roman" w:cs="Times New Roman"/>
          <w:color w:val="auto"/>
          <w:lang w:eastAsia="zh-CN"/>
        </w:rPr>
        <w:t>：</w:t>
      </w:r>
      <w:r>
        <w:rPr>
          <w:rFonts w:hint="default" w:ascii="Times New Roman" w:hAnsi="Times New Roman" w:cs="Times New Roman"/>
          <w:color w:val="auto"/>
        </w:rPr>
        <w:t>项目区地下水评价采用《地下水环境质量标准》（GB/T14848-2017）中Ⅲ类标准。</w:t>
      </w:r>
    </w:p>
    <w:p>
      <w:pPr>
        <w:pStyle w:val="39"/>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w:t>
      </w:r>
      <w:r>
        <w:rPr>
          <w:rFonts w:hint="default" w:ascii="Times New Roman" w:hAnsi="Times New Roman" w:cs="Times New Roman"/>
          <w:color w:val="auto"/>
        </w:rPr>
        <w:t>评价方法</w:t>
      </w:r>
      <w:r>
        <w:rPr>
          <w:rFonts w:hint="default" w:ascii="Times New Roman" w:hAnsi="Times New Roman" w:cs="Times New Roman"/>
          <w:color w:val="auto"/>
          <w:lang w:eastAsia="zh-CN"/>
        </w:rPr>
        <w:t>：</w:t>
      </w:r>
      <w:r>
        <w:rPr>
          <w:rFonts w:hint="default" w:ascii="Times New Roman" w:hAnsi="Times New Roman" w:cs="Times New Roman"/>
          <w:color w:val="auto"/>
        </w:rPr>
        <w:t>本项目地下水质量现状评价采用单因子标准指数法。</w:t>
      </w:r>
    </w:p>
    <w:p>
      <w:pPr>
        <w:pStyle w:val="39"/>
        <w:bidi w:val="0"/>
        <w:rPr>
          <w:rFonts w:hint="default" w:ascii="Times New Roman" w:hAnsi="Times New Roman" w:cs="Times New Roman"/>
          <w:color w:val="auto"/>
        </w:rPr>
      </w:pPr>
      <w:r>
        <w:rPr>
          <w:rFonts w:hint="default" w:ascii="Times New Roman" w:hAnsi="Times New Roman" w:cs="Times New Roman"/>
          <w:color w:val="auto"/>
        </w:rPr>
        <w:t>各单项水质参数评价模式如下：</w:t>
      </w:r>
    </w:p>
    <w:p>
      <w:pPr>
        <w:pStyle w:val="39"/>
        <w:bidi w:val="0"/>
        <w:jc w:val="center"/>
        <w:rPr>
          <w:rFonts w:hint="default" w:ascii="Times New Roman" w:hAnsi="Times New Roman" w:cs="Times New Roman"/>
          <w:color w:val="auto"/>
        </w:rPr>
      </w:pPr>
      <w:r>
        <w:rPr>
          <w:rFonts w:hint="default" w:ascii="Times New Roman" w:hAnsi="Times New Roman" w:cs="Times New Roman"/>
          <w:color w:val="auto"/>
          <w:position w:val="-14"/>
        </w:rPr>
        <w:object>
          <v:shape id="_x0000_i1025" o:spt="75" type="#_x0000_t75" style="height:19pt;width:69pt;" o:ole="t" filled="f" o:preferrelative="t" stroked="f" coordsize="21600,21600">
            <v:path/>
            <v:fill on="f" focussize="0,0"/>
            <v:stroke on="f"/>
            <v:imagedata r:id="rId41" o:title=""/>
            <o:lock v:ext="edit" aspectratio="t"/>
            <w10:wrap type="none"/>
            <w10:anchorlock/>
          </v:shape>
          <o:OLEObject Type="Embed" ProgID="Equation.KSEE3" ShapeID="_x0000_i1025" DrawAspect="Content" ObjectID="_1468075725" r:id="rId40">
            <o:LockedField>false</o:LockedField>
          </o:OLEObject>
        </w:object>
      </w:r>
    </w:p>
    <w:p>
      <w:pPr>
        <w:pStyle w:val="39"/>
        <w:bidi w:val="0"/>
        <w:rPr>
          <w:rFonts w:hint="default" w:ascii="Times New Roman" w:hAnsi="Times New Roman" w:cs="Times New Roman"/>
          <w:color w:val="auto"/>
        </w:rPr>
      </w:pPr>
      <w:r>
        <w:rPr>
          <w:rFonts w:hint="default" w:ascii="Times New Roman" w:hAnsi="Times New Roman" w:cs="Times New Roman"/>
          <w:color w:val="auto"/>
        </w:rPr>
        <w:t>式中：</w:t>
      </w:r>
    </w:p>
    <w:p>
      <w:pPr>
        <w:pStyle w:val="39"/>
        <w:bidi w:val="0"/>
        <w:rPr>
          <w:rFonts w:hint="default" w:ascii="Times New Roman" w:hAnsi="Times New Roman" w:cs="Times New Roman"/>
          <w:color w:val="auto"/>
        </w:rPr>
      </w:pPr>
      <w:r>
        <w:rPr>
          <w:rFonts w:hint="default" w:ascii="Times New Roman" w:hAnsi="Times New Roman" w:cs="Times New Roman"/>
          <w:color w:val="auto"/>
          <w:lang w:val="en-US" w:eastAsia="zh-CN"/>
        </w:rPr>
        <w:t>S</w:t>
      </w:r>
      <w:r>
        <w:rPr>
          <w:rFonts w:hint="default" w:ascii="Times New Roman" w:hAnsi="Times New Roman" w:cs="Times New Roman"/>
          <w:color w:val="auto"/>
          <w:vertAlign w:val="subscript"/>
          <w:lang w:val="en-US" w:eastAsia="zh-CN"/>
        </w:rPr>
        <w:t>i,j</w:t>
      </w:r>
      <w:r>
        <w:rPr>
          <w:rFonts w:hint="default" w:ascii="Times New Roman" w:hAnsi="Times New Roman" w:cs="Times New Roman"/>
          <w:color w:val="auto"/>
          <w:lang w:eastAsia="zh-CN"/>
        </w:rPr>
        <w:t>——</w:t>
      </w:r>
      <w:r>
        <w:rPr>
          <w:rFonts w:hint="default" w:ascii="Times New Roman" w:hAnsi="Times New Roman" w:cs="Times New Roman"/>
          <w:color w:val="auto"/>
        </w:rPr>
        <w:t>评价因子i的水质指数，大于1表明该水质因子超标；</w:t>
      </w:r>
    </w:p>
    <w:p>
      <w:pPr>
        <w:pStyle w:val="39"/>
        <w:bidi w:val="0"/>
        <w:rPr>
          <w:rFonts w:hint="default" w:ascii="Times New Roman" w:hAnsi="Times New Roman" w:cs="Times New Roman"/>
          <w:color w:val="auto"/>
        </w:rPr>
      </w:pPr>
      <w:r>
        <w:rPr>
          <w:rFonts w:hint="default" w:ascii="Times New Roman" w:hAnsi="Times New Roman" w:cs="Times New Roman"/>
          <w:color w:val="auto"/>
          <w:lang w:val="en-US" w:eastAsia="zh-CN"/>
        </w:rPr>
        <w:t>C</w:t>
      </w:r>
      <w:r>
        <w:rPr>
          <w:rFonts w:hint="default" w:ascii="Times New Roman" w:hAnsi="Times New Roman" w:cs="Times New Roman"/>
          <w:color w:val="auto"/>
          <w:vertAlign w:val="subscript"/>
          <w:lang w:val="en-US" w:eastAsia="zh-CN"/>
        </w:rPr>
        <w:t>i,j</w:t>
      </w:r>
      <w:r>
        <w:rPr>
          <w:rFonts w:hint="default" w:ascii="Times New Roman" w:hAnsi="Times New Roman" w:cs="Times New Roman"/>
          <w:color w:val="auto"/>
          <w:lang w:eastAsia="zh-CN"/>
        </w:rPr>
        <w:t>——</w:t>
      </w:r>
      <w:r>
        <w:rPr>
          <w:rFonts w:hint="default" w:ascii="Times New Roman" w:hAnsi="Times New Roman" w:cs="Times New Roman"/>
          <w:color w:val="auto"/>
        </w:rPr>
        <w:t>评价因子i在j点的实测统计代表值，mg/L；</w:t>
      </w:r>
    </w:p>
    <w:p>
      <w:pPr>
        <w:pStyle w:val="39"/>
        <w:bidi w:val="0"/>
        <w:rPr>
          <w:rFonts w:hint="default" w:ascii="Times New Roman" w:hAnsi="Times New Roman" w:cs="Times New Roman"/>
          <w:color w:val="auto"/>
        </w:rPr>
      </w:pPr>
      <w:r>
        <w:rPr>
          <w:rFonts w:hint="default" w:ascii="Times New Roman" w:hAnsi="Times New Roman" w:cs="Times New Roman"/>
          <w:color w:val="auto"/>
        </w:rPr>
        <w:t>C</w:t>
      </w:r>
      <w:r>
        <w:rPr>
          <w:rFonts w:hint="default" w:ascii="Times New Roman" w:hAnsi="Times New Roman" w:cs="Times New Roman"/>
          <w:color w:val="auto"/>
          <w:vertAlign w:val="subscript"/>
        </w:rPr>
        <w:t>s</w:t>
      </w:r>
      <w:r>
        <w:rPr>
          <w:rFonts w:hint="default" w:ascii="Times New Roman" w:hAnsi="Times New Roman" w:cs="Times New Roman"/>
          <w:color w:val="auto"/>
          <w:vertAlign w:val="subscript"/>
          <w:lang w:val="en-US" w:eastAsia="zh-CN"/>
        </w:rPr>
        <w:t>i</w:t>
      </w:r>
      <w:r>
        <w:rPr>
          <w:rFonts w:hint="default" w:ascii="Times New Roman" w:hAnsi="Times New Roman" w:cs="Times New Roman"/>
          <w:color w:val="auto"/>
          <w:lang w:eastAsia="zh-CN"/>
        </w:rPr>
        <w:t>——</w:t>
      </w:r>
      <w:r>
        <w:rPr>
          <w:rFonts w:hint="default" w:ascii="Times New Roman" w:hAnsi="Times New Roman" w:cs="Times New Roman"/>
          <w:color w:val="auto"/>
        </w:rPr>
        <w:t>评价因子i的水质评价标准限值，mg/L。</w:t>
      </w:r>
    </w:p>
    <w:p>
      <w:pPr>
        <w:pStyle w:val="39"/>
        <w:bidi w:val="0"/>
        <w:rPr>
          <w:rFonts w:hint="default" w:ascii="Times New Roman" w:hAnsi="Times New Roman" w:cs="Times New Roman"/>
          <w:color w:val="auto"/>
        </w:rPr>
      </w:pPr>
      <w:r>
        <w:rPr>
          <w:rFonts w:hint="default" w:ascii="Times New Roman" w:hAnsi="Times New Roman" w:cs="Times New Roman"/>
          <w:color w:val="auto"/>
        </w:rPr>
        <w:t>pH值标准指数的计算可用下式：</w:t>
      </w:r>
    </w:p>
    <w:p>
      <w:pPr>
        <w:pStyle w:val="39"/>
        <w:bidi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position w:val="-30"/>
        </w:rPr>
        <w:object>
          <v:shape id="_x0000_i1026" o:spt="75" type="#_x0000_t75" style="height:36pt;width:93pt;" o:ole="t" filled="f" o:preferrelative="t" stroked="f" coordsize="21600,21600">
            <v:path/>
            <v:fill on="f" focussize="0,0"/>
            <v:stroke on="f"/>
            <v:imagedata r:id="rId43" o:title=""/>
            <o:lock v:ext="edit" aspectratio="t"/>
            <w10:wrap type="none"/>
            <w10:anchorlock/>
          </v:shape>
          <o:OLEObject Type="Embed" ProgID="Equation.KSEE3" ShapeID="_x0000_i1026" DrawAspect="Content" ObjectID="_1468075726" r:id="rId42">
            <o:LockedField>false</o:LockedField>
          </o:OLEObject>
        </w:object>
      </w:r>
      <w:r>
        <w:rPr>
          <w:rFonts w:hint="default" w:ascii="Times New Roman" w:hAnsi="Times New Roman" w:cs="Times New Roman"/>
          <w:color w:val="auto"/>
          <w:position w:val="-30"/>
          <w:lang w:val="en-US" w:eastAsia="zh-CN"/>
        </w:rPr>
        <w:t xml:space="preserve">  </w:t>
      </w:r>
      <w:r>
        <w:rPr>
          <w:rFonts w:hint="default" w:ascii="Times New Roman" w:hAnsi="Times New Roman" w:cs="Times New Roman"/>
          <w:color w:val="auto"/>
          <w:lang w:val="en-US" w:eastAsia="zh-CN"/>
        </w:rPr>
        <w:t>pH</w:t>
      </w:r>
      <w:r>
        <w:rPr>
          <w:rFonts w:hint="default" w:ascii="Times New Roman" w:hAnsi="Times New Roman" w:cs="Times New Roman"/>
          <w:color w:val="auto"/>
          <w:vertAlign w:val="subscript"/>
          <w:lang w:val="en-US" w:eastAsia="zh-CN"/>
        </w:rPr>
        <w:t>j</w:t>
      </w:r>
      <w:r>
        <w:rPr>
          <w:rFonts w:hint="default" w:ascii="Times New Roman" w:hAnsi="Times New Roman" w:eastAsia="微软雅黑" w:cs="Times New Roman"/>
          <w:color w:val="auto"/>
          <w:vertAlign w:val="baseline"/>
          <w:lang w:val="en-US" w:eastAsia="zh-CN"/>
        </w:rPr>
        <w:t>≤</w:t>
      </w:r>
      <w:r>
        <w:rPr>
          <w:rFonts w:hint="default" w:ascii="Times New Roman" w:hAnsi="Times New Roman" w:cs="Times New Roman"/>
          <w:color w:val="auto"/>
          <w:vertAlign w:val="baseline"/>
          <w:lang w:val="en-US" w:eastAsia="zh-CN"/>
        </w:rPr>
        <w:t>7.0</w:t>
      </w:r>
    </w:p>
    <w:p>
      <w:pPr>
        <w:pStyle w:val="39"/>
        <w:bidi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position w:val="-30"/>
        </w:rPr>
        <w:object>
          <v:shape id="_x0000_i1027" o:spt="75" type="#_x0000_t75" style="height:36pt;width:93pt;" o:ole="t" filled="f" o:preferrelative="t" stroked="f" coordsize="21600,21600">
            <v:path/>
            <v:fill on="f" focussize="0,0"/>
            <v:stroke on="f"/>
            <v:imagedata r:id="rId45" o:title=""/>
            <o:lock v:ext="edit" aspectratio="t"/>
            <w10:wrap type="none"/>
            <w10:anchorlock/>
          </v:shape>
          <o:OLEObject Type="Embed" ProgID="Equation.KSEE3" ShapeID="_x0000_i1027" DrawAspect="Content" ObjectID="_1468075727" r:id="rId44">
            <o:LockedField>false</o:LockedField>
          </o:OLEObject>
        </w:object>
      </w:r>
      <w:r>
        <w:rPr>
          <w:rFonts w:hint="default" w:ascii="Times New Roman" w:hAnsi="Times New Roman" w:cs="Times New Roman"/>
          <w:color w:val="auto"/>
          <w:position w:val="-30"/>
          <w:lang w:val="en-US" w:eastAsia="zh-CN"/>
        </w:rPr>
        <w:t xml:space="preserve">  </w:t>
      </w:r>
      <w:r>
        <w:rPr>
          <w:rFonts w:hint="default" w:ascii="Times New Roman" w:hAnsi="Times New Roman" w:cs="Times New Roman"/>
          <w:color w:val="auto"/>
          <w:lang w:val="en-US" w:eastAsia="zh-CN"/>
        </w:rPr>
        <w:t>pH</w:t>
      </w:r>
      <w:r>
        <w:rPr>
          <w:rFonts w:hint="default" w:ascii="Times New Roman" w:hAnsi="Times New Roman" w:cs="Times New Roman"/>
          <w:color w:val="auto"/>
          <w:vertAlign w:val="subscript"/>
          <w:lang w:val="en-US" w:eastAsia="zh-CN"/>
        </w:rPr>
        <w:t>j</w:t>
      </w:r>
      <w:r>
        <w:rPr>
          <w:rFonts w:hint="default" w:ascii="Times New Roman" w:hAnsi="Times New Roman" w:eastAsia="微软雅黑" w:cs="Times New Roman"/>
          <w:color w:val="auto"/>
          <w:vertAlign w:val="baseline"/>
          <w:lang w:val="en-US" w:eastAsia="zh-CN"/>
        </w:rPr>
        <w:t>&gt;</w:t>
      </w:r>
      <w:r>
        <w:rPr>
          <w:rFonts w:hint="default" w:ascii="Times New Roman" w:hAnsi="Times New Roman" w:cs="Times New Roman"/>
          <w:color w:val="auto"/>
          <w:vertAlign w:val="baseline"/>
          <w:lang w:val="en-US" w:eastAsia="zh-CN"/>
        </w:rPr>
        <w:t>7.0</w:t>
      </w:r>
    </w:p>
    <w:p>
      <w:pPr>
        <w:pStyle w:val="39"/>
        <w:bidi w:val="0"/>
        <w:rPr>
          <w:rFonts w:hint="default" w:ascii="Times New Roman" w:hAnsi="Times New Roman" w:cs="Times New Roman"/>
          <w:color w:val="auto"/>
        </w:rPr>
      </w:pPr>
      <w:r>
        <w:rPr>
          <w:rFonts w:hint="default" w:ascii="Times New Roman" w:hAnsi="Times New Roman" w:cs="Times New Roman"/>
          <w:color w:val="auto"/>
        </w:rPr>
        <w:t>式中：</w:t>
      </w:r>
    </w:p>
    <w:p>
      <w:pPr>
        <w:pStyle w:val="39"/>
        <w:bidi w:val="0"/>
        <w:rPr>
          <w:rFonts w:hint="default" w:ascii="Times New Roman" w:hAnsi="Times New Roman" w:cs="Times New Roman"/>
          <w:color w:val="auto"/>
        </w:rPr>
      </w:pPr>
      <w:r>
        <w:rPr>
          <w:rFonts w:hint="default" w:ascii="Times New Roman" w:hAnsi="Times New Roman" w:cs="Times New Roman"/>
          <w:color w:val="auto"/>
          <w:lang w:val="en-US" w:eastAsia="zh-CN"/>
        </w:rPr>
        <w:t>S</w:t>
      </w:r>
      <w:r>
        <w:rPr>
          <w:rFonts w:hint="default" w:ascii="Times New Roman" w:hAnsi="Times New Roman" w:cs="Times New Roman"/>
          <w:color w:val="auto"/>
          <w:vertAlign w:val="subscript"/>
          <w:lang w:val="en-US" w:eastAsia="zh-CN"/>
        </w:rPr>
        <w:t>pH,j</w:t>
      </w:r>
      <w:r>
        <w:rPr>
          <w:rFonts w:hint="default" w:ascii="Times New Roman" w:hAnsi="Times New Roman" w:cs="Times New Roman"/>
          <w:color w:val="auto"/>
          <w:lang w:eastAsia="zh-CN"/>
        </w:rPr>
        <w:t>——</w:t>
      </w:r>
      <w:r>
        <w:rPr>
          <w:rFonts w:hint="default" w:ascii="Times New Roman" w:hAnsi="Times New Roman" w:cs="Times New Roman"/>
          <w:color w:val="auto"/>
        </w:rPr>
        <w:t>pH值的指数，大于1表明该水质因子超标；</w:t>
      </w:r>
    </w:p>
    <w:p>
      <w:pPr>
        <w:pStyle w:val="39"/>
        <w:bidi w:val="0"/>
        <w:rPr>
          <w:rFonts w:hint="default" w:ascii="Times New Roman" w:hAnsi="Times New Roman" w:cs="Times New Roman"/>
          <w:color w:val="auto"/>
        </w:rPr>
      </w:pPr>
      <w:r>
        <w:rPr>
          <w:rFonts w:hint="default" w:ascii="Times New Roman" w:hAnsi="Times New Roman" w:cs="Times New Roman"/>
          <w:color w:val="auto"/>
          <w:lang w:val="en-US" w:eastAsia="zh-CN"/>
        </w:rPr>
        <w:t>pH</w:t>
      </w:r>
      <w:r>
        <w:rPr>
          <w:rFonts w:hint="default" w:ascii="Times New Roman" w:hAnsi="Times New Roman" w:cs="Times New Roman"/>
          <w:color w:val="auto"/>
          <w:vertAlign w:val="subscript"/>
          <w:lang w:val="en-US" w:eastAsia="zh-CN"/>
        </w:rPr>
        <w:t>j</w:t>
      </w:r>
      <w:r>
        <w:rPr>
          <w:rFonts w:hint="default" w:ascii="Times New Roman" w:hAnsi="Times New Roman" w:cs="Times New Roman"/>
          <w:color w:val="auto"/>
          <w:lang w:eastAsia="zh-CN"/>
        </w:rPr>
        <w:t>——</w:t>
      </w:r>
      <w:r>
        <w:rPr>
          <w:rFonts w:hint="default" w:ascii="Times New Roman" w:hAnsi="Times New Roman" w:cs="Times New Roman"/>
          <w:color w:val="auto"/>
        </w:rPr>
        <w:t>pH值实测统计代表值；</w:t>
      </w:r>
    </w:p>
    <w:p>
      <w:pPr>
        <w:pStyle w:val="39"/>
        <w:bidi w:val="0"/>
        <w:rPr>
          <w:rFonts w:hint="default" w:ascii="Times New Roman" w:hAnsi="Times New Roman" w:cs="Times New Roman"/>
          <w:color w:val="auto"/>
        </w:rPr>
      </w:pPr>
      <w:r>
        <w:rPr>
          <w:rFonts w:hint="default" w:ascii="Times New Roman" w:hAnsi="Times New Roman" w:cs="Times New Roman"/>
          <w:color w:val="auto"/>
          <w:lang w:val="en-US" w:eastAsia="zh-CN"/>
        </w:rPr>
        <w:t>pH</w:t>
      </w:r>
      <w:r>
        <w:rPr>
          <w:rFonts w:hint="default" w:ascii="Times New Roman" w:hAnsi="Times New Roman" w:cs="Times New Roman"/>
          <w:color w:val="auto"/>
          <w:vertAlign w:val="subscript"/>
          <w:lang w:val="en-US" w:eastAsia="zh-CN"/>
        </w:rPr>
        <w:t>sd</w:t>
      </w:r>
      <w:r>
        <w:rPr>
          <w:rFonts w:hint="default" w:ascii="Times New Roman" w:hAnsi="Times New Roman" w:cs="Times New Roman"/>
          <w:color w:val="auto"/>
          <w:lang w:eastAsia="zh-CN"/>
        </w:rPr>
        <w:t>——</w:t>
      </w:r>
      <w:r>
        <w:rPr>
          <w:rFonts w:hint="default" w:ascii="Times New Roman" w:hAnsi="Times New Roman" w:cs="Times New Roman"/>
          <w:color w:val="auto"/>
        </w:rPr>
        <w:t>评价标准中pH值的下限值；</w:t>
      </w:r>
    </w:p>
    <w:p>
      <w:pPr>
        <w:pStyle w:val="39"/>
        <w:bidi w:val="0"/>
        <w:rPr>
          <w:rFonts w:hint="default" w:ascii="Times New Roman" w:hAnsi="Times New Roman" w:cs="Times New Roman"/>
          <w:color w:val="auto"/>
        </w:rPr>
      </w:pPr>
      <w:r>
        <w:rPr>
          <w:rFonts w:hint="default" w:ascii="Times New Roman" w:hAnsi="Times New Roman" w:cs="Times New Roman"/>
          <w:color w:val="auto"/>
          <w:lang w:val="en-US" w:eastAsia="zh-CN"/>
        </w:rPr>
        <w:t>pH</w:t>
      </w:r>
      <w:r>
        <w:rPr>
          <w:rFonts w:hint="default" w:ascii="Times New Roman" w:hAnsi="Times New Roman" w:cs="Times New Roman"/>
          <w:color w:val="auto"/>
          <w:vertAlign w:val="subscript"/>
          <w:lang w:val="en-US" w:eastAsia="zh-CN"/>
        </w:rPr>
        <w:t>su</w:t>
      </w:r>
      <w:r>
        <w:rPr>
          <w:rFonts w:hint="default" w:ascii="Times New Roman" w:hAnsi="Times New Roman" w:cs="Times New Roman"/>
          <w:color w:val="auto"/>
          <w:lang w:eastAsia="zh-CN"/>
        </w:rPr>
        <w:t>——</w:t>
      </w:r>
      <w:r>
        <w:rPr>
          <w:rFonts w:hint="default" w:ascii="Times New Roman" w:hAnsi="Times New Roman" w:cs="Times New Roman"/>
          <w:color w:val="auto"/>
        </w:rPr>
        <w:t>评价标准中pH值的上限值。</w:t>
      </w:r>
    </w:p>
    <w:p>
      <w:pPr>
        <w:pStyle w:val="39"/>
        <w:bidi w:val="0"/>
        <w:rPr>
          <w:rFonts w:hint="default" w:ascii="Times New Roman" w:hAnsi="Times New Roman" w:cs="Times New Roman"/>
          <w:color w:val="auto"/>
        </w:rPr>
      </w:pPr>
      <w:r>
        <w:rPr>
          <w:rFonts w:hint="default" w:ascii="Times New Roman" w:hAnsi="Times New Roman" w:cs="Times New Roman"/>
          <w:color w:val="auto"/>
        </w:rPr>
        <w:t>计算所得的指数大于1时，表明该水质参数超过了规定的标准，即水体已经受到该水质参数所表征的污染物污染，指数越大，污染程度越重。</w:t>
      </w:r>
    </w:p>
    <w:p>
      <w:pPr>
        <w:pStyle w:val="39"/>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w:t>
      </w:r>
      <w:r>
        <w:rPr>
          <w:rFonts w:hint="default" w:ascii="Times New Roman" w:hAnsi="Times New Roman" w:cs="Times New Roman"/>
          <w:color w:val="auto"/>
        </w:rPr>
        <w:t>监测及评价结果</w:t>
      </w:r>
    </w:p>
    <w:p>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项目区地下水水井（D1~D</w:t>
      </w:r>
      <w:r>
        <w:rPr>
          <w:rFonts w:hint="default" w:ascii="Times New Roman" w:hAnsi="Times New Roman" w:cs="Times New Roman"/>
          <w:b w:val="0"/>
          <w:bCs w:val="0"/>
          <w:color w:val="auto"/>
          <w:kern w:val="2"/>
          <w:sz w:val="24"/>
          <w:szCs w:val="24"/>
          <w:lang w:val="en-US" w:eastAsia="zh-CN" w:bidi="ar-SA"/>
        </w:rPr>
        <w:t>6</w:t>
      </w:r>
      <w:r>
        <w:rPr>
          <w:rFonts w:hint="default" w:ascii="Times New Roman" w:hAnsi="Times New Roman" w:eastAsia="宋体" w:cs="Times New Roman"/>
          <w:b w:val="0"/>
          <w:bCs w:val="0"/>
          <w:color w:val="auto"/>
          <w:kern w:val="2"/>
          <w:sz w:val="24"/>
          <w:szCs w:val="24"/>
          <w:lang w:val="en-US" w:eastAsia="zh-CN" w:bidi="ar-SA"/>
        </w:rPr>
        <w:t>）监测结果见表</w:t>
      </w:r>
      <w:r>
        <w:rPr>
          <w:rFonts w:hint="default" w:ascii="Times New Roman" w:hAnsi="Times New Roman" w:cs="Times New Roman"/>
          <w:b w:val="0"/>
          <w:bCs w:val="0"/>
          <w:color w:val="auto"/>
          <w:kern w:val="2"/>
          <w:sz w:val="24"/>
          <w:szCs w:val="24"/>
          <w:lang w:val="en-US" w:eastAsia="zh-CN" w:bidi="ar-SA"/>
        </w:rPr>
        <w:t>5-10，</w:t>
      </w:r>
      <w:r>
        <w:rPr>
          <w:rFonts w:hint="default" w:ascii="Times New Roman" w:hAnsi="Times New Roman" w:eastAsia="宋体" w:cs="Times New Roman"/>
          <w:b w:val="0"/>
          <w:bCs w:val="0"/>
          <w:color w:val="auto"/>
          <w:kern w:val="2"/>
          <w:sz w:val="24"/>
          <w:szCs w:val="24"/>
          <w:lang w:val="en-US" w:eastAsia="zh-CN" w:bidi="ar-SA"/>
        </w:rPr>
        <w:t>地下水水井（D1~D</w:t>
      </w:r>
      <w:r>
        <w:rPr>
          <w:rFonts w:hint="default" w:ascii="Times New Roman" w:hAnsi="Times New Roman" w:cs="Times New Roman"/>
          <w:b w:val="0"/>
          <w:bCs w:val="0"/>
          <w:color w:val="auto"/>
          <w:kern w:val="2"/>
          <w:sz w:val="24"/>
          <w:szCs w:val="24"/>
          <w:lang w:val="en-US" w:eastAsia="zh-CN" w:bidi="ar-SA"/>
        </w:rPr>
        <w:t>6</w:t>
      </w:r>
      <w:r>
        <w:rPr>
          <w:rFonts w:hint="default" w:ascii="Times New Roman" w:hAnsi="Times New Roman" w:eastAsia="宋体" w:cs="Times New Roman"/>
          <w:b w:val="0"/>
          <w:bCs w:val="0"/>
          <w:color w:val="auto"/>
          <w:kern w:val="2"/>
          <w:sz w:val="24"/>
          <w:szCs w:val="24"/>
          <w:lang w:val="en-US" w:eastAsia="zh-CN" w:bidi="ar-SA"/>
        </w:rPr>
        <w:t>）</w:t>
      </w:r>
      <w:r>
        <w:rPr>
          <w:rFonts w:hint="default" w:ascii="Times New Roman" w:hAnsi="Times New Roman" w:cs="Times New Roman"/>
          <w:b w:val="0"/>
          <w:bCs w:val="0"/>
          <w:color w:val="auto"/>
          <w:kern w:val="2"/>
          <w:sz w:val="24"/>
          <w:szCs w:val="24"/>
          <w:lang w:val="en-US" w:eastAsia="zh-CN" w:bidi="ar-SA"/>
        </w:rPr>
        <w:t>评价</w:t>
      </w:r>
      <w:r>
        <w:rPr>
          <w:rFonts w:hint="default" w:ascii="Times New Roman" w:hAnsi="Times New Roman" w:eastAsia="宋体" w:cs="Times New Roman"/>
          <w:b w:val="0"/>
          <w:bCs w:val="0"/>
          <w:color w:val="auto"/>
          <w:kern w:val="2"/>
          <w:sz w:val="24"/>
          <w:szCs w:val="24"/>
          <w:lang w:val="en-US" w:eastAsia="zh-CN" w:bidi="ar-SA"/>
        </w:rPr>
        <w:t>结果见表</w:t>
      </w:r>
      <w:r>
        <w:rPr>
          <w:rFonts w:hint="default" w:ascii="Times New Roman" w:hAnsi="Times New Roman" w:cs="Times New Roman"/>
          <w:b w:val="0"/>
          <w:bCs w:val="0"/>
          <w:color w:val="auto"/>
          <w:kern w:val="2"/>
          <w:sz w:val="24"/>
          <w:szCs w:val="24"/>
          <w:lang w:val="en-US" w:eastAsia="zh-CN" w:bidi="ar-SA"/>
        </w:rPr>
        <w:t>5-11</w:t>
      </w:r>
      <w:r>
        <w:rPr>
          <w:rFonts w:hint="default" w:ascii="Times New Roman" w:hAnsi="Times New Roman" w:eastAsia="宋体" w:cs="Times New Roman"/>
          <w:b w:val="0"/>
          <w:bCs w:val="0"/>
          <w:color w:val="auto"/>
          <w:kern w:val="2"/>
          <w:sz w:val="24"/>
          <w:szCs w:val="24"/>
          <w:lang w:val="en-US" w:eastAsia="zh-CN" w:bidi="ar-SA"/>
        </w:rPr>
        <w:t>。</w:t>
      </w:r>
    </w:p>
    <w:p>
      <w:pPr>
        <w:pStyle w:val="14"/>
        <w:bidi w:val="0"/>
        <w:rPr>
          <w:rFonts w:hint="default" w:ascii="Times New Roman" w:hAnsi="Times New Roman" w:cs="Times New Roman"/>
          <w:color w:val="auto"/>
          <w:u w:val="single"/>
          <w:lang w:eastAsia="zh-CN"/>
        </w:rPr>
      </w:pPr>
      <w:r>
        <w:rPr>
          <w:rFonts w:hint="default" w:ascii="Times New Roman" w:hAnsi="Times New Roman" w:cs="Times New Roman"/>
          <w:color w:val="auto"/>
          <w:u w:val="single"/>
        </w:rPr>
        <w:t xml:space="preserve">表 </w:t>
      </w:r>
      <w:r>
        <w:rPr>
          <w:rFonts w:hint="default" w:ascii="Times New Roman" w:hAnsi="Times New Roman" w:cs="Times New Roman"/>
          <w:color w:val="auto"/>
          <w:u w:val="single"/>
        </w:rPr>
        <w:fldChar w:fldCharType="begin"/>
      </w:r>
      <w:r>
        <w:rPr>
          <w:rFonts w:hint="default" w:ascii="Times New Roman" w:hAnsi="Times New Roman" w:cs="Times New Roman"/>
          <w:color w:val="auto"/>
          <w:u w:val="single"/>
        </w:rPr>
        <w:instrText xml:space="preserve"> STYLEREF 1 \s </w:instrText>
      </w:r>
      <w:r>
        <w:rPr>
          <w:rFonts w:hint="default" w:ascii="Times New Roman" w:hAnsi="Times New Roman" w:cs="Times New Roman"/>
          <w:color w:val="auto"/>
          <w:u w:val="single"/>
        </w:rPr>
        <w:fldChar w:fldCharType="separate"/>
      </w:r>
      <w:r>
        <w:rPr>
          <w:rFonts w:hint="default" w:ascii="Times New Roman" w:hAnsi="Times New Roman" w:cs="Times New Roman"/>
          <w:color w:val="auto"/>
          <w:u w:val="single"/>
        </w:rPr>
        <w:t>5</w:t>
      </w:r>
      <w:r>
        <w:rPr>
          <w:rFonts w:hint="default" w:ascii="Times New Roman" w:hAnsi="Times New Roman" w:cs="Times New Roman"/>
          <w:color w:val="auto"/>
          <w:u w:val="single"/>
        </w:rPr>
        <w:fldChar w:fldCharType="end"/>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lang w:val="en-US" w:eastAsia="zh-CN"/>
        </w:rPr>
        <w:t xml:space="preserve">10 </w:t>
      </w:r>
      <w:r>
        <w:rPr>
          <w:rFonts w:hint="default" w:ascii="Times New Roman" w:hAnsi="Times New Roman" w:cs="Times New Roman"/>
          <w:color w:val="auto"/>
          <w:u w:val="single"/>
        </w:rPr>
        <w:t>地下水水质监测结果</w:t>
      </w:r>
      <w:r>
        <w:rPr>
          <w:rFonts w:hint="default" w:ascii="Times New Roman" w:hAnsi="Times New Roman" w:cs="Times New Roman"/>
          <w:color w:val="auto"/>
          <w:u w:val="single"/>
          <w:lang w:eastAsia="zh-CN"/>
        </w:rPr>
        <w:t>（水井</w:t>
      </w:r>
      <w:r>
        <w:rPr>
          <w:rFonts w:hint="default" w:ascii="Times New Roman" w:hAnsi="Times New Roman" w:cs="Times New Roman"/>
          <w:color w:val="auto"/>
          <w:u w:val="single"/>
          <w:lang w:val="en-US" w:eastAsia="zh-CN"/>
        </w:rPr>
        <w:t>D1~D6</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一览表</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mg/L</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lang w:val="en-US" w:eastAsia="zh-CN"/>
        </w:rPr>
        <w:t>pH无量纲</w:t>
      </w:r>
      <w:r>
        <w:rPr>
          <w:rFonts w:hint="default" w:ascii="Times New Roman" w:hAnsi="Times New Roman" w:cs="Times New Roman"/>
          <w:color w:val="auto"/>
          <w:u w:val="single"/>
          <w:lang w:eastAsia="zh-CN"/>
        </w:rPr>
        <w:t>）</w:t>
      </w:r>
    </w:p>
    <w:tbl>
      <w:tblPr>
        <w:tblStyle w:val="24"/>
        <w:tblW w:w="850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25"/>
        <w:gridCol w:w="950"/>
        <w:gridCol w:w="950"/>
        <w:gridCol w:w="950"/>
        <w:gridCol w:w="960"/>
        <w:gridCol w:w="975"/>
        <w:gridCol w:w="915"/>
        <w:gridCol w:w="137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1425"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检测项目</w:t>
            </w:r>
          </w:p>
        </w:tc>
        <w:tc>
          <w:tcPr>
            <w:tcW w:w="5700" w:type="dxa"/>
            <w:gridSpan w:val="6"/>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地下水监测点位</w:t>
            </w:r>
          </w:p>
        </w:tc>
        <w:tc>
          <w:tcPr>
            <w:tcW w:w="1378"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参考限值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142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D1</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D2</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D3</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D4</w:t>
            </w:r>
          </w:p>
        </w:tc>
        <w:tc>
          <w:tcPr>
            <w:tcW w:w="9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D5</w:t>
            </w:r>
          </w:p>
        </w:tc>
        <w:tc>
          <w:tcPr>
            <w:tcW w:w="9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D6</w:t>
            </w:r>
          </w:p>
        </w:tc>
        <w:tc>
          <w:tcPr>
            <w:tcW w:w="1378"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3" w:hRule="exact"/>
          <w:jc w:val="center"/>
        </w:trPr>
        <w:tc>
          <w:tcPr>
            <w:tcW w:w="142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6.38</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6.27</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6</w:t>
            </w:r>
            <w:r>
              <w:rPr>
                <w:rFonts w:hint="default" w:ascii="Times New Roman" w:hAnsi="Times New Roman" w:cs="Times New Roman"/>
                <w:color w:val="auto"/>
                <w:sz w:val="21"/>
                <w:szCs w:val="21"/>
                <w:lang w:val="en-US" w:eastAsia="zh-CN"/>
              </w:rPr>
              <w:t>.15</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6.57</w:t>
            </w:r>
          </w:p>
        </w:tc>
        <w:tc>
          <w:tcPr>
            <w:tcW w:w="9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6.18</w:t>
            </w:r>
          </w:p>
        </w:tc>
        <w:tc>
          <w:tcPr>
            <w:tcW w:w="9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6.13</w:t>
            </w:r>
          </w:p>
        </w:tc>
        <w:tc>
          <w:tcPr>
            <w:tcW w:w="137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pH</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142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耗氧量</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0.94</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0.97</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1.12</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1.15</w:t>
            </w:r>
          </w:p>
        </w:tc>
        <w:tc>
          <w:tcPr>
            <w:tcW w:w="9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1.32</w:t>
            </w:r>
          </w:p>
        </w:tc>
        <w:tc>
          <w:tcPr>
            <w:tcW w:w="9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0.99</w:t>
            </w:r>
          </w:p>
        </w:tc>
        <w:tc>
          <w:tcPr>
            <w:tcW w:w="137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142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氨氮</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0.082</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0.095</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137</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0.117</w:t>
            </w:r>
          </w:p>
        </w:tc>
        <w:tc>
          <w:tcPr>
            <w:tcW w:w="9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0.173</w:t>
            </w:r>
          </w:p>
        </w:tc>
        <w:tc>
          <w:tcPr>
            <w:tcW w:w="9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0.098</w:t>
            </w:r>
          </w:p>
        </w:tc>
        <w:tc>
          <w:tcPr>
            <w:tcW w:w="137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0.50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142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石油类</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0.01</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0.01L</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0.01</w:t>
            </w:r>
            <w:r>
              <w:rPr>
                <w:rFonts w:hint="default" w:ascii="Times New Roman" w:hAnsi="Times New Roman" w:cs="Times New Roman"/>
                <w:color w:val="auto"/>
                <w:sz w:val="21"/>
                <w:szCs w:val="21"/>
                <w:lang w:val="en-US" w:eastAsia="zh-CN"/>
              </w:rPr>
              <w:t>L</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0.01</w:t>
            </w:r>
          </w:p>
        </w:tc>
        <w:tc>
          <w:tcPr>
            <w:tcW w:w="9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0.01</w:t>
            </w:r>
          </w:p>
        </w:tc>
        <w:tc>
          <w:tcPr>
            <w:tcW w:w="9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0.01</w:t>
            </w:r>
          </w:p>
        </w:tc>
        <w:tc>
          <w:tcPr>
            <w:tcW w:w="137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142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挥发性酚类</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0.0003</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0.0003</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0.0003</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0.0003</w:t>
            </w:r>
          </w:p>
        </w:tc>
        <w:tc>
          <w:tcPr>
            <w:tcW w:w="9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0.0003</w:t>
            </w:r>
          </w:p>
        </w:tc>
        <w:tc>
          <w:tcPr>
            <w:tcW w:w="9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0.0003</w:t>
            </w:r>
          </w:p>
        </w:tc>
        <w:tc>
          <w:tcPr>
            <w:tcW w:w="137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0.002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142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硫酸盐</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12.7</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13.6</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val="en-US" w:eastAsia="zh-CN"/>
              </w:rPr>
              <w:t>6</w:t>
            </w:r>
            <w:r>
              <w:rPr>
                <w:rFonts w:hint="default" w:ascii="Times New Roman" w:hAnsi="Times New Roman" w:cs="Times New Roman"/>
                <w:color w:val="auto"/>
                <w:sz w:val="21"/>
                <w:szCs w:val="21"/>
              </w:rPr>
              <w:t>.7</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16.5</w:t>
            </w:r>
          </w:p>
        </w:tc>
        <w:tc>
          <w:tcPr>
            <w:tcW w:w="9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17.2</w:t>
            </w:r>
          </w:p>
        </w:tc>
        <w:tc>
          <w:tcPr>
            <w:tcW w:w="9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15.3</w:t>
            </w:r>
          </w:p>
        </w:tc>
        <w:tc>
          <w:tcPr>
            <w:tcW w:w="137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250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142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硫化物</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0.005L</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0.005L</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0.005L</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0.005L</w:t>
            </w:r>
          </w:p>
        </w:tc>
        <w:tc>
          <w:tcPr>
            <w:tcW w:w="9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0.005L</w:t>
            </w:r>
          </w:p>
        </w:tc>
        <w:tc>
          <w:tcPr>
            <w:tcW w:w="9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0.005L</w:t>
            </w:r>
          </w:p>
        </w:tc>
        <w:tc>
          <w:tcPr>
            <w:tcW w:w="137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142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氟化物</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0.10L</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0.10L</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0.10L</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0.10L</w:t>
            </w:r>
          </w:p>
        </w:tc>
        <w:tc>
          <w:tcPr>
            <w:tcW w:w="9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0.10L</w:t>
            </w:r>
          </w:p>
        </w:tc>
        <w:tc>
          <w:tcPr>
            <w:tcW w:w="9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0.10L</w:t>
            </w:r>
          </w:p>
        </w:tc>
        <w:tc>
          <w:tcPr>
            <w:tcW w:w="137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142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氯化物</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8.27</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8.</w:t>
            </w:r>
            <w:r>
              <w:rPr>
                <w:rFonts w:hint="default" w:ascii="Times New Roman" w:hAnsi="Times New Roman" w:cs="Times New Roman"/>
                <w:color w:val="auto"/>
                <w:sz w:val="21"/>
                <w:szCs w:val="21"/>
                <w:lang w:val="en-US" w:eastAsia="zh-CN"/>
              </w:rPr>
              <w:t>96</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9.57</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9.16</w:t>
            </w:r>
          </w:p>
        </w:tc>
        <w:tc>
          <w:tcPr>
            <w:tcW w:w="9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9.86</w:t>
            </w:r>
          </w:p>
        </w:tc>
        <w:tc>
          <w:tcPr>
            <w:tcW w:w="9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8.56</w:t>
            </w:r>
          </w:p>
        </w:tc>
        <w:tc>
          <w:tcPr>
            <w:tcW w:w="137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250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142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镍</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0.021</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w:t>
            </w:r>
            <w:r>
              <w:rPr>
                <w:rFonts w:hint="default" w:ascii="Times New Roman" w:hAnsi="Times New Roman" w:cs="Times New Roman"/>
                <w:color w:val="auto"/>
                <w:sz w:val="21"/>
                <w:szCs w:val="21"/>
                <w:lang w:val="en-US" w:eastAsia="zh-CN"/>
              </w:rPr>
              <w:t>17</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w:t>
            </w:r>
            <w:r>
              <w:rPr>
                <w:rFonts w:hint="default" w:ascii="Times New Roman" w:hAnsi="Times New Roman" w:cs="Times New Roman"/>
                <w:color w:val="auto"/>
                <w:sz w:val="21"/>
                <w:szCs w:val="21"/>
                <w:lang w:val="en-US" w:eastAsia="zh-CN"/>
              </w:rPr>
              <w:t>12</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0.013</w:t>
            </w:r>
          </w:p>
        </w:tc>
        <w:tc>
          <w:tcPr>
            <w:tcW w:w="9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0.013</w:t>
            </w:r>
          </w:p>
        </w:tc>
        <w:tc>
          <w:tcPr>
            <w:tcW w:w="9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0.008</w:t>
            </w:r>
          </w:p>
        </w:tc>
        <w:tc>
          <w:tcPr>
            <w:tcW w:w="137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142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总硬度</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91.7</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91.</w:t>
            </w:r>
            <w:r>
              <w:rPr>
                <w:rFonts w:hint="default" w:ascii="Times New Roman" w:hAnsi="Times New Roman" w:cs="Times New Roman"/>
                <w:color w:val="auto"/>
                <w:sz w:val="21"/>
                <w:szCs w:val="21"/>
                <w:lang w:val="en-US" w:eastAsia="zh-CN"/>
              </w:rPr>
              <w:t>9</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9</w:t>
            </w:r>
            <w:r>
              <w:rPr>
                <w:rFonts w:hint="default" w:ascii="Times New Roman" w:hAnsi="Times New Roman" w:cs="Times New Roman"/>
                <w:color w:val="auto"/>
                <w:sz w:val="21"/>
                <w:szCs w:val="21"/>
                <w:lang w:val="en-US" w:eastAsia="zh-CN"/>
              </w:rPr>
              <w:t>2.6</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96.2</w:t>
            </w:r>
          </w:p>
        </w:tc>
        <w:tc>
          <w:tcPr>
            <w:tcW w:w="9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125</w:t>
            </w:r>
          </w:p>
        </w:tc>
        <w:tc>
          <w:tcPr>
            <w:tcW w:w="9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85.1</w:t>
            </w:r>
          </w:p>
        </w:tc>
        <w:tc>
          <w:tcPr>
            <w:tcW w:w="137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450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142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溴和味</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无</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无</w:t>
            </w:r>
          </w:p>
        </w:tc>
        <w:tc>
          <w:tcPr>
            <w:tcW w:w="9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无</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无</w:t>
            </w:r>
          </w:p>
        </w:tc>
        <w:tc>
          <w:tcPr>
            <w:tcW w:w="9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无</w:t>
            </w:r>
          </w:p>
        </w:tc>
        <w:tc>
          <w:tcPr>
            <w:tcW w:w="91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无</w:t>
            </w:r>
          </w:p>
        </w:tc>
        <w:tc>
          <w:tcPr>
            <w:tcW w:w="137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w:t>
            </w:r>
          </w:p>
        </w:tc>
      </w:tr>
    </w:tbl>
    <w:p>
      <w:pPr>
        <w:pStyle w:val="39"/>
        <w:keepNext w:val="0"/>
        <w:keepLines w:val="0"/>
        <w:pageBreakBefore w:val="0"/>
        <w:widowControl w:val="0"/>
        <w:kinsoku/>
        <w:wordWrap/>
        <w:overflowPunct/>
        <w:topLinePunct w:val="0"/>
        <w:autoSpaceDE/>
        <w:autoSpaceDN/>
        <w:bidi w:val="0"/>
        <w:adjustRightInd/>
        <w:snapToGrid/>
        <w:spacing w:before="157" w:beforeLines="50"/>
        <w:textAlignment w:val="auto"/>
        <w:outlineLvl w:val="9"/>
        <w:rPr>
          <w:rFonts w:hint="default" w:ascii="Times New Roman" w:hAnsi="Times New Roman" w:cs="Times New Roman"/>
          <w:color w:val="auto"/>
        </w:rPr>
      </w:pPr>
      <w:r>
        <w:rPr>
          <w:rFonts w:hint="default" w:ascii="Times New Roman" w:hAnsi="Times New Roman" w:cs="Times New Roman"/>
          <w:color w:val="auto"/>
        </w:rPr>
        <w:t>根据对表</w:t>
      </w:r>
      <w:r>
        <w:rPr>
          <w:rFonts w:hint="default" w:ascii="Times New Roman" w:hAnsi="Times New Roman" w:cs="Times New Roman"/>
          <w:color w:val="auto"/>
          <w:lang w:val="en-US" w:eastAsia="zh-CN"/>
        </w:rPr>
        <w:t>5-10</w:t>
      </w:r>
      <w:r>
        <w:rPr>
          <w:rFonts w:hint="default" w:ascii="Times New Roman" w:hAnsi="Times New Roman" w:cs="Times New Roman"/>
          <w:color w:val="auto"/>
        </w:rPr>
        <w:t>的</w:t>
      </w:r>
      <w:r>
        <w:rPr>
          <w:rFonts w:hint="default" w:ascii="Times New Roman" w:hAnsi="Times New Roman" w:cs="Times New Roman"/>
          <w:color w:val="auto"/>
          <w:lang w:eastAsia="zh-CN"/>
        </w:rPr>
        <w:t>地下水水井（</w:t>
      </w:r>
      <w:r>
        <w:rPr>
          <w:rFonts w:hint="default" w:ascii="Times New Roman" w:hAnsi="Times New Roman" w:cs="Times New Roman"/>
          <w:color w:val="auto"/>
          <w:lang w:val="en-US" w:eastAsia="zh-CN"/>
        </w:rPr>
        <w:t>D1~D6</w:t>
      </w:r>
      <w:r>
        <w:rPr>
          <w:rFonts w:hint="default" w:ascii="Times New Roman" w:hAnsi="Times New Roman" w:cs="Times New Roman"/>
          <w:color w:val="auto"/>
          <w:lang w:eastAsia="zh-CN"/>
        </w:rPr>
        <w:t>）</w:t>
      </w:r>
      <w:r>
        <w:rPr>
          <w:rFonts w:hint="default" w:ascii="Times New Roman" w:hAnsi="Times New Roman" w:cs="Times New Roman"/>
          <w:color w:val="auto"/>
        </w:rPr>
        <w:t>监测值进行评价分析可知，项目地下水各标准值</w:t>
      </w:r>
      <w:r>
        <w:rPr>
          <w:rFonts w:hint="default" w:ascii="Times New Roman" w:hAnsi="Times New Roman" w:cs="Times New Roman"/>
          <w:color w:val="auto"/>
          <w:lang w:eastAsia="zh-CN"/>
        </w:rPr>
        <w:t>评价结果见表</w:t>
      </w:r>
      <w:r>
        <w:rPr>
          <w:rFonts w:hint="default" w:ascii="Times New Roman" w:hAnsi="Times New Roman" w:cs="Times New Roman"/>
          <w:color w:val="auto"/>
          <w:lang w:val="en-US" w:eastAsia="zh-CN"/>
        </w:rPr>
        <w:t>5-11。</w:t>
      </w:r>
    </w:p>
    <w:p>
      <w:pPr>
        <w:pStyle w:val="14"/>
        <w:bidi w:val="0"/>
        <w:rPr>
          <w:rFonts w:hint="default" w:ascii="Times New Roman" w:hAnsi="Times New Roman" w:cs="Times New Roman"/>
          <w:color w:val="auto"/>
        </w:rPr>
      </w:pPr>
      <w:r>
        <w:rPr>
          <w:rFonts w:hint="default" w:ascii="Times New Roman" w:hAnsi="Times New Roman" w:cs="Times New Roman"/>
          <w:color w:val="auto"/>
          <w:u w:val="single"/>
        </w:rPr>
        <w:t xml:space="preserve">表 </w:t>
      </w:r>
      <w:r>
        <w:rPr>
          <w:rFonts w:hint="default" w:ascii="Times New Roman" w:hAnsi="Times New Roman" w:cs="Times New Roman"/>
          <w:color w:val="auto"/>
          <w:u w:val="single"/>
        </w:rPr>
        <w:fldChar w:fldCharType="begin"/>
      </w:r>
      <w:r>
        <w:rPr>
          <w:rFonts w:hint="default" w:ascii="Times New Roman" w:hAnsi="Times New Roman" w:cs="Times New Roman"/>
          <w:color w:val="auto"/>
          <w:u w:val="single"/>
        </w:rPr>
        <w:instrText xml:space="preserve"> STYLEREF 1 \s </w:instrText>
      </w:r>
      <w:r>
        <w:rPr>
          <w:rFonts w:hint="default" w:ascii="Times New Roman" w:hAnsi="Times New Roman" w:cs="Times New Roman"/>
          <w:color w:val="auto"/>
          <w:u w:val="single"/>
        </w:rPr>
        <w:fldChar w:fldCharType="separate"/>
      </w:r>
      <w:r>
        <w:rPr>
          <w:rFonts w:hint="default" w:ascii="Times New Roman" w:hAnsi="Times New Roman" w:cs="Times New Roman"/>
          <w:color w:val="auto"/>
          <w:u w:val="single"/>
        </w:rPr>
        <w:t>5</w:t>
      </w:r>
      <w:r>
        <w:rPr>
          <w:rFonts w:hint="default" w:ascii="Times New Roman" w:hAnsi="Times New Roman" w:cs="Times New Roman"/>
          <w:color w:val="auto"/>
          <w:u w:val="single"/>
        </w:rPr>
        <w:fldChar w:fldCharType="end"/>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lang w:val="en-US" w:eastAsia="zh-CN"/>
        </w:rPr>
        <w:t xml:space="preserve">11 </w:t>
      </w:r>
      <w:r>
        <w:rPr>
          <w:rFonts w:hint="default" w:ascii="Times New Roman" w:hAnsi="Times New Roman" w:cs="Times New Roman"/>
          <w:color w:val="auto"/>
          <w:u w:val="single"/>
        </w:rPr>
        <w:t>地下水水质现状评价结果</w:t>
      </w:r>
      <w:r>
        <w:rPr>
          <w:rFonts w:hint="default" w:ascii="Times New Roman" w:hAnsi="Times New Roman" w:cs="Times New Roman"/>
          <w:color w:val="auto"/>
          <w:u w:val="single"/>
          <w:lang w:eastAsia="zh-CN"/>
        </w:rPr>
        <w:t>（水井</w:t>
      </w:r>
      <w:r>
        <w:rPr>
          <w:rFonts w:hint="default" w:ascii="Times New Roman" w:hAnsi="Times New Roman" w:cs="Times New Roman"/>
          <w:color w:val="auto"/>
          <w:u w:val="single"/>
          <w:lang w:val="en-US" w:eastAsia="zh-CN"/>
        </w:rPr>
        <w:t>D1~D6</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一览表</w:t>
      </w:r>
    </w:p>
    <w:tbl>
      <w:tblPr>
        <w:tblStyle w:val="24"/>
        <w:tblW w:w="846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888"/>
        <w:gridCol w:w="1087"/>
        <w:gridCol w:w="1087"/>
        <w:gridCol w:w="1087"/>
        <w:gridCol w:w="1064"/>
        <w:gridCol w:w="1141"/>
        <w:gridCol w:w="111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1888"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评价项目</w:t>
            </w:r>
          </w:p>
        </w:tc>
        <w:tc>
          <w:tcPr>
            <w:tcW w:w="6576" w:type="dxa"/>
            <w:gridSpan w:val="6"/>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地下水监测点位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1888"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rPr>
            </w:pP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D1</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D2</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D3</w:t>
            </w:r>
          </w:p>
        </w:tc>
        <w:tc>
          <w:tcPr>
            <w:tcW w:w="1064"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D4</w:t>
            </w:r>
          </w:p>
        </w:tc>
        <w:tc>
          <w:tcPr>
            <w:tcW w:w="1141"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D5</w:t>
            </w:r>
          </w:p>
        </w:tc>
        <w:tc>
          <w:tcPr>
            <w:tcW w:w="111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D6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1888"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1.24</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val="en-US" w:eastAsia="zh-CN"/>
              </w:rPr>
              <w:t>05</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val="en-US" w:eastAsia="zh-CN"/>
              </w:rPr>
              <w:t>70</w:t>
            </w:r>
          </w:p>
        </w:tc>
        <w:tc>
          <w:tcPr>
            <w:tcW w:w="106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0.86</w:t>
            </w:r>
          </w:p>
        </w:tc>
        <w:tc>
          <w:tcPr>
            <w:tcW w:w="1141"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1.64</w:t>
            </w:r>
          </w:p>
        </w:tc>
        <w:tc>
          <w:tcPr>
            <w:tcW w:w="111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1888"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耗氧量</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0.31</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0.3</w:t>
            </w:r>
            <w:r>
              <w:rPr>
                <w:rFonts w:hint="default" w:ascii="Times New Roman" w:hAnsi="Times New Roman" w:cs="Times New Roman"/>
                <w:color w:val="auto"/>
                <w:sz w:val="21"/>
                <w:szCs w:val="21"/>
                <w:lang w:val="en-US" w:eastAsia="zh-CN"/>
              </w:rPr>
              <w:t>2</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0.3</w:t>
            </w:r>
            <w:r>
              <w:rPr>
                <w:rFonts w:hint="default" w:ascii="Times New Roman" w:hAnsi="Times New Roman" w:cs="Times New Roman"/>
                <w:color w:val="auto"/>
                <w:sz w:val="21"/>
                <w:szCs w:val="21"/>
                <w:lang w:val="en-US" w:eastAsia="zh-CN"/>
              </w:rPr>
              <w:t>6</w:t>
            </w:r>
          </w:p>
        </w:tc>
        <w:tc>
          <w:tcPr>
            <w:tcW w:w="106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0.38</w:t>
            </w:r>
          </w:p>
        </w:tc>
        <w:tc>
          <w:tcPr>
            <w:tcW w:w="1141"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0.44</w:t>
            </w:r>
          </w:p>
        </w:tc>
        <w:tc>
          <w:tcPr>
            <w:tcW w:w="111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1888"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氨氮</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0.164</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0.1</w:t>
            </w:r>
            <w:r>
              <w:rPr>
                <w:rFonts w:hint="default" w:ascii="Times New Roman" w:hAnsi="Times New Roman" w:cs="Times New Roman"/>
                <w:color w:val="auto"/>
                <w:sz w:val="21"/>
                <w:szCs w:val="21"/>
                <w:lang w:val="en-US" w:eastAsia="zh-CN"/>
              </w:rPr>
              <w:t>86</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27</w:t>
            </w:r>
            <w:r>
              <w:rPr>
                <w:rFonts w:hint="default" w:ascii="Times New Roman" w:hAnsi="Times New Roman" w:cs="Times New Roman"/>
                <w:color w:val="auto"/>
                <w:sz w:val="21"/>
                <w:szCs w:val="21"/>
              </w:rPr>
              <w:t>4</w:t>
            </w:r>
          </w:p>
        </w:tc>
        <w:tc>
          <w:tcPr>
            <w:tcW w:w="106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0.234</w:t>
            </w:r>
          </w:p>
        </w:tc>
        <w:tc>
          <w:tcPr>
            <w:tcW w:w="1141"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0.346</w:t>
            </w:r>
          </w:p>
        </w:tc>
        <w:tc>
          <w:tcPr>
            <w:tcW w:w="111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1888"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石油类</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106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41"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1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1888"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挥发性酚类</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ND</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ND</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ND</w:t>
            </w:r>
          </w:p>
        </w:tc>
        <w:tc>
          <w:tcPr>
            <w:tcW w:w="106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ND</w:t>
            </w:r>
          </w:p>
        </w:tc>
        <w:tc>
          <w:tcPr>
            <w:tcW w:w="1141"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ND</w:t>
            </w:r>
          </w:p>
        </w:tc>
        <w:tc>
          <w:tcPr>
            <w:tcW w:w="111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1888"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硫酸盐</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0.0508</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w:t>
            </w:r>
            <w:r>
              <w:rPr>
                <w:rFonts w:hint="default" w:ascii="Times New Roman" w:hAnsi="Times New Roman" w:cs="Times New Roman"/>
                <w:color w:val="auto"/>
                <w:sz w:val="21"/>
                <w:szCs w:val="21"/>
                <w:lang w:val="en-US" w:eastAsia="zh-CN"/>
              </w:rPr>
              <w:t>55</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0.06</w:t>
            </w:r>
            <w:r>
              <w:rPr>
                <w:rFonts w:hint="default" w:ascii="Times New Roman" w:hAnsi="Times New Roman" w:cs="Times New Roman"/>
                <w:color w:val="auto"/>
                <w:sz w:val="21"/>
                <w:szCs w:val="21"/>
                <w:lang w:val="en-US" w:eastAsia="zh-CN"/>
              </w:rPr>
              <w:t>9</w:t>
            </w:r>
          </w:p>
        </w:tc>
        <w:tc>
          <w:tcPr>
            <w:tcW w:w="106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0.066</w:t>
            </w:r>
          </w:p>
        </w:tc>
        <w:tc>
          <w:tcPr>
            <w:tcW w:w="1141"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0.0688</w:t>
            </w:r>
          </w:p>
        </w:tc>
        <w:tc>
          <w:tcPr>
            <w:tcW w:w="111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0.0612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1888"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硫化物</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ND</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ND</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ND</w:t>
            </w:r>
          </w:p>
        </w:tc>
        <w:tc>
          <w:tcPr>
            <w:tcW w:w="106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ND</w:t>
            </w:r>
          </w:p>
        </w:tc>
        <w:tc>
          <w:tcPr>
            <w:tcW w:w="1141"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ND</w:t>
            </w:r>
          </w:p>
        </w:tc>
        <w:tc>
          <w:tcPr>
            <w:tcW w:w="111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1888"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氟化物</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ND</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ND</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ND</w:t>
            </w:r>
          </w:p>
        </w:tc>
        <w:tc>
          <w:tcPr>
            <w:tcW w:w="106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ND</w:t>
            </w:r>
          </w:p>
        </w:tc>
        <w:tc>
          <w:tcPr>
            <w:tcW w:w="1141"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ND</w:t>
            </w:r>
          </w:p>
        </w:tc>
        <w:tc>
          <w:tcPr>
            <w:tcW w:w="111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1888"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氯化物</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0.0330</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0.03</w:t>
            </w:r>
            <w:r>
              <w:rPr>
                <w:rFonts w:hint="default" w:ascii="Times New Roman" w:hAnsi="Times New Roman" w:cs="Times New Roman"/>
                <w:color w:val="auto"/>
                <w:sz w:val="21"/>
                <w:szCs w:val="21"/>
                <w:lang w:val="en-US" w:eastAsia="zh-CN"/>
              </w:rPr>
              <w:t>52</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0.03</w:t>
            </w:r>
            <w:r>
              <w:rPr>
                <w:rFonts w:hint="default"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6</w:t>
            </w:r>
          </w:p>
        </w:tc>
        <w:tc>
          <w:tcPr>
            <w:tcW w:w="106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0.0366</w:t>
            </w:r>
          </w:p>
        </w:tc>
        <w:tc>
          <w:tcPr>
            <w:tcW w:w="1141"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0.0394</w:t>
            </w:r>
          </w:p>
        </w:tc>
        <w:tc>
          <w:tcPr>
            <w:tcW w:w="111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1888"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镍</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0.96</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80</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0.6</w:t>
            </w:r>
            <w:r>
              <w:rPr>
                <w:rFonts w:hint="default" w:ascii="Times New Roman" w:hAnsi="Times New Roman" w:cs="Times New Roman"/>
                <w:color w:val="auto"/>
                <w:sz w:val="21"/>
                <w:szCs w:val="21"/>
                <w:lang w:val="en-US" w:eastAsia="zh-CN"/>
              </w:rPr>
              <w:t>2</w:t>
            </w:r>
          </w:p>
        </w:tc>
        <w:tc>
          <w:tcPr>
            <w:tcW w:w="106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0.65</w:t>
            </w:r>
          </w:p>
        </w:tc>
        <w:tc>
          <w:tcPr>
            <w:tcW w:w="1141"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0.65</w:t>
            </w:r>
          </w:p>
        </w:tc>
        <w:tc>
          <w:tcPr>
            <w:tcW w:w="111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0.4</w:t>
            </w:r>
            <w:r>
              <w:rPr>
                <w:rFonts w:hint="default" w:ascii="Times New Roman" w:hAnsi="Times New Roman"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1888"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总硬度</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0.2037</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0.2</w:t>
            </w:r>
            <w:r>
              <w:rPr>
                <w:rFonts w:hint="default" w:ascii="Times New Roman" w:hAnsi="Times New Roman" w:cs="Times New Roman"/>
                <w:color w:val="auto"/>
                <w:sz w:val="21"/>
                <w:szCs w:val="21"/>
                <w:lang w:val="en-US" w:eastAsia="zh-CN"/>
              </w:rPr>
              <w:t>05</w:t>
            </w:r>
            <w:r>
              <w:rPr>
                <w:rFonts w:hint="default" w:ascii="Times New Roman" w:hAnsi="Times New Roman" w:cs="Times New Roman"/>
                <w:color w:val="auto"/>
                <w:sz w:val="21"/>
                <w:szCs w:val="21"/>
              </w:rPr>
              <w:t>7</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0.2</w:t>
            </w:r>
            <w:r>
              <w:rPr>
                <w:rFonts w:hint="default" w:ascii="Times New Roman" w:hAnsi="Times New Roman" w:cs="Times New Roman"/>
                <w:color w:val="auto"/>
                <w:sz w:val="21"/>
                <w:szCs w:val="21"/>
                <w:lang w:val="en-US" w:eastAsia="zh-CN"/>
              </w:rPr>
              <w:t>093</w:t>
            </w:r>
          </w:p>
        </w:tc>
        <w:tc>
          <w:tcPr>
            <w:tcW w:w="106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0.2137</w:t>
            </w:r>
          </w:p>
        </w:tc>
        <w:tc>
          <w:tcPr>
            <w:tcW w:w="1141"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0.2777</w:t>
            </w:r>
          </w:p>
        </w:tc>
        <w:tc>
          <w:tcPr>
            <w:tcW w:w="111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0.1891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1888"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溴和味</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1087"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106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41"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1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pPr>
        <w:pStyle w:val="39"/>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color w:val="auto"/>
        </w:rPr>
      </w:pPr>
      <w:r>
        <w:rPr>
          <w:rFonts w:hint="default" w:ascii="Times New Roman" w:hAnsi="Times New Roman" w:cs="Times New Roman"/>
          <w:color w:val="auto"/>
        </w:rPr>
        <w:t>由项目地附近的地下水的监测数据可知，项目附近水井除pH值外，其他各项指标均达到《地下水质量标准（GB14848-2017）》中的Ⅲ类标准。</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rPr>
      </w:pPr>
      <w:bookmarkStart w:id="451" w:name="_Toc30055"/>
      <w:bookmarkStart w:id="452" w:name="_Toc19364"/>
      <w:r>
        <w:rPr>
          <w:rFonts w:hint="default" w:ascii="Times New Roman" w:hAnsi="Times New Roman" w:cs="Times New Roman"/>
          <w:color w:val="auto"/>
        </w:rPr>
        <w:t>声环境质量评价</w:t>
      </w:r>
      <w:bookmarkEnd w:id="451"/>
      <w:bookmarkEnd w:id="452"/>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2019年9月28日，湖南宏润检测有限公司对厂区周边声环境质量现状进行了监测。具体情况如下。</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监测点位</w:t>
      </w:r>
      <w:r>
        <w:rPr>
          <w:rFonts w:hint="default" w:ascii="Times New Roman" w:hAnsi="Times New Roman" w:cs="Times New Roman"/>
          <w:color w:val="auto"/>
          <w:lang w:eastAsia="zh-CN"/>
        </w:rPr>
        <w:t>：</w:t>
      </w:r>
      <w:r>
        <w:rPr>
          <w:rFonts w:hint="default" w:ascii="Times New Roman" w:hAnsi="Times New Roman" w:cs="Times New Roman"/>
          <w:color w:val="auto"/>
        </w:rPr>
        <w:t>在项目东南西北四个厂界分别布设了1个具有代表性的噪声监测点。</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监测项目</w:t>
      </w:r>
      <w:r>
        <w:rPr>
          <w:rFonts w:hint="default" w:ascii="Times New Roman" w:hAnsi="Times New Roman" w:cs="Times New Roman"/>
          <w:color w:val="auto"/>
          <w:lang w:eastAsia="zh-CN"/>
        </w:rPr>
        <w:t>：</w:t>
      </w:r>
      <w:r>
        <w:rPr>
          <w:rFonts w:hint="default" w:ascii="Times New Roman" w:hAnsi="Times New Roman" w:cs="Times New Roman"/>
          <w:color w:val="auto"/>
        </w:rPr>
        <w:t>等效连续 A 声级Leq(A)。</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cs="Times New Roman"/>
          <w:color w:val="auto"/>
        </w:rPr>
        <w:t>监测时间与频次</w:t>
      </w:r>
      <w:r>
        <w:rPr>
          <w:rFonts w:hint="default" w:ascii="Times New Roman" w:hAnsi="Times New Roman" w:cs="Times New Roman"/>
          <w:color w:val="auto"/>
          <w:lang w:eastAsia="zh-CN"/>
        </w:rPr>
        <w:t>：</w:t>
      </w:r>
      <w:r>
        <w:rPr>
          <w:rFonts w:hint="default" w:ascii="Times New Roman" w:hAnsi="Times New Roman" w:cs="Times New Roman"/>
          <w:color w:val="auto"/>
        </w:rPr>
        <w:t>监测时间为2019年9月28日，昼、夜间各测1次。</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w:t>
      </w:r>
      <w:r>
        <w:rPr>
          <w:rFonts w:hint="default" w:ascii="Times New Roman" w:hAnsi="Times New Roman" w:cs="Times New Roman"/>
          <w:color w:val="auto"/>
        </w:rPr>
        <w:t>监测与评价结果</w:t>
      </w:r>
      <w:r>
        <w:rPr>
          <w:rFonts w:hint="default" w:ascii="Times New Roman" w:hAnsi="Times New Roman" w:cs="Times New Roman"/>
          <w:color w:val="auto"/>
          <w:lang w:eastAsia="zh-CN"/>
        </w:rPr>
        <w:t>：</w:t>
      </w:r>
      <w:r>
        <w:rPr>
          <w:rFonts w:hint="default" w:ascii="Times New Roman" w:hAnsi="Times New Roman" w:cs="Times New Roman"/>
          <w:color w:val="auto"/>
        </w:rPr>
        <w:t>监测结果见下表。</w:t>
      </w:r>
    </w:p>
    <w:p>
      <w:pPr>
        <w:pStyle w:val="14"/>
        <w:bidi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5</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lang w:val="en-US" w:eastAsia="zh-CN"/>
        </w:rPr>
        <w:t>2</w:t>
      </w:r>
      <w:r>
        <w:rPr>
          <w:rFonts w:hint="default" w:ascii="Times New Roman" w:hAnsi="Times New Roman" w:cs="Times New Roman"/>
          <w:color w:val="auto"/>
        </w:rPr>
        <w:fldChar w:fldCharType="end"/>
      </w:r>
      <w:r>
        <w:rPr>
          <w:rFonts w:hint="default" w:ascii="Times New Roman" w:hAnsi="Times New Roman" w:cs="Times New Roman"/>
          <w:color w:val="auto"/>
        </w:rPr>
        <w:t>声环境现状监测统计结果</w:t>
      </w:r>
      <w:r>
        <w:rPr>
          <w:rFonts w:hint="default" w:ascii="Times New Roman" w:hAnsi="Times New Roman" w:cs="Times New Roman"/>
          <w:color w:val="auto"/>
        </w:rPr>
        <w:tab/>
      </w:r>
      <w:r>
        <w:rPr>
          <w:rFonts w:hint="default" w:ascii="Times New Roman" w:hAnsi="Times New Roman" w:cs="Times New Roman"/>
          <w:color w:val="auto"/>
        </w:rPr>
        <w:t>单位：dB(A)</w:t>
      </w:r>
    </w:p>
    <w:tbl>
      <w:tblPr>
        <w:tblStyle w:val="24"/>
        <w:tblW w:w="953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099"/>
        <w:gridCol w:w="1132"/>
        <w:gridCol w:w="1140"/>
        <w:gridCol w:w="1032"/>
        <w:gridCol w:w="1033"/>
        <w:gridCol w:w="1034"/>
        <w:gridCol w:w="1033"/>
        <w:gridCol w:w="103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099"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监测点位</w:t>
            </w:r>
          </w:p>
        </w:tc>
        <w:tc>
          <w:tcPr>
            <w:tcW w:w="1132"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监测日期</w:t>
            </w:r>
          </w:p>
        </w:tc>
        <w:tc>
          <w:tcPr>
            <w:tcW w:w="2172" w:type="dxa"/>
            <w:gridSpan w:val="2"/>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监测结果</w:t>
            </w:r>
          </w:p>
        </w:tc>
        <w:tc>
          <w:tcPr>
            <w:tcW w:w="2067" w:type="dxa"/>
            <w:gridSpan w:val="2"/>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标准限值</w:t>
            </w:r>
          </w:p>
        </w:tc>
        <w:tc>
          <w:tcPr>
            <w:tcW w:w="2067" w:type="dxa"/>
            <w:gridSpan w:val="2"/>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099"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132"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14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1032"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c>
          <w:tcPr>
            <w:tcW w:w="103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103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c>
          <w:tcPr>
            <w:tcW w:w="103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103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099"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N1（东场界外1米）</w:t>
            </w:r>
          </w:p>
        </w:tc>
        <w:tc>
          <w:tcPr>
            <w:tcW w:w="1132"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9月28日</w:t>
            </w:r>
          </w:p>
        </w:tc>
        <w:tc>
          <w:tcPr>
            <w:tcW w:w="114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57</w:t>
            </w:r>
          </w:p>
        </w:tc>
        <w:tc>
          <w:tcPr>
            <w:tcW w:w="1032"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46</w:t>
            </w:r>
          </w:p>
        </w:tc>
        <w:tc>
          <w:tcPr>
            <w:tcW w:w="103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103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103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103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099"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N2（南场界外1米）</w:t>
            </w:r>
          </w:p>
        </w:tc>
        <w:tc>
          <w:tcPr>
            <w:tcW w:w="1132"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14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57</w:t>
            </w:r>
          </w:p>
        </w:tc>
        <w:tc>
          <w:tcPr>
            <w:tcW w:w="1032"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w:t>
            </w:r>
          </w:p>
        </w:tc>
        <w:tc>
          <w:tcPr>
            <w:tcW w:w="103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103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103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103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099"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N3（西场界外1米）</w:t>
            </w:r>
          </w:p>
        </w:tc>
        <w:tc>
          <w:tcPr>
            <w:tcW w:w="1132"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14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5</w:t>
            </w:r>
            <w:r>
              <w:rPr>
                <w:rFonts w:hint="default" w:ascii="Times New Roman" w:hAnsi="Times New Roman" w:cs="Times New Roman"/>
                <w:color w:val="auto"/>
                <w:sz w:val="21"/>
                <w:szCs w:val="21"/>
                <w:lang w:val="en-US" w:eastAsia="zh-CN"/>
              </w:rPr>
              <w:t>2</w:t>
            </w:r>
          </w:p>
        </w:tc>
        <w:tc>
          <w:tcPr>
            <w:tcW w:w="1032"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4</w:t>
            </w:r>
            <w:r>
              <w:rPr>
                <w:rFonts w:hint="default" w:ascii="Times New Roman" w:hAnsi="Times New Roman" w:cs="Times New Roman"/>
                <w:color w:val="auto"/>
                <w:sz w:val="21"/>
                <w:szCs w:val="21"/>
                <w:lang w:val="en-US" w:eastAsia="zh-CN"/>
              </w:rPr>
              <w:t>2</w:t>
            </w:r>
          </w:p>
        </w:tc>
        <w:tc>
          <w:tcPr>
            <w:tcW w:w="103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103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103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103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099"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N4（北场界外1米）</w:t>
            </w:r>
          </w:p>
        </w:tc>
        <w:tc>
          <w:tcPr>
            <w:tcW w:w="1132"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14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56</w:t>
            </w:r>
          </w:p>
        </w:tc>
        <w:tc>
          <w:tcPr>
            <w:tcW w:w="1032"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w:t>
            </w:r>
          </w:p>
        </w:tc>
        <w:tc>
          <w:tcPr>
            <w:tcW w:w="103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103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103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103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bl>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color w:val="auto"/>
        </w:rPr>
      </w:pPr>
      <w:r>
        <w:rPr>
          <w:rFonts w:hint="default" w:ascii="Times New Roman" w:hAnsi="Times New Roman" w:cs="Times New Roman"/>
          <w:color w:val="auto"/>
        </w:rPr>
        <w:t>根据上表监测结果，项目区各监测点昼夜声环境均能声满足《声环境质量标准》(GB3096-2008)中的3类标准要求。</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453" w:name="_bookmark27"/>
      <w:bookmarkEnd w:id="453"/>
      <w:bookmarkStart w:id="454" w:name="_Toc4338"/>
      <w:bookmarkStart w:id="455" w:name="_Toc23860"/>
      <w:r>
        <w:rPr>
          <w:rFonts w:hint="default" w:ascii="Times New Roman" w:hAnsi="Times New Roman" w:cs="Times New Roman"/>
          <w:color w:val="auto"/>
        </w:rPr>
        <w:t>土壤环境质量现状评价</w:t>
      </w:r>
      <w:bookmarkEnd w:id="454"/>
      <w:bookmarkEnd w:id="455"/>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1、土壤环境质量首次监测和评价</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（1）监测布点</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lang w:eastAsia="zh-CN"/>
        </w:rPr>
        <w:t>岳阳鑫达实业有限公司</w:t>
      </w:r>
      <w:r>
        <w:rPr>
          <w:rFonts w:hint="default" w:ascii="Times New Roman" w:hAnsi="Times New Roman" w:cs="Times New Roman"/>
          <w:color w:val="auto"/>
          <w:lang w:val="en-US" w:eastAsia="zh-CN"/>
        </w:rPr>
        <w:t>500吨/年加氢催化剂生产项目属于</w:t>
      </w:r>
      <w:r>
        <w:rPr>
          <w:rFonts w:hint="default" w:ascii="Times New Roman" w:hAnsi="Times New Roman" w:cs="Times New Roman"/>
          <w:color w:val="auto"/>
        </w:rPr>
        <w:t>位于原厂界（或永久用地）范围内的工业类改扩建项目，</w:t>
      </w:r>
      <w:r>
        <w:rPr>
          <w:rFonts w:hint="default" w:ascii="Times New Roman" w:hAnsi="Times New Roman" w:cs="Times New Roman"/>
          <w:color w:val="auto"/>
          <w:lang w:eastAsia="zh-CN"/>
        </w:rPr>
        <w:t>厂区地面</w:t>
      </w:r>
      <w:r>
        <w:rPr>
          <w:rFonts w:hint="default" w:ascii="Times New Roman" w:hAnsi="Times New Roman" w:cs="Times New Roman"/>
          <w:color w:val="auto"/>
        </w:rPr>
        <w:t>已全部硬化。二级污染</w:t>
      </w:r>
      <w:r>
        <w:rPr>
          <w:rFonts w:hint="default" w:ascii="Times New Roman" w:hAnsi="Times New Roman" w:cs="Times New Roman"/>
          <w:color w:val="auto"/>
          <w:lang w:eastAsia="zh-CN"/>
        </w:rPr>
        <w:t>影响</w:t>
      </w:r>
      <w:r>
        <w:rPr>
          <w:rFonts w:hint="default" w:ascii="Times New Roman" w:hAnsi="Times New Roman" w:cs="Times New Roman"/>
          <w:color w:val="auto"/>
        </w:rPr>
        <w:t>型</w:t>
      </w:r>
      <w:r>
        <w:rPr>
          <w:rFonts w:hint="default" w:ascii="Times New Roman" w:hAnsi="Times New Roman" w:cs="Times New Roman"/>
          <w:color w:val="auto"/>
          <w:lang w:eastAsia="zh-CN"/>
        </w:rPr>
        <w:t>项目</w:t>
      </w:r>
      <w:r>
        <w:rPr>
          <w:rFonts w:hint="default" w:ascii="Times New Roman" w:hAnsi="Times New Roman" w:cs="Times New Roman"/>
          <w:color w:val="auto"/>
        </w:rPr>
        <w:t>土壤环境影响评价范围为企业占地范围全部厂区及占地范围外</w:t>
      </w:r>
      <w:r>
        <w:rPr>
          <w:rFonts w:hint="default" w:ascii="Times New Roman" w:hAnsi="Times New Roman" w:cs="Times New Roman"/>
          <w:color w:val="auto"/>
          <w:lang w:val="en-US" w:eastAsia="zh-CN"/>
        </w:rPr>
        <w:t>0.</w:t>
      </w:r>
      <w:r>
        <w:rPr>
          <w:rFonts w:hint="default" w:ascii="Times New Roman" w:hAnsi="Times New Roman" w:cs="Times New Roman"/>
          <w:color w:val="auto"/>
        </w:rPr>
        <w:t>2</w:t>
      </w:r>
      <w:r>
        <w:rPr>
          <w:rFonts w:hint="default" w:ascii="Times New Roman" w:hAnsi="Times New Roman" w:cs="Times New Roman"/>
          <w:color w:val="auto"/>
          <w:lang w:val="en-US" w:eastAsia="zh-CN"/>
        </w:rPr>
        <w:t xml:space="preserve"> k</w:t>
      </w:r>
      <w:r>
        <w:rPr>
          <w:rFonts w:hint="default" w:ascii="Times New Roman" w:hAnsi="Times New Roman" w:cs="Times New Roman"/>
          <w:color w:val="auto"/>
        </w:rPr>
        <w:t>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rPr>
        <w:t xml:space="preserve"> </w:t>
      </w:r>
      <w:r>
        <w:rPr>
          <w:rFonts w:hint="default" w:ascii="Times New Roman" w:hAnsi="Times New Roman" w:cs="Times New Roman"/>
          <w:color w:val="auto"/>
          <w:lang w:eastAsia="zh-CN"/>
        </w:rPr>
        <w:t>的</w:t>
      </w:r>
      <w:r>
        <w:rPr>
          <w:rFonts w:hint="default" w:ascii="Times New Roman" w:hAnsi="Times New Roman" w:cs="Times New Roman"/>
          <w:color w:val="auto"/>
        </w:rPr>
        <w:t>范围。</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根据《环境影响评价技术导则</w:t>
      </w:r>
      <w:r>
        <w:rPr>
          <w:rFonts w:hint="default" w:ascii="Times New Roman" w:hAnsi="Times New Roman" w:cs="Times New Roman"/>
          <w:color w:val="auto"/>
          <w:lang w:val="en-US" w:eastAsia="zh-CN"/>
        </w:rPr>
        <w:t xml:space="preserve"> 土壤环境（试行）</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HJ964-2018</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7.4.3现状监测点数量</w:t>
      </w:r>
      <w:r>
        <w:rPr>
          <w:rFonts w:hint="default" w:ascii="Times New Roman" w:hAnsi="Times New Roman" w:cs="Times New Roman"/>
          <w:color w:val="auto"/>
          <w:lang w:eastAsia="zh-CN"/>
        </w:rPr>
        <w:t>要求，污染影响型二级评价要求项目占地范围内</w:t>
      </w:r>
      <w:r>
        <w:rPr>
          <w:rFonts w:hint="default" w:ascii="Times New Roman" w:hAnsi="Times New Roman" w:cs="Times New Roman"/>
          <w:color w:val="auto"/>
          <w:lang w:val="en-US" w:eastAsia="zh-CN"/>
        </w:rPr>
        <w:t>3个柱状样点，一个表层样点，占地范围外两个表层样点。导则7.4.5现状监测因子，7.4.2.2中规定的点位须监测基本因子与特征因子，其他监测点位可仅监测特征因子。导则7.4.2.2规定，调查评价范围内的每种土壤类型应至少设置一个表层样监测点。加氢催化剂生产项目厂区面积小，土壤类型单一，全部为黄棕壤，评价范围内可只设置一个表层样监测点而监测基本因子与特征因子，其余现状监测点位可仅监测特征因子。</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本次评价在2019年9月28日委托湖南宏润检测有限公司对鑫达现有厂区裸露绿化区</w:t>
      </w:r>
      <w:r>
        <w:rPr>
          <w:rFonts w:hint="default" w:ascii="Times New Roman" w:hAnsi="Times New Roman" w:cs="Times New Roman"/>
          <w:color w:val="auto"/>
          <w:lang w:eastAsia="zh-CN"/>
        </w:rPr>
        <w:t>、车间改造挖掘地基土壤</w:t>
      </w:r>
      <w:r>
        <w:rPr>
          <w:rFonts w:hint="default" w:ascii="Times New Roman" w:hAnsi="Times New Roman" w:cs="Times New Roman"/>
          <w:color w:val="auto"/>
        </w:rPr>
        <w:t>及厂区周边进行了土壤环境质量现状监测。</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lang w:eastAsia="zh-CN"/>
        </w:rPr>
        <w:t>为了进一步掌握岳阳鑫达公司催化剂项目厂区及周边土壤环境质量状况，</w:t>
      </w:r>
      <w:r>
        <w:rPr>
          <w:rFonts w:hint="default" w:ascii="Times New Roman" w:hAnsi="Times New Roman" w:cs="Times New Roman"/>
          <w:color w:val="auto"/>
        </w:rPr>
        <w:t>本次评价在</w:t>
      </w:r>
      <w:r>
        <w:rPr>
          <w:rFonts w:hint="default" w:ascii="Times New Roman" w:hAnsi="Times New Roman" w:cs="Times New Roman"/>
          <w:color w:val="auto"/>
          <w:lang w:eastAsia="zh-CN"/>
        </w:rPr>
        <w:t>首期土壤监测的基础上，</w:t>
      </w:r>
      <w:r>
        <w:rPr>
          <w:rFonts w:hint="default" w:ascii="Times New Roman" w:hAnsi="Times New Roman" w:cs="Times New Roman"/>
          <w:color w:val="auto"/>
        </w:rPr>
        <w:t>委托</w:t>
      </w:r>
      <w:r>
        <w:rPr>
          <w:rFonts w:hint="default" w:ascii="Times New Roman" w:hAnsi="Times New Roman" w:cs="Times New Roman"/>
          <w:color w:val="auto"/>
          <w:lang w:eastAsia="zh-CN"/>
        </w:rPr>
        <w:t>苏州汉宣</w:t>
      </w:r>
      <w:r>
        <w:rPr>
          <w:rFonts w:hint="default" w:ascii="Times New Roman" w:hAnsi="Times New Roman" w:cs="Times New Roman"/>
          <w:color w:val="auto"/>
        </w:rPr>
        <w:t>检测</w:t>
      </w:r>
      <w:r>
        <w:rPr>
          <w:rFonts w:hint="default" w:ascii="Times New Roman" w:hAnsi="Times New Roman" w:cs="Times New Roman"/>
          <w:color w:val="auto"/>
          <w:lang w:eastAsia="zh-CN"/>
        </w:rPr>
        <w:t>科技</w:t>
      </w:r>
      <w:r>
        <w:rPr>
          <w:rFonts w:hint="default" w:ascii="Times New Roman" w:hAnsi="Times New Roman" w:cs="Times New Roman"/>
          <w:color w:val="auto"/>
        </w:rPr>
        <w:t>公司</w:t>
      </w:r>
      <w:r>
        <w:rPr>
          <w:rFonts w:hint="default" w:ascii="Times New Roman" w:hAnsi="Times New Roman" w:cs="Times New Roman"/>
          <w:color w:val="auto"/>
          <w:lang w:eastAsia="zh-CN"/>
        </w:rPr>
        <w:t>于</w:t>
      </w:r>
      <w:r>
        <w:rPr>
          <w:rFonts w:hint="default" w:ascii="Times New Roman" w:hAnsi="Times New Roman" w:cs="Times New Roman"/>
          <w:color w:val="auto"/>
        </w:rPr>
        <w:t>20</w:t>
      </w:r>
      <w:r>
        <w:rPr>
          <w:rFonts w:hint="default" w:ascii="Times New Roman" w:hAnsi="Times New Roman" w:cs="Times New Roman"/>
          <w:color w:val="auto"/>
          <w:lang w:val="en-US" w:eastAsia="zh-CN"/>
        </w:rPr>
        <w:t>20</w:t>
      </w:r>
      <w:r>
        <w:rPr>
          <w:rFonts w:hint="default" w:ascii="Times New Roman" w:hAnsi="Times New Roman" w:cs="Times New Roman"/>
          <w:color w:val="auto"/>
        </w:rPr>
        <w:t>年</w:t>
      </w:r>
      <w:r>
        <w:rPr>
          <w:rFonts w:hint="default" w:ascii="Times New Roman" w:hAnsi="Times New Roman" w:cs="Times New Roman"/>
          <w:color w:val="auto"/>
          <w:lang w:val="en-US" w:eastAsia="zh-CN"/>
        </w:rPr>
        <w:t>8</w:t>
      </w:r>
      <w:r>
        <w:rPr>
          <w:rFonts w:hint="default" w:ascii="Times New Roman" w:hAnsi="Times New Roman" w:cs="Times New Roman"/>
          <w:color w:val="auto"/>
        </w:rPr>
        <w:t>月2</w:t>
      </w:r>
      <w:r>
        <w:rPr>
          <w:rFonts w:hint="default" w:ascii="Times New Roman" w:hAnsi="Times New Roman" w:cs="Times New Roman"/>
          <w:color w:val="auto"/>
          <w:lang w:val="en-US" w:eastAsia="zh-CN"/>
        </w:rPr>
        <w:t>1</w:t>
      </w:r>
      <w:r>
        <w:rPr>
          <w:rFonts w:hint="default" w:ascii="Times New Roman" w:hAnsi="Times New Roman" w:cs="Times New Roman"/>
          <w:color w:val="auto"/>
        </w:rPr>
        <w:t>日对鑫达</w:t>
      </w:r>
      <w:r>
        <w:rPr>
          <w:rFonts w:hint="default" w:ascii="Times New Roman" w:hAnsi="Times New Roman" w:cs="Times New Roman"/>
          <w:color w:val="auto"/>
          <w:lang w:eastAsia="zh-CN"/>
        </w:rPr>
        <w:t>公司催化剂项目车间中心部位挖掘开水泥地面在</w:t>
      </w:r>
      <w:r>
        <w:rPr>
          <w:rFonts w:hint="default" w:ascii="Times New Roman" w:hAnsi="Times New Roman" w:cs="Times New Roman"/>
          <w:color w:val="auto"/>
          <w:lang w:val="en-US" w:eastAsia="zh-CN"/>
        </w:rPr>
        <w:t>0.2m和1m深处</w:t>
      </w:r>
      <w:r>
        <w:rPr>
          <w:rFonts w:hint="default" w:ascii="Times New Roman" w:hAnsi="Times New Roman" w:cs="Times New Roman"/>
          <w:color w:val="auto"/>
          <w:lang w:eastAsia="zh-CN"/>
        </w:rPr>
        <w:t>采样，对厂区</w:t>
      </w:r>
      <w:r>
        <w:rPr>
          <w:rFonts w:hint="default" w:ascii="Times New Roman" w:hAnsi="Times New Roman" w:cs="Times New Roman"/>
          <w:color w:val="auto"/>
        </w:rPr>
        <w:t>土壤</w:t>
      </w:r>
      <w:r>
        <w:rPr>
          <w:rFonts w:hint="default" w:ascii="Times New Roman" w:hAnsi="Times New Roman" w:cs="Times New Roman"/>
          <w:color w:val="auto"/>
          <w:lang w:eastAsia="zh-CN"/>
        </w:rPr>
        <w:t>按照</w:t>
      </w:r>
      <w:r>
        <w:rPr>
          <w:rFonts w:hint="default" w:ascii="Times New Roman" w:hAnsi="Times New Roman" w:cs="Times New Roman"/>
          <w:color w:val="auto"/>
          <w:lang w:val="en-US" w:eastAsia="zh-CN"/>
        </w:rPr>
        <w:t>GB 36600中规定的基本项目进行</w:t>
      </w:r>
      <w:r>
        <w:rPr>
          <w:rFonts w:hint="default" w:ascii="Times New Roman" w:hAnsi="Times New Roman" w:cs="Times New Roman"/>
          <w:color w:val="auto"/>
        </w:rPr>
        <w:t>环境质量</w:t>
      </w:r>
      <w:r>
        <w:rPr>
          <w:rFonts w:hint="default" w:ascii="Times New Roman" w:hAnsi="Times New Roman" w:cs="Times New Roman"/>
          <w:color w:val="auto"/>
          <w:lang w:eastAsia="zh-CN"/>
        </w:rPr>
        <w:t>补充</w:t>
      </w:r>
      <w:r>
        <w:rPr>
          <w:rFonts w:hint="default" w:ascii="Times New Roman" w:hAnsi="Times New Roman" w:cs="Times New Roman"/>
          <w:color w:val="auto"/>
        </w:rPr>
        <w:t>监测。</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土壤</w:t>
      </w:r>
      <w:r>
        <w:rPr>
          <w:rFonts w:hint="default" w:ascii="Times New Roman" w:hAnsi="Times New Roman" w:cs="Times New Roman"/>
          <w:color w:val="auto"/>
          <w:lang w:eastAsia="zh-CN"/>
        </w:rPr>
        <w:t>质量现状监测两次布设</w:t>
      </w:r>
      <w:r>
        <w:rPr>
          <w:rFonts w:hint="default" w:ascii="Times New Roman" w:hAnsi="Times New Roman" w:cs="Times New Roman"/>
          <w:color w:val="auto"/>
        </w:rPr>
        <w:t>监测点位见表</w:t>
      </w:r>
      <w:r>
        <w:rPr>
          <w:rFonts w:hint="default" w:ascii="Times New Roman" w:hAnsi="Times New Roman" w:cs="Times New Roman"/>
          <w:color w:val="auto"/>
          <w:lang w:val="en-US" w:eastAsia="zh-CN"/>
        </w:rPr>
        <w:t xml:space="preserve"> 5-13。</w:t>
      </w:r>
    </w:p>
    <w:p>
      <w:pPr>
        <w:pStyle w:val="14"/>
        <w:bidi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5</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lang w:val="en-US" w:eastAsia="zh-CN"/>
        </w:rPr>
        <w:t>3</w:t>
      </w:r>
      <w:r>
        <w:rPr>
          <w:rFonts w:hint="default" w:ascii="Times New Roman" w:hAnsi="Times New Roman" w:cs="Times New Roman"/>
          <w:color w:val="auto"/>
        </w:rPr>
        <w:fldChar w:fldCharType="end"/>
      </w:r>
      <w:r>
        <w:rPr>
          <w:rFonts w:hint="default" w:ascii="Times New Roman" w:hAnsi="Times New Roman" w:cs="Times New Roman"/>
          <w:color w:val="auto"/>
        </w:rPr>
        <w:t>土壤质量现状监测点位</w:t>
      </w:r>
    </w:p>
    <w:tbl>
      <w:tblPr>
        <w:tblStyle w:val="24"/>
        <w:tblW w:w="930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37"/>
        <w:gridCol w:w="511"/>
        <w:gridCol w:w="1955"/>
        <w:gridCol w:w="1125"/>
        <w:gridCol w:w="915"/>
        <w:gridCol w:w="810"/>
        <w:gridCol w:w="1120"/>
        <w:gridCol w:w="1590"/>
        <w:gridCol w:w="54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737"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编号</w:t>
            </w:r>
          </w:p>
        </w:tc>
        <w:tc>
          <w:tcPr>
            <w:tcW w:w="2466" w:type="dxa"/>
            <w:gridSpan w:val="2"/>
            <w:vMerge w:val="restart"/>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地点</w:t>
            </w:r>
          </w:p>
        </w:tc>
        <w:tc>
          <w:tcPr>
            <w:tcW w:w="1125"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样品类型</w:t>
            </w:r>
          </w:p>
        </w:tc>
        <w:tc>
          <w:tcPr>
            <w:tcW w:w="915"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监测时间</w:t>
            </w:r>
          </w:p>
        </w:tc>
        <w:tc>
          <w:tcPr>
            <w:tcW w:w="1930" w:type="dxa"/>
            <w:gridSpan w:val="2"/>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相对项目车间</w:t>
            </w:r>
          </w:p>
        </w:tc>
        <w:tc>
          <w:tcPr>
            <w:tcW w:w="1590"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监测项目</w:t>
            </w:r>
          </w:p>
        </w:tc>
        <w:tc>
          <w:tcPr>
            <w:tcW w:w="540"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功能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6" w:hRule="atLeast"/>
          <w:jc w:val="center"/>
        </w:trPr>
        <w:tc>
          <w:tcPr>
            <w:tcW w:w="737"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2466" w:type="dxa"/>
            <w:gridSpan w:val="2"/>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1125"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915"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81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方位</w:t>
            </w:r>
          </w:p>
        </w:tc>
        <w:tc>
          <w:tcPr>
            <w:tcW w:w="112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距离</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lang w:eastAsia="zh-CN"/>
              </w:rPr>
              <w:t>）</w:t>
            </w:r>
          </w:p>
        </w:tc>
        <w:tc>
          <w:tcPr>
            <w:tcW w:w="1590"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540"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9" w:hRule="atLeast"/>
          <w:jc w:val="center"/>
        </w:trPr>
        <w:tc>
          <w:tcPr>
            <w:tcW w:w="737"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T1</w:t>
            </w:r>
          </w:p>
        </w:tc>
        <w:tc>
          <w:tcPr>
            <w:tcW w:w="511"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厂区内</w:t>
            </w:r>
          </w:p>
        </w:tc>
        <w:tc>
          <w:tcPr>
            <w:tcW w:w="1955"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厂区内西</w:t>
            </w:r>
            <w:r>
              <w:rPr>
                <w:rFonts w:hint="default" w:ascii="Times New Roman" w:hAnsi="Times New Roman" w:cs="Times New Roman"/>
                <w:color w:val="auto"/>
                <w:sz w:val="21"/>
                <w:szCs w:val="21"/>
                <w:lang w:eastAsia="zh-CN"/>
              </w:rPr>
              <w:t>南</w:t>
            </w:r>
            <w:r>
              <w:rPr>
                <w:rFonts w:hint="default" w:ascii="Times New Roman" w:hAnsi="Times New Roman" w:cs="Times New Roman"/>
                <w:color w:val="auto"/>
                <w:sz w:val="21"/>
                <w:szCs w:val="21"/>
              </w:rPr>
              <w:t>侧裸露绿化区</w:t>
            </w:r>
          </w:p>
        </w:tc>
        <w:tc>
          <w:tcPr>
            <w:tcW w:w="1125"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表层样</w:t>
            </w:r>
          </w:p>
        </w:tc>
        <w:tc>
          <w:tcPr>
            <w:tcW w:w="915"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2019.9.</w:t>
            </w:r>
            <w:r>
              <w:rPr>
                <w:rFonts w:hint="default" w:ascii="Times New Roman" w:hAnsi="Times New Roman" w:cs="Times New Roman"/>
                <w:color w:val="auto"/>
                <w:sz w:val="21"/>
                <w:szCs w:val="21"/>
                <w:lang w:val="en-US" w:eastAsia="zh-CN"/>
              </w:rPr>
              <w:t>23~</w:t>
            </w:r>
            <w:r>
              <w:rPr>
                <w:rFonts w:hint="default" w:ascii="Times New Roman" w:hAnsi="Times New Roman" w:cs="Times New Roman"/>
                <w:color w:val="auto"/>
                <w:sz w:val="21"/>
                <w:szCs w:val="21"/>
              </w:rPr>
              <w:t>2</w:t>
            </w:r>
            <w:r>
              <w:rPr>
                <w:rFonts w:hint="default" w:ascii="Times New Roman" w:hAnsi="Times New Roman" w:cs="Times New Roman"/>
                <w:color w:val="auto"/>
                <w:sz w:val="21"/>
                <w:szCs w:val="21"/>
                <w:lang w:val="en-US" w:eastAsia="zh-CN"/>
              </w:rPr>
              <w:t>9</w:t>
            </w:r>
          </w:p>
        </w:tc>
        <w:tc>
          <w:tcPr>
            <w:tcW w:w="81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西南</w:t>
            </w:r>
          </w:p>
        </w:tc>
        <w:tc>
          <w:tcPr>
            <w:tcW w:w="112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c>
          <w:tcPr>
            <w:tcW w:w="1590"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《土壤环境质量 建设用地土壤污染风险管控标准》（GB 36600-2018）表1中筛选值第二类用地标准限值</w:t>
            </w:r>
          </w:p>
        </w:tc>
        <w:tc>
          <w:tcPr>
            <w:tcW w:w="540"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第二类</w:t>
            </w:r>
            <w:r>
              <w:rPr>
                <w:rFonts w:hint="default" w:ascii="Times New Roman" w:hAnsi="Times New Roman" w:cs="Times New Roman"/>
                <w:color w:val="auto"/>
                <w:sz w:val="21"/>
                <w:szCs w:val="21"/>
              </w:rPr>
              <w:t>建设用地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9" w:hRule="atLeast"/>
          <w:jc w:val="center"/>
        </w:trPr>
        <w:tc>
          <w:tcPr>
            <w:tcW w:w="737"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T2</w:t>
            </w:r>
          </w:p>
        </w:tc>
        <w:tc>
          <w:tcPr>
            <w:tcW w:w="511"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955"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厂区内西侧裸露绿化区</w:t>
            </w:r>
          </w:p>
        </w:tc>
        <w:tc>
          <w:tcPr>
            <w:tcW w:w="1125"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柱状样</w:t>
            </w:r>
          </w:p>
        </w:tc>
        <w:tc>
          <w:tcPr>
            <w:tcW w:w="915"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81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西</w:t>
            </w:r>
          </w:p>
        </w:tc>
        <w:tc>
          <w:tcPr>
            <w:tcW w:w="112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w:t>
            </w:r>
          </w:p>
        </w:tc>
        <w:tc>
          <w:tcPr>
            <w:tcW w:w="1590"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540"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54" w:hRule="atLeast"/>
          <w:jc w:val="center"/>
        </w:trPr>
        <w:tc>
          <w:tcPr>
            <w:tcW w:w="737"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T3</w:t>
            </w:r>
          </w:p>
        </w:tc>
        <w:tc>
          <w:tcPr>
            <w:tcW w:w="511"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955"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厂区内西</w:t>
            </w:r>
            <w:r>
              <w:rPr>
                <w:rFonts w:hint="default" w:ascii="Times New Roman" w:hAnsi="Times New Roman" w:cs="Times New Roman"/>
                <w:color w:val="auto"/>
                <w:sz w:val="21"/>
                <w:szCs w:val="21"/>
                <w:lang w:eastAsia="zh-CN"/>
              </w:rPr>
              <w:t>北</w:t>
            </w:r>
            <w:r>
              <w:rPr>
                <w:rFonts w:hint="default" w:ascii="Times New Roman" w:hAnsi="Times New Roman" w:cs="Times New Roman"/>
                <w:color w:val="auto"/>
                <w:sz w:val="21"/>
                <w:szCs w:val="21"/>
              </w:rPr>
              <w:t>侧裸露绿化区</w:t>
            </w:r>
          </w:p>
        </w:tc>
        <w:tc>
          <w:tcPr>
            <w:tcW w:w="1125"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表层样</w:t>
            </w:r>
          </w:p>
        </w:tc>
        <w:tc>
          <w:tcPr>
            <w:tcW w:w="915"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81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西北</w:t>
            </w:r>
          </w:p>
        </w:tc>
        <w:tc>
          <w:tcPr>
            <w:tcW w:w="112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40</w:t>
            </w:r>
          </w:p>
        </w:tc>
        <w:tc>
          <w:tcPr>
            <w:tcW w:w="1590"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540"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9" w:hRule="exact"/>
          <w:jc w:val="center"/>
        </w:trPr>
        <w:tc>
          <w:tcPr>
            <w:tcW w:w="737"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T</w:t>
            </w:r>
            <w:r>
              <w:rPr>
                <w:rFonts w:hint="default" w:ascii="Times New Roman" w:hAnsi="Times New Roman" w:cs="Times New Roman"/>
                <w:color w:val="auto"/>
                <w:sz w:val="21"/>
                <w:szCs w:val="21"/>
                <w:lang w:val="en-US" w:eastAsia="zh-CN"/>
              </w:rPr>
              <w:t>4</w:t>
            </w:r>
          </w:p>
        </w:tc>
        <w:tc>
          <w:tcPr>
            <w:tcW w:w="511"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955"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厂区内车间改造挖掘地基北部土壤</w:t>
            </w:r>
          </w:p>
        </w:tc>
        <w:tc>
          <w:tcPr>
            <w:tcW w:w="1125"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柱状样</w:t>
            </w:r>
          </w:p>
        </w:tc>
        <w:tc>
          <w:tcPr>
            <w:tcW w:w="915"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2020</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8</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21</w:t>
            </w:r>
          </w:p>
        </w:tc>
        <w:tc>
          <w:tcPr>
            <w:tcW w:w="81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中心北</w:t>
            </w:r>
          </w:p>
        </w:tc>
        <w:tc>
          <w:tcPr>
            <w:tcW w:w="112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1590"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540"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3" w:hRule="exact"/>
          <w:jc w:val="center"/>
        </w:trPr>
        <w:tc>
          <w:tcPr>
            <w:tcW w:w="737"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w:t>
            </w:r>
            <w:r>
              <w:rPr>
                <w:rFonts w:hint="default" w:ascii="Times New Roman" w:hAnsi="Times New Roman" w:cs="Times New Roman"/>
                <w:color w:val="auto"/>
                <w:sz w:val="21"/>
                <w:szCs w:val="21"/>
                <w:lang w:val="en-US" w:eastAsia="zh-CN"/>
              </w:rPr>
              <w:t>5</w:t>
            </w:r>
          </w:p>
        </w:tc>
        <w:tc>
          <w:tcPr>
            <w:tcW w:w="511"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厂区</w:t>
            </w:r>
            <w:r>
              <w:rPr>
                <w:rFonts w:hint="default" w:ascii="Times New Roman" w:hAnsi="Times New Roman" w:cs="Times New Roman"/>
                <w:color w:val="auto"/>
                <w:sz w:val="21"/>
                <w:szCs w:val="21"/>
                <w:lang w:eastAsia="zh-CN"/>
              </w:rPr>
              <w:t>外</w:t>
            </w:r>
          </w:p>
        </w:tc>
        <w:tc>
          <w:tcPr>
            <w:tcW w:w="1955"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橡胶食堂后山</w:t>
            </w:r>
          </w:p>
        </w:tc>
        <w:tc>
          <w:tcPr>
            <w:tcW w:w="1125"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表层样</w:t>
            </w:r>
          </w:p>
        </w:tc>
        <w:tc>
          <w:tcPr>
            <w:tcW w:w="915"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2019.9.</w:t>
            </w:r>
            <w:r>
              <w:rPr>
                <w:rFonts w:hint="default" w:ascii="Times New Roman" w:hAnsi="Times New Roman" w:cs="Times New Roman"/>
                <w:color w:val="auto"/>
                <w:sz w:val="21"/>
                <w:szCs w:val="21"/>
                <w:lang w:val="en-US" w:eastAsia="zh-CN"/>
              </w:rPr>
              <w:t>23~</w:t>
            </w:r>
            <w:r>
              <w:rPr>
                <w:rFonts w:hint="default" w:ascii="Times New Roman" w:hAnsi="Times New Roman" w:cs="Times New Roman"/>
                <w:color w:val="auto"/>
                <w:sz w:val="21"/>
                <w:szCs w:val="21"/>
              </w:rPr>
              <w:t>2</w:t>
            </w:r>
            <w:r>
              <w:rPr>
                <w:rFonts w:hint="default" w:ascii="Times New Roman" w:hAnsi="Times New Roman" w:cs="Times New Roman"/>
                <w:color w:val="auto"/>
                <w:sz w:val="21"/>
                <w:szCs w:val="21"/>
                <w:lang w:val="en-US" w:eastAsia="zh-CN"/>
              </w:rPr>
              <w:t>9</w:t>
            </w:r>
          </w:p>
        </w:tc>
        <w:tc>
          <w:tcPr>
            <w:tcW w:w="81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N</w:t>
            </w:r>
          </w:p>
        </w:tc>
        <w:tc>
          <w:tcPr>
            <w:tcW w:w="112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250</w:t>
            </w:r>
          </w:p>
        </w:tc>
        <w:tc>
          <w:tcPr>
            <w:tcW w:w="1590"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540"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3" w:hRule="exact"/>
          <w:jc w:val="center"/>
        </w:trPr>
        <w:tc>
          <w:tcPr>
            <w:tcW w:w="737"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w:t>
            </w:r>
            <w:r>
              <w:rPr>
                <w:rFonts w:hint="default" w:ascii="Times New Roman" w:hAnsi="Times New Roman" w:cs="Times New Roman"/>
                <w:color w:val="auto"/>
                <w:sz w:val="21"/>
                <w:szCs w:val="21"/>
                <w:lang w:val="en-US" w:eastAsia="zh-CN"/>
              </w:rPr>
              <w:t>6</w:t>
            </w:r>
          </w:p>
        </w:tc>
        <w:tc>
          <w:tcPr>
            <w:tcW w:w="511"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955"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橡胶部南山</w:t>
            </w:r>
          </w:p>
        </w:tc>
        <w:tc>
          <w:tcPr>
            <w:tcW w:w="1125"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表层样</w:t>
            </w:r>
          </w:p>
        </w:tc>
        <w:tc>
          <w:tcPr>
            <w:tcW w:w="915"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81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SW</w:t>
            </w:r>
          </w:p>
        </w:tc>
        <w:tc>
          <w:tcPr>
            <w:tcW w:w="112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100</w:t>
            </w:r>
          </w:p>
        </w:tc>
        <w:tc>
          <w:tcPr>
            <w:tcW w:w="1590"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540"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bl>
    <w:p>
      <w:pPr>
        <w:pStyle w:val="39"/>
        <w:keepNext w:val="0"/>
        <w:keepLines w:val="0"/>
        <w:pageBreakBefore w:val="0"/>
        <w:widowControl w:val="0"/>
        <w:kinsoku/>
        <w:wordWrap/>
        <w:overflowPunct/>
        <w:topLinePunct w:val="0"/>
        <w:autoSpaceDE/>
        <w:autoSpaceDN/>
        <w:bidi w:val="0"/>
        <w:adjustRightInd/>
        <w:snapToGrid/>
        <w:spacing w:before="157" w:beforeLines="50"/>
        <w:textAlignment w:val="auto"/>
        <w:outlineLvl w:val="9"/>
        <w:rPr>
          <w:rFonts w:hint="default" w:ascii="Times New Roman" w:hAnsi="Times New Roman" w:cs="Times New Roman"/>
          <w:color w:val="auto"/>
        </w:rPr>
      </w:pPr>
      <w:r>
        <w:rPr>
          <w:rFonts w:hint="default" w:ascii="Times New Roman" w:hAnsi="Times New Roman" w:cs="Times New Roman"/>
          <w:color w:val="auto"/>
        </w:rPr>
        <w:t>（2）检测项目使用方法及使用仪器</w:t>
      </w:r>
    </w:p>
    <w:p>
      <w:pPr>
        <w:pStyle w:val="14"/>
        <w:bidi w:val="0"/>
        <w:rPr>
          <w:rFonts w:hint="default" w:ascii="Times New Roman" w:hAnsi="Times New Roman" w:cs="Times New Roman"/>
          <w:color w:val="auto"/>
        </w:rPr>
      </w:pPr>
      <w:bookmarkStart w:id="456" w:name="bookmark28"/>
      <w:bookmarkStart w:id="457" w:name="bookmark26"/>
      <w:bookmarkStart w:id="458" w:name="bookmark27"/>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5</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lang w:val="en-US" w:eastAsia="zh-CN"/>
        </w:rPr>
        <w:t>4</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 xml:space="preserve"> 土壤</w:t>
      </w:r>
      <w:r>
        <w:rPr>
          <w:rFonts w:hint="default" w:ascii="Times New Roman" w:hAnsi="Times New Roman" w:cs="Times New Roman"/>
          <w:color w:val="auto"/>
        </w:rPr>
        <w:t>检测项目、检测依据及仪器一览表</w:t>
      </w:r>
      <w:bookmarkEnd w:id="456"/>
      <w:bookmarkEnd w:id="457"/>
      <w:bookmarkEnd w:id="458"/>
    </w:p>
    <w:tbl>
      <w:tblPr>
        <w:tblStyle w:val="24"/>
        <w:tblW w:w="9609"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 w:type="dxa"/>
          <w:bottom w:w="0" w:type="dxa"/>
          <w:right w:w="10" w:type="dxa"/>
        </w:tblCellMar>
      </w:tblPr>
      <w:tblGrid>
        <w:gridCol w:w="586"/>
        <w:gridCol w:w="775"/>
        <w:gridCol w:w="3780"/>
        <w:gridCol w:w="2160"/>
        <w:gridCol w:w="1065"/>
        <w:gridCol w:w="1243"/>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702" w:hRule="exact"/>
          <w:jc w:val="center"/>
        </w:trPr>
        <w:tc>
          <w:tcPr>
            <w:tcW w:w="586" w:type="dxa"/>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序号</w:t>
            </w:r>
          </w:p>
        </w:tc>
        <w:tc>
          <w:tcPr>
            <w:tcW w:w="775" w:type="dxa"/>
            <w:tcBorders>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检测项目</w:t>
            </w:r>
          </w:p>
        </w:tc>
        <w:tc>
          <w:tcPr>
            <w:tcW w:w="3780" w:type="dxa"/>
            <w:tcBorders>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检测依据</w:t>
            </w:r>
          </w:p>
        </w:tc>
        <w:tc>
          <w:tcPr>
            <w:tcW w:w="2160" w:type="dxa"/>
            <w:tcBorders>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检测设备</w:t>
            </w:r>
          </w:p>
        </w:tc>
        <w:tc>
          <w:tcPr>
            <w:tcW w:w="1065" w:type="dxa"/>
            <w:tcBorders>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设备编号</w:t>
            </w:r>
          </w:p>
        </w:tc>
        <w:tc>
          <w:tcPr>
            <w:tcW w:w="1243" w:type="dxa"/>
            <w:tcBorders>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z w:val="21"/>
                <w:szCs w:val="21"/>
              </w:rPr>
              <w:t>最低检出限</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360" w:hRule="exact"/>
          <w:jc w:val="center"/>
        </w:trPr>
        <w:tc>
          <w:tcPr>
            <w:tcW w:w="8366" w:type="dxa"/>
            <w:gridSpan w:val="5"/>
            <w:tcBorders>
              <w:top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土壤</w:t>
            </w:r>
          </w:p>
        </w:tc>
        <w:tc>
          <w:tcPr>
            <w:tcW w:w="1243" w:type="dxa"/>
            <w:tcBorders>
              <w:top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w w:val="100"/>
                <w:position w:val="0"/>
                <w:sz w:val="21"/>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610" w:hRule="exact"/>
          <w:jc w:val="center"/>
        </w:trPr>
        <w:tc>
          <w:tcPr>
            <w:tcW w:w="586" w:type="dxa"/>
            <w:tcBorders>
              <w:top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20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1</w:t>
            </w:r>
          </w:p>
        </w:tc>
        <w:tc>
          <w:tcPr>
            <w:tcW w:w="775"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lang w:val="en-US" w:eastAsia="en-US" w:bidi="en-US"/>
              </w:rPr>
              <w:t>pH</w:t>
            </w:r>
          </w:p>
        </w:tc>
        <w:tc>
          <w:tcPr>
            <w:tcW w:w="3780"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土壤</w:t>
            </w:r>
            <w:r>
              <w:rPr>
                <w:rFonts w:hint="default" w:ascii="Times New Roman" w:hAnsi="Times New Roman" w:eastAsia="Times New Roman" w:cs="Times New Roman"/>
                <w:color w:val="auto"/>
                <w:spacing w:val="0"/>
                <w:w w:val="100"/>
                <w:position w:val="0"/>
                <w:sz w:val="21"/>
                <w:szCs w:val="21"/>
                <w:lang w:val="en-US" w:eastAsia="en-US" w:bidi="en-US"/>
              </w:rPr>
              <w:t>pH</w:t>
            </w:r>
            <w:r>
              <w:rPr>
                <w:rFonts w:hint="default" w:ascii="Times New Roman" w:hAnsi="Times New Roman" w:cs="Times New Roman"/>
                <w:color w:val="auto"/>
                <w:spacing w:val="0"/>
                <w:w w:val="100"/>
                <w:position w:val="0"/>
                <w:sz w:val="21"/>
                <w:szCs w:val="21"/>
              </w:rPr>
              <w:t>值的测定电位法</w:t>
            </w:r>
          </w:p>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lang w:val="en-US" w:eastAsia="en-US" w:bidi="en-US"/>
              </w:rPr>
              <w:t>HJ 962-2018</w:t>
            </w:r>
          </w:p>
        </w:tc>
        <w:tc>
          <w:tcPr>
            <w:tcW w:w="2160"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lang w:val="en-US" w:eastAsia="en-US" w:bidi="en-US"/>
              </w:rPr>
              <w:t>pH</w:t>
            </w:r>
            <w:r>
              <w:rPr>
                <w:rFonts w:hint="default" w:ascii="Times New Roman" w:hAnsi="Times New Roman" w:cs="Times New Roman"/>
                <w:color w:val="auto"/>
                <w:spacing w:val="0"/>
                <w:w w:val="100"/>
                <w:position w:val="0"/>
                <w:sz w:val="21"/>
                <w:szCs w:val="21"/>
              </w:rPr>
              <w:t>计</w:t>
            </w:r>
            <w:r>
              <w:rPr>
                <w:rFonts w:hint="default" w:ascii="Times New Roman" w:hAnsi="Times New Roman" w:eastAsia="Times New Roman" w:cs="Times New Roman"/>
                <w:color w:val="auto"/>
                <w:spacing w:val="0"/>
                <w:w w:val="100"/>
                <w:position w:val="0"/>
                <w:sz w:val="21"/>
                <w:szCs w:val="21"/>
                <w:lang w:val="en-US" w:eastAsia="en-US" w:bidi="en-US"/>
              </w:rPr>
              <w:t>FE28</w:t>
            </w:r>
            <w:r>
              <w:rPr>
                <w:rFonts w:hint="default" w:ascii="Times New Roman" w:hAnsi="Times New Roman" w:cs="Times New Roman"/>
                <w:color w:val="auto"/>
                <w:spacing w:val="0"/>
                <w:w w:val="100"/>
                <w:position w:val="0"/>
                <w:sz w:val="21"/>
                <w:szCs w:val="21"/>
              </w:rPr>
              <w:t>型</w:t>
            </w:r>
          </w:p>
        </w:tc>
        <w:tc>
          <w:tcPr>
            <w:tcW w:w="1065"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lang w:val="en-US" w:eastAsia="en-US" w:bidi="en-US"/>
              </w:rPr>
              <w:t>A-1-121</w:t>
            </w:r>
          </w:p>
        </w:tc>
        <w:tc>
          <w:tcPr>
            <w:tcW w:w="1243" w:type="dxa"/>
            <w:tcBorders>
              <w:top w:val="single" w:color="auto" w:sz="4" w:space="0"/>
              <w:left w:val="single" w:color="auto" w:sz="4" w:space="0"/>
            </w:tcBorders>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862" w:hRule="exact"/>
          <w:jc w:val="center"/>
        </w:trPr>
        <w:tc>
          <w:tcPr>
            <w:tcW w:w="586" w:type="dxa"/>
            <w:tcBorders>
              <w:top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20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2</w:t>
            </w:r>
          </w:p>
        </w:tc>
        <w:tc>
          <w:tcPr>
            <w:tcW w:w="775"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pacing w:val="0"/>
                <w:w w:val="100"/>
                <w:position w:val="0"/>
                <w:sz w:val="21"/>
                <w:szCs w:val="21"/>
                <w:lang w:eastAsia="zh-CN"/>
              </w:rPr>
              <w:t>砷</w:t>
            </w:r>
          </w:p>
        </w:tc>
        <w:tc>
          <w:tcPr>
            <w:tcW w:w="3780"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土壤质量总汞</w:t>
            </w:r>
            <w:r>
              <w:rPr>
                <w:rFonts w:hint="default" w:ascii="Times New Roman" w:hAnsi="Times New Roman" w:cs="Times New Roman"/>
                <w:color w:val="auto"/>
                <w:spacing w:val="0"/>
                <w:w w:val="100"/>
                <w:position w:val="0"/>
                <w:sz w:val="21"/>
                <w:szCs w:val="21"/>
                <w:lang w:val="zh-CN" w:eastAsia="zh-CN" w:bidi="zh-CN"/>
              </w:rPr>
              <w:t>、总砷</w:t>
            </w:r>
            <w:r>
              <w:rPr>
                <w:rFonts w:hint="default" w:ascii="Times New Roman" w:hAnsi="Times New Roman" w:cs="Times New Roman"/>
                <w:color w:val="auto"/>
                <w:spacing w:val="0"/>
                <w:w w:val="100"/>
                <w:position w:val="0"/>
                <w:sz w:val="21"/>
                <w:szCs w:val="21"/>
              </w:rPr>
              <w:t>、总铅的测定原子荧光法 第</w:t>
            </w:r>
            <w:r>
              <w:rPr>
                <w:rFonts w:hint="default" w:ascii="Times New Roman" w:hAnsi="Times New Roman" w:eastAsia="Times New Roman" w:cs="Times New Roman"/>
                <w:color w:val="auto"/>
                <w:spacing w:val="0"/>
                <w:w w:val="100"/>
                <w:position w:val="0"/>
                <w:sz w:val="21"/>
                <w:szCs w:val="21"/>
              </w:rPr>
              <w:t>2</w:t>
            </w:r>
            <w:r>
              <w:rPr>
                <w:rFonts w:hint="default" w:ascii="Times New Roman" w:hAnsi="Times New Roman" w:cs="Times New Roman"/>
                <w:color w:val="auto"/>
                <w:spacing w:val="0"/>
                <w:w w:val="100"/>
                <w:position w:val="0"/>
                <w:sz w:val="21"/>
                <w:szCs w:val="21"/>
              </w:rPr>
              <w:t>部分：土壤中总</w:t>
            </w:r>
            <w:r>
              <w:rPr>
                <w:rFonts w:hint="default" w:ascii="Times New Roman" w:hAnsi="Times New Roman" w:cs="Times New Roman"/>
                <w:color w:val="auto"/>
                <w:spacing w:val="0"/>
                <w:w w:val="100"/>
                <w:position w:val="0"/>
                <w:sz w:val="21"/>
                <w:szCs w:val="21"/>
                <w:lang w:eastAsia="zh-CN"/>
              </w:rPr>
              <w:t>砷</w:t>
            </w:r>
            <w:r>
              <w:rPr>
                <w:rFonts w:hint="default" w:ascii="Times New Roman" w:hAnsi="Times New Roman" w:cs="Times New Roman"/>
                <w:color w:val="auto"/>
                <w:spacing w:val="0"/>
                <w:w w:val="100"/>
                <w:position w:val="0"/>
                <w:sz w:val="21"/>
                <w:szCs w:val="21"/>
              </w:rPr>
              <w:t>的测定</w:t>
            </w:r>
            <w:r>
              <w:rPr>
                <w:rFonts w:hint="default" w:ascii="Times New Roman" w:hAnsi="Times New Roman" w:eastAsia="Times New Roman" w:cs="Times New Roman"/>
                <w:color w:val="auto"/>
                <w:spacing w:val="0"/>
                <w:w w:val="100"/>
                <w:position w:val="0"/>
                <w:sz w:val="21"/>
                <w:szCs w:val="21"/>
                <w:lang w:val="en-US" w:eastAsia="en-US" w:bidi="en-US"/>
              </w:rPr>
              <w:t>GB/T 22105.2-2008</w:t>
            </w:r>
          </w:p>
        </w:tc>
        <w:tc>
          <w:tcPr>
            <w:tcW w:w="2160"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原子荧光光度计</w:t>
            </w:r>
          </w:p>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lang w:val="en-US" w:eastAsia="en-US" w:bidi="en-US"/>
              </w:rPr>
              <w:t>AFS-8220</w:t>
            </w:r>
            <w:r>
              <w:rPr>
                <w:rFonts w:hint="default" w:ascii="Times New Roman" w:hAnsi="Times New Roman" w:cs="Times New Roman"/>
                <w:color w:val="auto"/>
                <w:spacing w:val="0"/>
                <w:w w:val="100"/>
                <w:position w:val="0"/>
                <w:sz w:val="21"/>
                <w:szCs w:val="21"/>
              </w:rPr>
              <w:t>型</w:t>
            </w:r>
          </w:p>
        </w:tc>
        <w:tc>
          <w:tcPr>
            <w:tcW w:w="1065"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lang w:val="en-US" w:eastAsia="en-US" w:bidi="en-US"/>
              </w:rPr>
              <w:t>A-1-120</w:t>
            </w:r>
          </w:p>
        </w:tc>
        <w:tc>
          <w:tcPr>
            <w:tcW w:w="1243" w:type="dxa"/>
            <w:tcBorders>
              <w:top w:val="single" w:color="auto" w:sz="4" w:space="0"/>
              <w:left w:val="single" w:color="auto" w:sz="4" w:space="0"/>
            </w:tcBorders>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rPr>
              <w:t>0.01mg/kg</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877" w:hRule="exact"/>
          <w:jc w:val="center"/>
        </w:trPr>
        <w:tc>
          <w:tcPr>
            <w:tcW w:w="586" w:type="dxa"/>
            <w:tcBorders>
              <w:top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20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3</w:t>
            </w:r>
          </w:p>
        </w:tc>
        <w:tc>
          <w:tcPr>
            <w:tcW w:w="775"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镉</w:t>
            </w:r>
          </w:p>
        </w:tc>
        <w:tc>
          <w:tcPr>
            <w:tcW w:w="3780"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土壤质量铅、镉的测定</w:t>
            </w:r>
          </w:p>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石墨炉原子吸收分光光度法</w:t>
            </w:r>
            <w:r>
              <w:rPr>
                <w:rFonts w:hint="default" w:ascii="Times New Roman" w:hAnsi="Times New Roman" w:eastAsia="Times New Roman" w:cs="Times New Roman"/>
                <w:color w:val="auto"/>
                <w:spacing w:val="0"/>
                <w:w w:val="100"/>
                <w:position w:val="0"/>
                <w:sz w:val="21"/>
                <w:szCs w:val="21"/>
                <w:lang w:val="en-US" w:eastAsia="en-US" w:bidi="en-US"/>
              </w:rPr>
              <w:t>GB/T 17141-1997</w:t>
            </w:r>
          </w:p>
        </w:tc>
        <w:tc>
          <w:tcPr>
            <w:tcW w:w="2160"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石墨炉原子吸收光谱仪</w:t>
            </w:r>
          </w:p>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lang w:val="en-US" w:eastAsia="en-US" w:bidi="en-US"/>
              </w:rPr>
              <w:t>PinAAcle 900Z</w:t>
            </w:r>
            <w:r>
              <w:rPr>
                <w:rFonts w:hint="default" w:ascii="Times New Roman" w:hAnsi="Times New Roman" w:cs="Times New Roman"/>
                <w:color w:val="auto"/>
                <w:spacing w:val="0"/>
                <w:w w:val="100"/>
                <w:position w:val="0"/>
                <w:sz w:val="21"/>
                <w:szCs w:val="21"/>
              </w:rPr>
              <w:t>型</w:t>
            </w:r>
          </w:p>
        </w:tc>
        <w:tc>
          <w:tcPr>
            <w:tcW w:w="1065"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lang w:val="en-US" w:eastAsia="en-US" w:bidi="en-US"/>
              </w:rPr>
              <w:t>A-1-118</w:t>
            </w:r>
          </w:p>
        </w:tc>
        <w:tc>
          <w:tcPr>
            <w:tcW w:w="1243" w:type="dxa"/>
            <w:tcBorders>
              <w:top w:val="single" w:color="auto" w:sz="4" w:space="0"/>
              <w:left w:val="single" w:color="auto" w:sz="4" w:space="0"/>
            </w:tcBorders>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rPr>
              <w:t>0.01mg/kg</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677" w:hRule="exact"/>
          <w:jc w:val="center"/>
        </w:trPr>
        <w:tc>
          <w:tcPr>
            <w:tcW w:w="586" w:type="dxa"/>
            <w:tcBorders>
              <w:top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20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4</w:t>
            </w:r>
          </w:p>
        </w:tc>
        <w:tc>
          <w:tcPr>
            <w:tcW w:w="775"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铜</w:t>
            </w:r>
          </w:p>
        </w:tc>
        <w:tc>
          <w:tcPr>
            <w:tcW w:w="3780"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土壤和沉积物铜、锌、铅、</w:t>
            </w:r>
            <w:r>
              <w:rPr>
                <w:rFonts w:hint="default" w:ascii="Times New Roman" w:hAnsi="Times New Roman" w:cs="Times New Roman"/>
                <w:color w:val="auto"/>
                <w:spacing w:val="0"/>
                <w:w w:val="100"/>
                <w:position w:val="0"/>
                <w:sz w:val="21"/>
                <w:szCs w:val="21"/>
                <w:lang w:eastAsia="zh-CN"/>
              </w:rPr>
              <w:t>镍</w:t>
            </w:r>
            <w:r>
              <w:rPr>
                <w:rFonts w:hint="default" w:ascii="Times New Roman" w:hAnsi="Times New Roman" w:cs="Times New Roman"/>
                <w:color w:val="auto"/>
                <w:spacing w:val="0"/>
                <w:w w:val="100"/>
                <w:position w:val="0"/>
                <w:sz w:val="21"/>
                <w:szCs w:val="21"/>
              </w:rPr>
              <w:t>、</w:t>
            </w:r>
            <w:r>
              <w:rPr>
                <w:rFonts w:hint="default" w:ascii="Times New Roman" w:hAnsi="Times New Roman" w:cs="Times New Roman"/>
                <w:color w:val="auto"/>
                <w:spacing w:val="0"/>
                <w:w w:val="100"/>
                <w:position w:val="0"/>
                <w:sz w:val="21"/>
                <w:szCs w:val="21"/>
                <w:lang w:eastAsia="zh-CN"/>
              </w:rPr>
              <w:t>铬</w:t>
            </w:r>
            <w:r>
              <w:rPr>
                <w:rFonts w:hint="default" w:ascii="Times New Roman" w:hAnsi="Times New Roman" w:cs="Times New Roman"/>
                <w:color w:val="auto"/>
                <w:spacing w:val="0"/>
                <w:w w:val="100"/>
                <w:position w:val="0"/>
                <w:sz w:val="21"/>
                <w:szCs w:val="21"/>
              </w:rPr>
              <w:t>的测定 火焰原子吸收分光光度法</w:t>
            </w:r>
            <w:r>
              <w:rPr>
                <w:rFonts w:hint="default" w:ascii="Times New Roman" w:hAnsi="Times New Roman" w:eastAsia="Times New Roman" w:cs="Times New Roman"/>
                <w:color w:val="auto"/>
                <w:spacing w:val="0"/>
                <w:w w:val="100"/>
                <w:position w:val="0"/>
                <w:sz w:val="21"/>
                <w:szCs w:val="21"/>
                <w:lang w:val="en-US" w:eastAsia="en-US" w:bidi="en-US"/>
              </w:rPr>
              <w:t>HJ 491-2019</w:t>
            </w:r>
          </w:p>
        </w:tc>
        <w:tc>
          <w:tcPr>
            <w:tcW w:w="2160"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火焰原子吸收光谱仪</w:t>
            </w:r>
          </w:p>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lang w:val="en-US" w:eastAsia="en-US" w:bidi="en-US"/>
              </w:rPr>
              <w:t xml:space="preserve">PinAAcle </w:t>
            </w:r>
            <w:r>
              <w:rPr>
                <w:rFonts w:hint="default" w:ascii="Times New Roman" w:hAnsi="Times New Roman" w:eastAsia="Times New Roman" w:cs="Times New Roman"/>
                <w:color w:val="auto"/>
                <w:spacing w:val="0"/>
                <w:w w:val="100"/>
                <w:position w:val="0"/>
                <w:sz w:val="21"/>
                <w:szCs w:val="21"/>
              </w:rPr>
              <w:t>500</w:t>
            </w:r>
            <w:r>
              <w:rPr>
                <w:rFonts w:hint="default" w:ascii="Times New Roman" w:hAnsi="Times New Roman" w:cs="Times New Roman"/>
                <w:color w:val="auto"/>
                <w:spacing w:val="0"/>
                <w:w w:val="100"/>
                <w:position w:val="0"/>
                <w:sz w:val="21"/>
                <w:szCs w:val="21"/>
              </w:rPr>
              <w:t>型</w:t>
            </w:r>
          </w:p>
        </w:tc>
        <w:tc>
          <w:tcPr>
            <w:tcW w:w="1065"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lang w:val="en-US" w:eastAsia="en-US" w:bidi="en-US"/>
              </w:rPr>
              <w:t>A-1-103</w:t>
            </w:r>
          </w:p>
        </w:tc>
        <w:tc>
          <w:tcPr>
            <w:tcW w:w="1243"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Times New Roman" w:cs="Times New Roman"/>
                <w:color w:val="auto"/>
                <w:spacing w:val="0"/>
                <w:w w:val="100"/>
                <w:position w:val="0"/>
                <w:sz w:val="21"/>
                <w:szCs w:val="21"/>
                <w:lang w:val="en-US" w:eastAsia="en-US" w:bidi="en-US"/>
              </w:rPr>
            </w:pPr>
            <w:r>
              <w:rPr>
                <w:rFonts w:hint="default" w:ascii="Times New Roman" w:hAnsi="Times New Roman" w:cs="Times New Roman"/>
                <w:color w:val="auto"/>
                <w:sz w:val="21"/>
                <w:szCs w:val="21"/>
              </w:rPr>
              <w:t>0.005mg/kg</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667" w:hRule="exact"/>
          <w:jc w:val="center"/>
        </w:trPr>
        <w:tc>
          <w:tcPr>
            <w:tcW w:w="586" w:type="dxa"/>
            <w:tcBorders>
              <w:top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20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5</w:t>
            </w:r>
          </w:p>
        </w:tc>
        <w:tc>
          <w:tcPr>
            <w:tcW w:w="775"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铅</w:t>
            </w:r>
          </w:p>
        </w:tc>
        <w:tc>
          <w:tcPr>
            <w:tcW w:w="3780"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土壤质量铅、镉的测定</w:t>
            </w:r>
          </w:p>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石墨炉原子吸收分光光度法</w:t>
            </w:r>
            <w:r>
              <w:rPr>
                <w:rFonts w:hint="default" w:ascii="Times New Roman" w:hAnsi="Times New Roman" w:eastAsia="Times New Roman" w:cs="Times New Roman"/>
                <w:color w:val="auto"/>
                <w:spacing w:val="0"/>
                <w:w w:val="100"/>
                <w:position w:val="0"/>
                <w:sz w:val="21"/>
                <w:szCs w:val="21"/>
                <w:lang w:val="en-US" w:eastAsia="en-US" w:bidi="en-US"/>
              </w:rPr>
              <w:t>GB/T 17141-1997</w:t>
            </w:r>
          </w:p>
        </w:tc>
        <w:tc>
          <w:tcPr>
            <w:tcW w:w="2160"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石墨炉原子吸收光谱仪</w:t>
            </w:r>
          </w:p>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40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lang w:val="en-US" w:eastAsia="en-US" w:bidi="en-US"/>
              </w:rPr>
              <w:t>PinAAcle 900Z</w:t>
            </w:r>
            <w:r>
              <w:rPr>
                <w:rFonts w:hint="default" w:ascii="Times New Roman" w:hAnsi="Times New Roman" w:cs="Times New Roman"/>
                <w:color w:val="auto"/>
                <w:spacing w:val="0"/>
                <w:w w:val="100"/>
                <w:position w:val="0"/>
                <w:sz w:val="21"/>
                <w:szCs w:val="21"/>
              </w:rPr>
              <w:t>型</w:t>
            </w:r>
          </w:p>
        </w:tc>
        <w:tc>
          <w:tcPr>
            <w:tcW w:w="1065"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lang w:val="en-US" w:eastAsia="en-US" w:bidi="en-US"/>
              </w:rPr>
              <w:t>A-1-105</w:t>
            </w:r>
          </w:p>
        </w:tc>
        <w:tc>
          <w:tcPr>
            <w:tcW w:w="1243" w:type="dxa"/>
            <w:tcBorders>
              <w:top w:val="single" w:color="auto" w:sz="4" w:space="0"/>
              <w:left w:val="single" w:color="auto" w:sz="4" w:space="0"/>
            </w:tcBorders>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rPr>
              <w:t>0.1mg/kg</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817" w:hRule="exact"/>
          <w:jc w:val="center"/>
        </w:trPr>
        <w:tc>
          <w:tcPr>
            <w:tcW w:w="586" w:type="dxa"/>
            <w:tcBorders>
              <w:top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20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6</w:t>
            </w:r>
          </w:p>
        </w:tc>
        <w:tc>
          <w:tcPr>
            <w:tcW w:w="775"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汞</w:t>
            </w:r>
          </w:p>
        </w:tc>
        <w:tc>
          <w:tcPr>
            <w:tcW w:w="3780"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土壤质量总汞、总</w:t>
            </w:r>
            <w:r>
              <w:rPr>
                <w:rFonts w:hint="default" w:ascii="Times New Roman" w:hAnsi="Times New Roman" w:cs="Times New Roman"/>
                <w:color w:val="auto"/>
                <w:spacing w:val="0"/>
                <w:w w:val="100"/>
                <w:position w:val="0"/>
                <w:sz w:val="21"/>
                <w:szCs w:val="21"/>
                <w:lang w:eastAsia="zh-CN"/>
              </w:rPr>
              <w:t>砷</w:t>
            </w:r>
            <w:r>
              <w:rPr>
                <w:rFonts w:hint="default" w:ascii="Times New Roman" w:hAnsi="Times New Roman" w:cs="Times New Roman"/>
                <w:color w:val="auto"/>
                <w:spacing w:val="0"/>
                <w:w w:val="100"/>
                <w:position w:val="0"/>
                <w:sz w:val="21"/>
                <w:szCs w:val="21"/>
              </w:rPr>
              <w:t>、总铅的测定原子荧光法 第</w:t>
            </w:r>
            <w:r>
              <w:rPr>
                <w:rFonts w:hint="default" w:ascii="Times New Roman" w:hAnsi="Times New Roman" w:eastAsia="Times New Roman" w:cs="Times New Roman"/>
                <w:color w:val="auto"/>
                <w:spacing w:val="0"/>
                <w:w w:val="100"/>
                <w:position w:val="0"/>
                <w:sz w:val="21"/>
                <w:szCs w:val="21"/>
              </w:rPr>
              <w:t>1</w:t>
            </w:r>
            <w:r>
              <w:rPr>
                <w:rFonts w:hint="default" w:ascii="Times New Roman" w:hAnsi="Times New Roman" w:cs="Times New Roman"/>
                <w:color w:val="auto"/>
                <w:spacing w:val="0"/>
                <w:w w:val="100"/>
                <w:position w:val="0"/>
                <w:sz w:val="21"/>
                <w:szCs w:val="21"/>
              </w:rPr>
              <w:t>部分：土壤中总汞的测定</w:t>
            </w:r>
            <w:r>
              <w:rPr>
                <w:rFonts w:hint="default" w:ascii="Times New Roman" w:hAnsi="Times New Roman" w:eastAsia="Times New Roman" w:cs="Times New Roman"/>
                <w:color w:val="auto"/>
                <w:spacing w:val="0"/>
                <w:w w:val="100"/>
                <w:position w:val="0"/>
                <w:sz w:val="21"/>
                <w:szCs w:val="21"/>
                <w:lang w:val="en-US" w:eastAsia="en-US" w:bidi="en-US"/>
              </w:rPr>
              <w:t>GB/T 22105.1-2008</w:t>
            </w:r>
          </w:p>
        </w:tc>
        <w:tc>
          <w:tcPr>
            <w:tcW w:w="2160"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原子荧光光度计</w:t>
            </w:r>
          </w:p>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lang w:val="en-US" w:eastAsia="en-US" w:bidi="en-US"/>
              </w:rPr>
              <w:t>AFS-822</w:t>
            </w:r>
            <w:r>
              <w:rPr>
                <w:rFonts w:hint="default" w:ascii="Times New Roman" w:hAnsi="Times New Roman" w:eastAsia="Times New Roman" w:cs="Times New Roman"/>
                <w:color w:val="auto"/>
                <w:spacing w:val="0"/>
                <w:w w:val="100"/>
                <w:position w:val="0"/>
                <w:sz w:val="21"/>
                <w:szCs w:val="21"/>
              </w:rPr>
              <w:t>0</w:t>
            </w:r>
            <w:r>
              <w:rPr>
                <w:rFonts w:hint="default" w:ascii="Times New Roman" w:hAnsi="Times New Roman" w:cs="Times New Roman"/>
                <w:color w:val="auto"/>
                <w:spacing w:val="0"/>
                <w:w w:val="100"/>
                <w:position w:val="0"/>
                <w:sz w:val="21"/>
                <w:szCs w:val="21"/>
              </w:rPr>
              <w:t>型</w:t>
            </w:r>
          </w:p>
        </w:tc>
        <w:tc>
          <w:tcPr>
            <w:tcW w:w="1065"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lang w:val="en-US" w:eastAsia="en-US" w:bidi="en-US"/>
              </w:rPr>
              <w:t>A-1-120</w:t>
            </w:r>
          </w:p>
        </w:tc>
        <w:tc>
          <w:tcPr>
            <w:tcW w:w="1243" w:type="dxa"/>
            <w:tcBorders>
              <w:top w:val="single" w:color="auto" w:sz="4" w:space="0"/>
              <w:left w:val="single" w:color="auto" w:sz="4" w:space="0"/>
            </w:tcBorders>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rPr>
              <w:t>0.002mg/kg</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672" w:hRule="exact"/>
          <w:jc w:val="center"/>
        </w:trPr>
        <w:tc>
          <w:tcPr>
            <w:tcW w:w="586" w:type="dxa"/>
            <w:tcBorders>
              <w:top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firstLine="200" w:firstLineChars="0"/>
              <w:jc w:val="center"/>
              <w:textAlignment w:val="auto"/>
              <w:rPr>
                <w:rFonts w:hint="default" w:ascii="Times New Roman" w:hAnsi="Times New Roman" w:eastAsia="宋体" w:cs="Times New Roman"/>
                <w:color w:val="auto"/>
                <w:kern w:val="2"/>
                <w:sz w:val="21"/>
                <w:szCs w:val="21"/>
                <w:u w:val="none"/>
                <w:shd w:val="clear" w:color="auto" w:fill="auto"/>
                <w:lang w:val="zh-TW" w:eastAsia="zh-TW" w:bidi="zh-TW"/>
              </w:rPr>
            </w:pPr>
            <w:r>
              <w:rPr>
                <w:rFonts w:hint="default" w:ascii="Times New Roman" w:hAnsi="Times New Roman" w:eastAsia="Times New Roman" w:cs="Times New Roman"/>
                <w:color w:val="auto"/>
                <w:spacing w:val="0"/>
                <w:w w:val="100"/>
                <w:position w:val="0"/>
                <w:sz w:val="21"/>
                <w:szCs w:val="21"/>
              </w:rPr>
              <w:t>7</w:t>
            </w:r>
          </w:p>
        </w:tc>
        <w:tc>
          <w:tcPr>
            <w:tcW w:w="775" w:type="dxa"/>
            <w:tcBorders>
              <w:top w:val="single" w:color="auto" w:sz="4" w:space="0"/>
              <w:left w:val="single" w:color="auto" w:sz="4" w:space="0"/>
            </w:tcBorders>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镍</w:t>
            </w:r>
          </w:p>
        </w:tc>
        <w:tc>
          <w:tcPr>
            <w:tcW w:w="3780" w:type="dxa"/>
            <w:tcBorders>
              <w:top w:val="single" w:color="auto" w:sz="4" w:space="0"/>
              <w:left w:val="single" w:color="auto" w:sz="4" w:space="0"/>
            </w:tcBorders>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电感耦合等离子体发射光谱法(HJ804-2016)</w:t>
            </w:r>
          </w:p>
        </w:tc>
        <w:tc>
          <w:tcPr>
            <w:tcW w:w="2160" w:type="dxa"/>
            <w:tcBorders>
              <w:top w:val="single" w:color="auto" w:sz="4" w:space="0"/>
              <w:left w:val="single" w:color="auto" w:sz="4" w:space="0"/>
            </w:tcBorders>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rPr>
              <w:t>Quantima</w:t>
            </w:r>
          </w:p>
        </w:tc>
        <w:tc>
          <w:tcPr>
            <w:tcW w:w="1065" w:type="dxa"/>
            <w:tcBorders>
              <w:top w:val="single" w:color="auto" w:sz="4" w:space="0"/>
              <w:left w:val="single" w:color="auto" w:sz="4" w:space="0"/>
            </w:tcBorders>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en-US" w:bidi="ar-SA"/>
              </w:rPr>
            </w:pPr>
          </w:p>
        </w:tc>
        <w:tc>
          <w:tcPr>
            <w:tcW w:w="1243" w:type="dxa"/>
            <w:tcBorders>
              <w:top w:val="single" w:color="auto" w:sz="4" w:space="0"/>
              <w:left w:val="single" w:color="auto" w:sz="4" w:space="0"/>
            </w:tcBorders>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0.03mg/kg</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672" w:hRule="exact"/>
          <w:jc w:val="center"/>
        </w:trPr>
        <w:tc>
          <w:tcPr>
            <w:tcW w:w="586" w:type="dxa"/>
            <w:tcBorders>
              <w:top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firstLine="200" w:firstLineChars="0"/>
              <w:jc w:val="center"/>
              <w:textAlignment w:val="auto"/>
              <w:rPr>
                <w:rFonts w:hint="default" w:ascii="Times New Roman" w:hAnsi="Times New Roman" w:eastAsia="宋体" w:cs="Times New Roman"/>
                <w:color w:val="auto"/>
                <w:kern w:val="2"/>
                <w:sz w:val="21"/>
                <w:szCs w:val="21"/>
                <w:u w:val="none"/>
                <w:shd w:val="clear" w:color="auto" w:fill="auto"/>
                <w:lang w:val="zh-TW" w:eastAsia="zh-TW" w:bidi="zh-TW"/>
              </w:rPr>
            </w:pPr>
            <w:r>
              <w:rPr>
                <w:rFonts w:hint="default" w:ascii="Times New Roman" w:hAnsi="Times New Roman" w:eastAsia="Times New Roman" w:cs="Times New Roman"/>
                <w:color w:val="auto"/>
                <w:spacing w:val="0"/>
                <w:w w:val="100"/>
                <w:position w:val="0"/>
                <w:sz w:val="21"/>
                <w:szCs w:val="21"/>
              </w:rPr>
              <w:t>8</w:t>
            </w:r>
          </w:p>
        </w:tc>
        <w:tc>
          <w:tcPr>
            <w:tcW w:w="775" w:type="dxa"/>
            <w:tcBorders>
              <w:top w:val="single" w:color="auto" w:sz="4" w:space="0"/>
              <w:left w:val="single" w:color="auto" w:sz="4" w:space="0"/>
            </w:tcBorders>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锌</w:t>
            </w:r>
          </w:p>
        </w:tc>
        <w:tc>
          <w:tcPr>
            <w:tcW w:w="3780" w:type="dxa"/>
            <w:tcBorders>
              <w:top w:val="single" w:color="auto" w:sz="4" w:space="0"/>
              <w:left w:val="single" w:color="auto" w:sz="4" w:space="0"/>
            </w:tcBorders>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电感耦合等离子体发射光谱法(HJ804-2016)</w:t>
            </w:r>
          </w:p>
        </w:tc>
        <w:tc>
          <w:tcPr>
            <w:tcW w:w="2160" w:type="dxa"/>
            <w:tcBorders>
              <w:top w:val="single" w:color="auto" w:sz="4" w:space="0"/>
              <w:left w:val="single" w:color="auto" w:sz="4" w:space="0"/>
            </w:tcBorders>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rPr>
              <w:t>Quantima</w:t>
            </w:r>
          </w:p>
        </w:tc>
        <w:tc>
          <w:tcPr>
            <w:tcW w:w="1065" w:type="dxa"/>
            <w:tcBorders>
              <w:top w:val="single" w:color="auto" w:sz="4" w:space="0"/>
              <w:left w:val="single" w:color="auto" w:sz="4" w:space="0"/>
            </w:tcBorders>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en-US" w:bidi="ar-SA"/>
              </w:rPr>
            </w:pPr>
          </w:p>
        </w:tc>
        <w:tc>
          <w:tcPr>
            <w:tcW w:w="1243" w:type="dxa"/>
            <w:tcBorders>
              <w:top w:val="single" w:color="auto" w:sz="4" w:space="0"/>
              <w:left w:val="single" w:color="auto" w:sz="4" w:space="0"/>
            </w:tcBorders>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0.005mg/kg</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672" w:hRule="exact"/>
          <w:jc w:val="center"/>
        </w:trPr>
        <w:tc>
          <w:tcPr>
            <w:tcW w:w="586" w:type="dxa"/>
            <w:tcBorders>
              <w:top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firstLine="200" w:firstLineChars="0"/>
              <w:jc w:val="center"/>
              <w:textAlignment w:val="auto"/>
              <w:rPr>
                <w:rFonts w:hint="default" w:ascii="Times New Roman" w:hAnsi="Times New Roman" w:eastAsia="宋体" w:cs="Times New Roman"/>
                <w:color w:val="auto"/>
                <w:kern w:val="2"/>
                <w:sz w:val="21"/>
                <w:szCs w:val="21"/>
                <w:u w:val="none"/>
                <w:shd w:val="clear" w:color="auto" w:fill="auto"/>
                <w:lang w:val="zh-TW" w:eastAsia="zh-TW" w:bidi="zh-TW"/>
              </w:rPr>
            </w:pPr>
            <w:r>
              <w:rPr>
                <w:rFonts w:hint="default" w:ascii="Times New Roman" w:hAnsi="Times New Roman" w:eastAsia="Times New Roman" w:cs="Times New Roman"/>
                <w:color w:val="auto"/>
                <w:spacing w:val="0"/>
                <w:w w:val="100"/>
                <w:position w:val="0"/>
                <w:sz w:val="21"/>
                <w:szCs w:val="21"/>
              </w:rPr>
              <w:t>9</w:t>
            </w:r>
          </w:p>
        </w:tc>
        <w:tc>
          <w:tcPr>
            <w:tcW w:w="775" w:type="dxa"/>
            <w:tcBorders>
              <w:top w:val="single" w:color="auto" w:sz="4" w:space="0"/>
              <w:left w:val="single" w:color="auto" w:sz="4"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eastAsia="宋体" w:cs="Times New Roman"/>
                <w:color w:val="auto"/>
                <w:kern w:val="2"/>
                <w:sz w:val="21"/>
                <w:szCs w:val="21"/>
                <w:lang w:val="en-US" w:eastAsia="zh-CN" w:bidi="ar-SA"/>
              </w:rPr>
              <w:t>铬</w:t>
            </w:r>
          </w:p>
        </w:tc>
        <w:tc>
          <w:tcPr>
            <w:tcW w:w="3780"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土壤和沉积物铜、锌、铅、</w:t>
            </w:r>
            <w:r>
              <w:rPr>
                <w:rFonts w:hint="default" w:ascii="Times New Roman" w:hAnsi="Times New Roman" w:cs="Times New Roman"/>
                <w:color w:val="auto"/>
                <w:spacing w:val="0"/>
                <w:w w:val="100"/>
                <w:position w:val="0"/>
                <w:sz w:val="21"/>
                <w:szCs w:val="21"/>
                <w:lang w:eastAsia="zh-CN"/>
              </w:rPr>
              <w:t>镍</w:t>
            </w:r>
            <w:r>
              <w:rPr>
                <w:rFonts w:hint="default" w:ascii="Times New Roman" w:hAnsi="Times New Roman" w:cs="Times New Roman"/>
                <w:color w:val="auto"/>
                <w:spacing w:val="0"/>
                <w:w w:val="100"/>
                <w:position w:val="0"/>
                <w:sz w:val="21"/>
                <w:szCs w:val="21"/>
              </w:rPr>
              <w:t>、</w:t>
            </w:r>
            <w:r>
              <w:rPr>
                <w:rFonts w:hint="default" w:ascii="Times New Roman" w:hAnsi="Times New Roman" w:cs="Times New Roman"/>
                <w:color w:val="auto"/>
                <w:spacing w:val="0"/>
                <w:w w:val="100"/>
                <w:position w:val="0"/>
                <w:sz w:val="21"/>
                <w:szCs w:val="21"/>
                <w:lang w:eastAsia="zh-CN"/>
              </w:rPr>
              <w:t>铬</w:t>
            </w:r>
            <w:r>
              <w:rPr>
                <w:rFonts w:hint="default" w:ascii="Times New Roman" w:hAnsi="Times New Roman" w:cs="Times New Roman"/>
                <w:color w:val="auto"/>
                <w:spacing w:val="0"/>
                <w:w w:val="100"/>
                <w:position w:val="0"/>
                <w:sz w:val="21"/>
                <w:szCs w:val="21"/>
              </w:rPr>
              <w:t>的测定 火焰原子吸收分光光度法</w:t>
            </w:r>
            <w:r>
              <w:rPr>
                <w:rFonts w:hint="default" w:ascii="Times New Roman" w:hAnsi="Times New Roman" w:eastAsia="Times New Roman" w:cs="Times New Roman"/>
                <w:color w:val="auto"/>
                <w:spacing w:val="0"/>
                <w:w w:val="100"/>
                <w:position w:val="0"/>
                <w:sz w:val="21"/>
                <w:szCs w:val="21"/>
                <w:lang w:val="en-US" w:eastAsia="en-US" w:bidi="en-US"/>
              </w:rPr>
              <w:t>HJ 491-2019</w:t>
            </w:r>
          </w:p>
        </w:tc>
        <w:tc>
          <w:tcPr>
            <w:tcW w:w="2160"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原子吸收分光光度计</w:t>
            </w:r>
          </w:p>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lang w:val="en-US" w:eastAsia="en-US" w:bidi="en-US"/>
              </w:rPr>
              <w:t xml:space="preserve">TAS-990AFG </w:t>
            </w:r>
            <w:r>
              <w:rPr>
                <w:rFonts w:hint="default" w:ascii="Times New Roman" w:hAnsi="Times New Roman" w:cs="Times New Roman"/>
                <w:color w:val="auto"/>
                <w:spacing w:val="0"/>
                <w:w w:val="100"/>
                <w:position w:val="0"/>
                <w:sz w:val="21"/>
                <w:szCs w:val="21"/>
              </w:rPr>
              <w:t>型</w:t>
            </w:r>
          </w:p>
        </w:tc>
        <w:tc>
          <w:tcPr>
            <w:tcW w:w="1065"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lang w:val="en-US" w:eastAsia="en-US" w:bidi="en-US"/>
              </w:rPr>
              <w:t>A-1-003</w:t>
            </w:r>
          </w:p>
        </w:tc>
        <w:tc>
          <w:tcPr>
            <w:tcW w:w="1243" w:type="dxa"/>
            <w:tcBorders>
              <w:top w:val="single" w:color="auto" w:sz="4" w:space="0"/>
              <w:left w:val="single" w:color="auto" w:sz="4" w:space="0"/>
            </w:tcBorders>
            <w:shd w:val="clear" w:color="auto" w:fill="FFFFFF"/>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rPr>
              <w:t>0.03mg/kg</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672" w:hRule="exact"/>
          <w:jc w:val="center"/>
        </w:trPr>
        <w:tc>
          <w:tcPr>
            <w:tcW w:w="586" w:type="dxa"/>
            <w:tcBorders>
              <w:top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firstLine="200" w:firstLineChars="0"/>
              <w:jc w:val="center"/>
              <w:textAlignment w:val="auto"/>
              <w:rPr>
                <w:rFonts w:hint="default" w:ascii="Times New Roman" w:hAnsi="Times New Roman" w:eastAsia="宋体" w:cs="Times New Roman"/>
                <w:color w:val="auto"/>
                <w:kern w:val="2"/>
                <w:sz w:val="21"/>
                <w:szCs w:val="21"/>
                <w:u w:val="none"/>
                <w:shd w:val="clear" w:color="auto" w:fill="auto"/>
                <w:lang w:val="zh-TW" w:eastAsia="zh-TW" w:bidi="zh-TW"/>
              </w:rPr>
            </w:pPr>
            <w:r>
              <w:rPr>
                <w:rFonts w:hint="default" w:ascii="Times New Roman" w:hAnsi="Times New Roman" w:eastAsia="Times New Roman" w:cs="Times New Roman"/>
                <w:color w:val="auto"/>
                <w:spacing w:val="0"/>
                <w:w w:val="100"/>
                <w:position w:val="0"/>
                <w:sz w:val="21"/>
                <w:szCs w:val="21"/>
              </w:rPr>
              <w:t>10</w:t>
            </w:r>
          </w:p>
        </w:tc>
        <w:tc>
          <w:tcPr>
            <w:tcW w:w="775"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pacing w:val="0"/>
                <w:w w:val="100"/>
                <w:position w:val="0"/>
                <w:sz w:val="21"/>
                <w:szCs w:val="21"/>
              </w:rPr>
              <w:t>六价</w:t>
            </w:r>
            <w:r>
              <w:rPr>
                <w:rFonts w:hint="default" w:ascii="Times New Roman" w:hAnsi="Times New Roman" w:cs="Times New Roman"/>
                <w:color w:val="auto"/>
                <w:spacing w:val="0"/>
                <w:w w:val="100"/>
                <w:position w:val="0"/>
                <w:sz w:val="21"/>
                <w:szCs w:val="21"/>
                <w:lang w:eastAsia="zh-CN"/>
              </w:rPr>
              <w:t>铬</w:t>
            </w:r>
          </w:p>
        </w:tc>
        <w:tc>
          <w:tcPr>
            <w:tcW w:w="3780"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土壤和沉积物六价</w:t>
            </w:r>
            <w:r>
              <w:rPr>
                <w:rFonts w:hint="default" w:ascii="Times New Roman" w:hAnsi="Times New Roman" w:cs="Times New Roman"/>
                <w:color w:val="auto"/>
                <w:spacing w:val="0"/>
                <w:w w:val="100"/>
                <w:position w:val="0"/>
                <w:sz w:val="21"/>
                <w:szCs w:val="21"/>
                <w:lang w:eastAsia="zh-CN"/>
              </w:rPr>
              <w:t>铬</w:t>
            </w:r>
            <w:r>
              <w:rPr>
                <w:rFonts w:hint="default" w:ascii="Times New Roman" w:hAnsi="Times New Roman" w:cs="Times New Roman"/>
                <w:color w:val="auto"/>
                <w:spacing w:val="0"/>
                <w:w w:val="100"/>
                <w:position w:val="0"/>
                <w:sz w:val="21"/>
                <w:szCs w:val="21"/>
              </w:rPr>
              <w:t>的测定碱溶液提取- 火焰原子吸收分光光度法</w:t>
            </w:r>
            <w:r>
              <w:rPr>
                <w:rFonts w:hint="default" w:ascii="Times New Roman" w:hAnsi="Times New Roman" w:eastAsia="Times New Roman" w:cs="Times New Roman"/>
                <w:color w:val="auto"/>
                <w:spacing w:val="0"/>
                <w:w w:val="100"/>
                <w:position w:val="0"/>
                <w:sz w:val="21"/>
                <w:szCs w:val="21"/>
                <w:lang w:val="en-US" w:eastAsia="en-US" w:bidi="en-US"/>
              </w:rPr>
              <w:t>HJ 1082-2019</w:t>
            </w:r>
          </w:p>
        </w:tc>
        <w:tc>
          <w:tcPr>
            <w:tcW w:w="2160"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原子吸收分光光度计</w:t>
            </w:r>
          </w:p>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lang w:val="en-US" w:eastAsia="en-US" w:bidi="en-US"/>
              </w:rPr>
              <w:t xml:space="preserve">TAS-990AFG </w:t>
            </w:r>
            <w:r>
              <w:rPr>
                <w:rFonts w:hint="default" w:ascii="Times New Roman" w:hAnsi="Times New Roman" w:cs="Times New Roman"/>
                <w:color w:val="auto"/>
                <w:spacing w:val="0"/>
                <w:w w:val="100"/>
                <w:position w:val="0"/>
                <w:sz w:val="21"/>
                <w:szCs w:val="21"/>
              </w:rPr>
              <w:t>型</w:t>
            </w:r>
          </w:p>
        </w:tc>
        <w:tc>
          <w:tcPr>
            <w:tcW w:w="1065"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lang w:val="en-US" w:eastAsia="en-US" w:bidi="en-US"/>
              </w:rPr>
              <w:t>A-1-003</w:t>
            </w:r>
          </w:p>
        </w:tc>
        <w:tc>
          <w:tcPr>
            <w:tcW w:w="1243"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pacing w:val="0"/>
                <w:w w:val="100"/>
                <w:position w:val="0"/>
                <w:sz w:val="21"/>
                <w:szCs w:val="21"/>
                <w:lang w:val="en-US" w:eastAsia="en-US" w:bidi="en-US"/>
              </w:rPr>
            </w:pPr>
            <w:r>
              <w:rPr>
                <w:rFonts w:hint="default" w:ascii="Times New Roman" w:hAnsi="Times New Roman" w:cs="Times New Roman"/>
                <w:color w:val="auto"/>
                <w:sz w:val="21"/>
                <w:szCs w:val="21"/>
              </w:rPr>
              <w:t>2mg/kg</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802" w:hRule="exact"/>
          <w:jc w:val="center"/>
        </w:trPr>
        <w:tc>
          <w:tcPr>
            <w:tcW w:w="586" w:type="dxa"/>
            <w:tcBorders>
              <w:top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11</w:t>
            </w:r>
          </w:p>
        </w:tc>
        <w:tc>
          <w:tcPr>
            <w:tcW w:w="775"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挥发性有机物</w:t>
            </w:r>
          </w:p>
        </w:tc>
        <w:tc>
          <w:tcPr>
            <w:tcW w:w="3780"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土壤和沉积物挥发性有机物的测定 吹扫捕集/气相色谱-质谱法</w:t>
            </w:r>
            <w:r>
              <w:rPr>
                <w:rFonts w:hint="default" w:ascii="Times New Roman" w:hAnsi="Times New Roman" w:eastAsia="Times New Roman" w:cs="Times New Roman"/>
                <w:color w:val="auto"/>
                <w:spacing w:val="0"/>
                <w:w w:val="100"/>
                <w:position w:val="0"/>
                <w:sz w:val="21"/>
                <w:szCs w:val="21"/>
                <w:lang w:val="en-US" w:eastAsia="en-US" w:bidi="en-US"/>
              </w:rPr>
              <w:t>HJ 605-2011</w:t>
            </w:r>
          </w:p>
        </w:tc>
        <w:tc>
          <w:tcPr>
            <w:tcW w:w="2160"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气相色谱-质谱联用仪</w:t>
            </w:r>
          </w:p>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lang w:val="en-US" w:eastAsia="en-US" w:bidi="en-US"/>
              </w:rPr>
              <w:t>Agilent 7890B&amp;5977B</w:t>
            </w:r>
            <w:r>
              <w:rPr>
                <w:rFonts w:hint="default" w:ascii="Times New Roman" w:hAnsi="Times New Roman" w:cs="Times New Roman"/>
                <w:color w:val="auto"/>
                <w:spacing w:val="0"/>
                <w:w w:val="100"/>
                <w:position w:val="0"/>
                <w:sz w:val="21"/>
                <w:szCs w:val="21"/>
              </w:rPr>
              <w:t>型</w:t>
            </w:r>
          </w:p>
        </w:tc>
        <w:tc>
          <w:tcPr>
            <w:tcW w:w="1065"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lang w:val="en-US" w:eastAsia="en-US" w:bidi="en-US"/>
              </w:rPr>
              <w:t>A-1-097</w:t>
            </w:r>
          </w:p>
        </w:tc>
        <w:tc>
          <w:tcPr>
            <w:tcW w:w="1243"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pacing w:val="0"/>
                <w:w w:val="100"/>
                <w:position w:val="0"/>
                <w:sz w:val="21"/>
                <w:szCs w:val="21"/>
                <w:lang w:val="en-US" w:eastAsia="en-US" w:bidi="en-US"/>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837" w:hRule="exact"/>
          <w:jc w:val="center"/>
        </w:trPr>
        <w:tc>
          <w:tcPr>
            <w:tcW w:w="586" w:type="dxa"/>
            <w:tcBorders>
              <w:top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20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Times New Roman" w:cs="Times New Roman"/>
                <w:color w:val="auto"/>
                <w:spacing w:val="0"/>
                <w:w w:val="100"/>
                <w:position w:val="0"/>
                <w:sz w:val="21"/>
                <w:szCs w:val="21"/>
              </w:rPr>
              <w:t>1</w:t>
            </w:r>
            <w:r>
              <w:rPr>
                <w:rFonts w:hint="default" w:ascii="Times New Roman" w:hAnsi="Times New Roman" w:eastAsia="宋体" w:cs="Times New Roman"/>
                <w:color w:val="auto"/>
                <w:spacing w:val="0"/>
                <w:w w:val="100"/>
                <w:position w:val="0"/>
                <w:sz w:val="21"/>
                <w:szCs w:val="21"/>
                <w:lang w:val="en-US" w:eastAsia="zh-CN"/>
              </w:rPr>
              <w:t>2</w:t>
            </w:r>
          </w:p>
        </w:tc>
        <w:tc>
          <w:tcPr>
            <w:tcW w:w="775"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半挥发性 有机物</w:t>
            </w:r>
          </w:p>
        </w:tc>
        <w:tc>
          <w:tcPr>
            <w:tcW w:w="3780"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土壤和沉积物半挥发性有机物的测定 气相色谱-质谱法</w:t>
            </w:r>
            <w:r>
              <w:rPr>
                <w:rFonts w:hint="default" w:ascii="Times New Roman" w:hAnsi="Times New Roman" w:eastAsia="Times New Roman" w:cs="Times New Roman"/>
                <w:color w:val="auto"/>
                <w:spacing w:val="0"/>
                <w:w w:val="100"/>
                <w:position w:val="0"/>
                <w:sz w:val="21"/>
                <w:szCs w:val="21"/>
                <w:lang w:val="en-US" w:eastAsia="en-US" w:bidi="en-US"/>
              </w:rPr>
              <w:t>HJ 834-2017</w:t>
            </w:r>
          </w:p>
        </w:tc>
        <w:tc>
          <w:tcPr>
            <w:tcW w:w="2160"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气相色谱-质谱联用仪</w:t>
            </w:r>
          </w:p>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lang w:val="en-US" w:eastAsia="en-US" w:bidi="en-US"/>
              </w:rPr>
              <w:t>Agilent 7890B&amp;5977B</w:t>
            </w:r>
            <w:r>
              <w:rPr>
                <w:rFonts w:hint="default" w:ascii="Times New Roman" w:hAnsi="Times New Roman" w:cs="Times New Roman"/>
                <w:color w:val="auto"/>
                <w:spacing w:val="0"/>
                <w:w w:val="100"/>
                <w:position w:val="0"/>
                <w:sz w:val="21"/>
                <w:szCs w:val="21"/>
              </w:rPr>
              <w:t>型</w:t>
            </w:r>
          </w:p>
        </w:tc>
        <w:tc>
          <w:tcPr>
            <w:tcW w:w="1065"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lang w:val="en-US" w:eastAsia="en-US" w:bidi="en-US"/>
              </w:rPr>
              <w:t>A-1-100</w:t>
            </w:r>
          </w:p>
        </w:tc>
        <w:tc>
          <w:tcPr>
            <w:tcW w:w="1243" w:type="dxa"/>
            <w:tcBorders>
              <w:top w:val="single" w:color="auto" w:sz="4" w:space="0"/>
              <w:left w:val="single" w:color="auto" w:sz="4" w:space="0"/>
            </w:tcBorders>
            <w:shd w:val="clear" w:color="auto" w:fill="FFFFFF"/>
            <w:vAlign w:val="center"/>
          </w:tcPr>
          <w:p>
            <w:pPr>
              <w:pStyle w:val="73"/>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pacing w:val="0"/>
                <w:w w:val="100"/>
                <w:position w:val="0"/>
                <w:sz w:val="21"/>
                <w:szCs w:val="21"/>
                <w:lang w:val="en-US" w:eastAsia="en-US" w:bidi="en-US"/>
              </w:rPr>
            </w:pPr>
          </w:p>
        </w:tc>
      </w:tr>
    </w:tbl>
    <w:p>
      <w:pPr>
        <w:pStyle w:val="39"/>
        <w:keepNext w:val="0"/>
        <w:keepLines w:val="0"/>
        <w:pageBreakBefore w:val="0"/>
        <w:widowControl w:val="0"/>
        <w:numPr>
          <w:ilvl w:val="0"/>
          <w:numId w:val="11"/>
        </w:numPr>
        <w:kinsoku/>
        <w:wordWrap/>
        <w:overflowPunct/>
        <w:topLinePunct w:val="0"/>
        <w:autoSpaceDE/>
        <w:autoSpaceDN/>
        <w:bidi w:val="0"/>
        <w:adjustRightInd/>
        <w:snapToGrid/>
        <w:spacing w:before="157" w:beforeLines="50"/>
        <w:textAlignment w:val="auto"/>
        <w:outlineLvl w:val="9"/>
        <w:rPr>
          <w:rFonts w:hint="default" w:ascii="Times New Roman" w:hAnsi="Times New Roman" w:cs="Times New Roman"/>
          <w:color w:val="auto"/>
        </w:rPr>
      </w:pPr>
      <w:r>
        <w:rPr>
          <w:rFonts w:hint="default" w:ascii="Times New Roman" w:hAnsi="Times New Roman" w:cs="Times New Roman"/>
          <w:color w:val="auto"/>
        </w:rPr>
        <w:t>评价方法 采用单项标准指数法进行评价，其计算公式如下：</w:t>
      </w:r>
    </w:p>
    <w:p>
      <w:pPr>
        <w:pStyle w:val="39"/>
        <w:numPr>
          <w:ilvl w:val="0"/>
          <w:numId w:val="0"/>
        </w:numPr>
        <w:bidi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position w:val="-30"/>
          <w:lang w:eastAsia="zh-CN"/>
        </w:rPr>
        <w:object>
          <v:shape id="_x0000_i1028" o:spt="75" type="#_x0000_t75" style="height:34pt;width:41pt;" o:ole="t" filled="f" o:preferrelative="t" stroked="f" coordsize="21600,21600">
            <v:path/>
            <v:fill on="f" focussize="0,0"/>
            <v:stroke on="f"/>
            <v:imagedata r:id="rId47" o:title=""/>
            <o:lock v:ext="edit" aspectratio="t"/>
            <w10:wrap type="none"/>
            <w10:anchorlock/>
          </v:shape>
          <o:OLEObject Type="Embed" ProgID="Equation.KSEE3" ShapeID="_x0000_i1028" DrawAspect="Content" ObjectID="_1468075728" r:id="rId46">
            <o:LockedField>false</o:LockedField>
          </o:OLEObject>
        </w:object>
      </w:r>
    </w:p>
    <w:p>
      <w:pPr>
        <w:pStyle w:val="39"/>
        <w:bidi w:val="0"/>
        <w:rPr>
          <w:rFonts w:hint="default" w:ascii="Times New Roman" w:hAnsi="Times New Roman" w:cs="Times New Roman"/>
          <w:color w:val="auto"/>
        </w:rPr>
      </w:pPr>
      <w:r>
        <w:rPr>
          <w:rFonts w:hint="default" w:ascii="Times New Roman" w:hAnsi="Times New Roman" w:cs="Times New Roman"/>
          <w:color w:val="auto"/>
        </w:rPr>
        <w:t>式中：</w:t>
      </w:r>
    </w:p>
    <w:p>
      <w:pPr>
        <w:pStyle w:val="39"/>
        <w:bidi w:val="0"/>
        <w:rPr>
          <w:rFonts w:hint="default" w:ascii="Times New Roman" w:hAnsi="Times New Roman" w:eastAsia="宋体" w:cs="Times New Roman"/>
          <w:color w:val="auto"/>
          <w:lang w:eastAsia="zh-CN"/>
        </w:rPr>
      </w:pPr>
      <w:r>
        <w:rPr>
          <w:rFonts w:hint="default" w:ascii="Times New Roman" w:hAnsi="Times New Roman" w:cs="Times New Roman"/>
          <w:color w:val="auto"/>
        </w:rPr>
        <w:t>I</w:t>
      </w:r>
      <w:r>
        <w:rPr>
          <w:rFonts w:hint="default" w:ascii="Times New Roman" w:hAnsi="Times New Roman" w:cs="Times New Roman"/>
          <w:color w:val="auto"/>
          <w:vertAlign w:val="subscript"/>
        </w:rPr>
        <w:t>i</w:t>
      </w:r>
      <w:r>
        <w:rPr>
          <w:rFonts w:hint="default" w:ascii="Times New Roman" w:hAnsi="Times New Roman" w:cs="Times New Roman"/>
          <w:color w:val="auto"/>
          <w:lang w:eastAsia="zh-CN"/>
        </w:rPr>
        <w:t>——</w:t>
      </w:r>
      <w:r>
        <w:rPr>
          <w:rFonts w:hint="default" w:ascii="Times New Roman" w:hAnsi="Times New Roman" w:cs="Times New Roman"/>
          <w:color w:val="auto"/>
        </w:rPr>
        <w:t>某污染物的单项质量指数；</w:t>
      </w:r>
    </w:p>
    <w:p>
      <w:pPr>
        <w:pStyle w:val="39"/>
        <w:bidi w:val="0"/>
        <w:rPr>
          <w:rFonts w:hint="default" w:ascii="Times New Roman" w:hAnsi="Times New Roman" w:cs="Times New Roman"/>
          <w:color w:val="auto"/>
        </w:rPr>
      </w:pPr>
      <w:r>
        <w:rPr>
          <w:rFonts w:hint="default" w:ascii="Times New Roman" w:hAnsi="Times New Roman" w:cs="Times New Roman"/>
          <w:color w:val="auto"/>
        </w:rPr>
        <w:t>C</w:t>
      </w:r>
      <w:r>
        <w:rPr>
          <w:rFonts w:hint="default" w:ascii="Times New Roman" w:hAnsi="Times New Roman" w:cs="Times New Roman"/>
          <w:color w:val="auto"/>
          <w:vertAlign w:val="subscript"/>
        </w:rPr>
        <w:t>i</w:t>
      </w:r>
      <w:r>
        <w:rPr>
          <w:rFonts w:hint="default" w:ascii="Times New Roman" w:hAnsi="Times New Roman" w:cs="Times New Roman"/>
          <w:color w:val="auto"/>
          <w:lang w:eastAsia="zh-CN"/>
        </w:rPr>
        <w:t>——</w:t>
      </w:r>
      <w:r>
        <w:rPr>
          <w:rFonts w:hint="default" w:ascii="Times New Roman" w:hAnsi="Times New Roman" w:cs="Times New Roman"/>
          <w:color w:val="auto"/>
        </w:rPr>
        <w:t>某污染物的实测浓度，mg/m</w:t>
      </w:r>
      <w:r>
        <w:rPr>
          <w:rFonts w:hint="default" w:ascii="Times New Roman" w:hAnsi="Times New Roman" w:cs="Times New Roman"/>
          <w:color w:val="auto"/>
          <w:vertAlign w:val="superscript"/>
        </w:rPr>
        <w:t>3</w:t>
      </w:r>
      <w:r>
        <w:rPr>
          <w:rFonts w:hint="default" w:ascii="Times New Roman" w:hAnsi="Times New Roman" w:cs="Times New Roman"/>
          <w:color w:val="auto"/>
        </w:rPr>
        <w:t xml:space="preserve">； </w:t>
      </w:r>
    </w:p>
    <w:p>
      <w:pPr>
        <w:pStyle w:val="39"/>
        <w:bidi w:val="0"/>
        <w:rPr>
          <w:rFonts w:hint="default" w:ascii="Times New Roman" w:hAnsi="Times New Roman" w:cs="Times New Roman"/>
          <w:color w:val="auto"/>
        </w:rPr>
      </w:pPr>
      <w:r>
        <w:rPr>
          <w:rFonts w:hint="default" w:ascii="Times New Roman" w:hAnsi="Times New Roman" w:cs="Times New Roman"/>
          <w:color w:val="auto"/>
        </w:rPr>
        <w:t>C</w:t>
      </w:r>
      <w:r>
        <w:rPr>
          <w:rFonts w:hint="default" w:ascii="Times New Roman" w:hAnsi="Times New Roman" w:cs="Times New Roman"/>
          <w:color w:val="auto"/>
          <w:vertAlign w:val="subscript"/>
          <w:lang w:val="en-US" w:eastAsia="zh-CN"/>
        </w:rPr>
        <w:t>0</w:t>
      </w:r>
      <w:r>
        <w:rPr>
          <w:rFonts w:hint="default" w:ascii="Times New Roman" w:hAnsi="Times New Roman" w:cs="Times New Roman"/>
          <w:color w:val="auto"/>
          <w:vertAlign w:val="subscript"/>
        </w:rPr>
        <w:t>i</w:t>
      </w:r>
      <w:r>
        <w:rPr>
          <w:rFonts w:hint="default" w:ascii="Times New Roman" w:hAnsi="Times New Roman" w:cs="Times New Roman"/>
          <w:color w:val="auto"/>
          <w:lang w:eastAsia="zh-CN"/>
        </w:rPr>
        <w:t>——</w:t>
      </w:r>
      <w:r>
        <w:rPr>
          <w:rFonts w:hint="default" w:ascii="Times New Roman" w:hAnsi="Times New Roman" w:cs="Times New Roman"/>
          <w:color w:val="auto"/>
        </w:rPr>
        <w:t>某污染物的评价标准，mg/m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pStyle w:val="39"/>
        <w:bidi w:val="0"/>
        <w:rPr>
          <w:rFonts w:hint="default" w:ascii="Times New Roman" w:hAnsi="Times New Roman" w:cs="Times New Roman"/>
          <w:color w:val="auto"/>
        </w:rPr>
      </w:pPr>
      <w:r>
        <w:rPr>
          <w:rFonts w:hint="default" w:ascii="Times New Roman" w:hAnsi="Times New Roman" w:cs="Times New Roman"/>
          <w:color w:val="auto"/>
        </w:rPr>
        <w:t>当I</w:t>
      </w:r>
      <w:r>
        <w:rPr>
          <w:rFonts w:hint="default" w:ascii="Times New Roman" w:hAnsi="Times New Roman" w:cs="Times New Roman"/>
          <w:color w:val="auto"/>
          <w:vertAlign w:val="subscript"/>
        </w:rPr>
        <w:t>i</w:t>
      </w:r>
      <w:r>
        <w:rPr>
          <w:rFonts w:hint="default" w:ascii="Times New Roman" w:hAnsi="Times New Roman" w:cs="Times New Roman"/>
          <w:color w:val="auto"/>
          <w:lang w:eastAsia="zh-CN"/>
        </w:rPr>
        <w:t>≧</w:t>
      </w:r>
      <w:r>
        <w:rPr>
          <w:rFonts w:hint="default" w:ascii="Times New Roman" w:hAnsi="Times New Roman" w:cs="Times New Roman"/>
          <w:color w:val="auto"/>
        </w:rPr>
        <w:t>1时，表示i污染物超标，I</w:t>
      </w:r>
      <w:r>
        <w:rPr>
          <w:rFonts w:hint="default" w:ascii="Times New Roman" w:hAnsi="Times New Roman" w:cs="Times New Roman"/>
          <w:color w:val="auto"/>
          <w:vertAlign w:val="subscript"/>
        </w:rPr>
        <w:t>i</w:t>
      </w:r>
      <w:r>
        <w:rPr>
          <w:rFonts w:hint="default" w:ascii="Times New Roman" w:hAnsi="Times New Roman" w:cs="Times New Roman"/>
          <w:color w:val="auto"/>
        </w:rPr>
        <w:t>＜1时，表示i污染物未超标。</w:t>
      </w:r>
    </w:p>
    <w:p>
      <w:pPr>
        <w:pStyle w:val="39"/>
        <w:numPr>
          <w:ilvl w:val="0"/>
          <w:numId w:val="11"/>
        </w:numPr>
        <w:bidi w:val="0"/>
        <w:ind w:left="0" w:leftChars="0" w:firstLine="480" w:firstLineChars="200"/>
        <w:rPr>
          <w:rFonts w:hint="default" w:ascii="Times New Roman" w:hAnsi="Times New Roman" w:cs="Times New Roman"/>
          <w:color w:val="auto"/>
        </w:rPr>
      </w:pPr>
      <w:r>
        <w:rPr>
          <w:rFonts w:hint="default" w:ascii="Times New Roman" w:hAnsi="Times New Roman" w:cs="Times New Roman"/>
          <w:color w:val="auto"/>
        </w:rPr>
        <w:t xml:space="preserve">评价结果：本次土壤监测结果及评价见表 </w:t>
      </w:r>
      <w:r>
        <w:rPr>
          <w:rFonts w:hint="default" w:ascii="Times New Roman" w:hAnsi="Times New Roman" w:cs="Times New Roman"/>
          <w:color w:val="auto"/>
          <w:lang w:val="en-US" w:eastAsia="zh-CN"/>
        </w:rPr>
        <w:t>5-15</w:t>
      </w:r>
      <w:r>
        <w:rPr>
          <w:rFonts w:hint="default" w:ascii="Times New Roman" w:hAnsi="Times New Roman" w:cs="Times New Roman"/>
          <w:color w:val="auto"/>
        </w:rPr>
        <w:t>。</w:t>
      </w:r>
    </w:p>
    <w:p>
      <w:pPr>
        <w:pStyle w:val="14"/>
        <w:bidi w:val="0"/>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rPr>
        <w:t xml:space="preserve">表 </w:t>
      </w:r>
      <w:r>
        <w:rPr>
          <w:rFonts w:hint="default" w:ascii="Times New Roman" w:hAnsi="Times New Roman" w:cs="Times New Roman"/>
          <w:color w:val="auto"/>
          <w:u w:val="single"/>
        </w:rPr>
        <w:fldChar w:fldCharType="begin"/>
      </w:r>
      <w:r>
        <w:rPr>
          <w:rFonts w:hint="default" w:ascii="Times New Roman" w:hAnsi="Times New Roman" w:cs="Times New Roman"/>
          <w:color w:val="auto"/>
          <w:u w:val="single"/>
        </w:rPr>
        <w:instrText xml:space="preserve"> STYLEREF 1 \s </w:instrText>
      </w:r>
      <w:r>
        <w:rPr>
          <w:rFonts w:hint="default" w:ascii="Times New Roman" w:hAnsi="Times New Roman" w:cs="Times New Roman"/>
          <w:color w:val="auto"/>
          <w:u w:val="single"/>
        </w:rPr>
        <w:fldChar w:fldCharType="separate"/>
      </w:r>
      <w:r>
        <w:rPr>
          <w:rFonts w:hint="default" w:ascii="Times New Roman" w:hAnsi="Times New Roman" w:cs="Times New Roman"/>
          <w:color w:val="auto"/>
          <w:u w:val="single"/>
        </w:rPr>
        <w:t>5</w:t>
      </w:r>
      <w:r>
        <w:rPr>
          <w:rFonts w:hint="default" w:ascii="Times New Roman" w:hAnsi="Times New Roman" w:cs="Times New Roman"/>
          <w:color w:val="auto"/>
          <w:u w:val="single"/>
        </w:rPr>
        <w:fldChar w:fldCharType="end"/>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fldChar w:fldCharType="begin"/>
      </w:r>
      <w:r>
        <w:rPr>
          <w:rFonts w:hint="default" w:ascii="Times New Roman" w:hAnsi="Times New Roman" w:cs="Times New Roman"/>
          <w:color w:val="auto"/>
          <w:u w:val="single"/>
        </w:rPr>
        <w:instrText xml:space="preserve"> SEQ 表 \* ARABIC \s 1 </w:instrText>
      </w:r>
      <w:r>
        <w:rPr>
          <w:rFonts w:hint="default" w:ascii="Times New Roman" w:hAnsi="Times New Roman" w:cs="Times New Roman"/>
          <w:color w:val="auto"/>
          <w:u w:val="single"/>
        </w:rPr>
        <w:fldChar w:fldCharType="separate"/>
      </w:r>
      <w:r>
        <w:rPr>
          <w:rFonts w:hint="default" w:ascii="Times New Roman" w:hAnsi="Times New Roman" w:cs="Times New Roman"/>
          <w:color w:val="auto"/>
          <w:u w:val="single"/>
        </w:rPr>
        <w:t>1</w:t>
      </w:r>
      <w:r>
        <w:rPr>
          <w:rFonts w:hint="default" w:ascii="Times New Roman" w:hAnsi="Times New Roman" w:cs="Times New Roman"/>
          <w:color w:val="auto"/>
          <w:u w:val="single"/>
          <w:lang w:val="en-US" w:eastAsia="zh-CN"/>
        </w:rPr>
        <w:t>5</w:t>
      </w:r>
      <w:r>
        <w:rPr>
          <w:rFonts w:hint="default" w:ascii="Times New Roman" w:hAnsi="Times New Roman" w:cs="Times New Roman"/>
          <w:color w:val="auto"/>
          <w:u w:val="single"/>
        </w:rPr>
        <w:fldChar w:fldCharType="end"/>
      </w:r>
      <w:r>
        <w:rPr>
          <w:rFonts w:hint="default" w:ascii="Times New Roman" w:hAnsi="Times New Roman" w:cs="Times New Roman"/>
          <w:color w:val="auto"/>
          <w:u w:val="single"/>
          <w:lang w:val="en-US" w:eastAsia="zh-CN"/>
        </w:rPr>
        <w:t xml:space="preserve"> 厂区内土壤重金属监测结果及评价（一） 单位：mg/kg，pH 无量纲</w:t>
      </w:r>
    </w:p>
    <w:tbl>
      <w:tblPr>
        <w:tblStyle w:val="24"/>
        <w:tblW w:w="957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15"/>
        <w:gridCol w:w="780"/>
        <w:gridCol w:w="924"/>
        <w:gridCol w:w="855"/>
        <w:gridCol w:w="840"/>
        <w:gridCol w:w="735"/>
        <w:gridCol w:w="1193"/>
        <w:gridCol w:w="960"/>
        <w:gridCol w:w="960"/>
        <w:gridCol w:w="1027"/>
        <w:gridCol w:w="68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615"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检测</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780"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监测点位</w:t>
            </w:r>
          </w:p>
        </w:tc>
        <w:tc>
          <w:tcPr>
            <w:tcW w:w="7494" w:type="dxa"/>
            <w:gridSpan w:val="8"/>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厂区内</w:t>
            </w:r>
          </w:p>
        </w:tc>
        <w:tc>
          <w:tcPr>
            <w:tcW w:w="685"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标准</w:t>
            </w:r>
            <w:r>
              <w:rPr>
                <w:rFonts w:hint="default" w:ascii="Times New Roman" w:hAnsi="Times New Roman" w:cs="Times New Roman"/>
                <w:color w:val="auto"/>
                <w:sz w:val="21"/>
                <w:szCs w:val="21"/>
                <w:lang w:eastAsia="zh-CN"/>
              </w:rPr>
              <w:t>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61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780"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92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T1</w:t>
            </w:r>
          </w:p>
        </w:tc>
        <w:tc>
          <w:tcPr>
            <w:tcW w:w="2430" w:type="dxa"/>
            <w:gridSpan w:val="3"/>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w:t>
            </w:r>
            <w:r>
              <w:rPr>
                <w:rFonts w:hint="default" w:ascii="Times New Roman" w:hAnsi="Times New Roman" w:cs="Times New Roman"/>
                <w:color w:val="auto"/>
                <w:sz w:val="21"/>
                <w:szCs w:val="21"/>
                <w:lang w:val="en-US" w:eastAsia="zh-CN"/>
              </w:rPr>
              <w:t>2</w:t>
            </w:r>
          </w:p>
        </w:tc>
        <w:tc>
          <w:tcPr>
            <w:tcW w:w="2153" w:type="dxa"/>
            <w:gridSpan w:val="2"/>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T</w:t>
            </w:r>
            <w:r>
              <w:rPr>
                <w:rFonts w:hint="default" w:ascii="Times New Roman" w:hAnsi="Times New Roman" w:cs="Times New Roman"/>
                <w:color w:val="auto"/>
                <w:sz w:val="21"/>
                <w:szCs w:val="21"/>
                <w:lang w:val="en-US" w:eastAsia="zh-CN"/>
              </w:rPr>
              <w:t>3</w:t>
            </w:r>
          </w:p>
        </w:tc>
        <w:tc>
          <w:tcPr>
            <w:tcW w:w="1987" w:type="dxa"/>
            <w:gridSpan w:val="2"/>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T</w:t>
            </w:r>
            <w:r>
              <w:rPr>
                <w:rFonts w:hint="default" w:ascii="Times New Roman" w:hAnsi="Times New Roman" w:cs="Times New Roman"/>
                <w:color w:val="auto"/>
                <w:sz w:val="21"/>
                <w:szCs w:val="21"/>
                <w:lang w:val="en-US" w:eastAsia="zh-CN"/>
              </w:rPr>
              <w:t>4</w:t>
            </w:r>
          </w:p>
        </w:tc>
        <w:tc>
          <w:tcPr>
            <w:tcW w:w="68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7" w:hRule="exact"/>
          <w:jc w:val="center"/>
        </w:trPr>
        <w:tc>
          <w:tcPr>
            <w:tcW w:w="61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sz w:val="21"/>
                <w:szCs w:val="21"/>
              </w:rPr>
            </w:pPr>
          </w:p>
        </w:tc>
        <w:tc>
          <w:tcPr>
            <w:tcW w:w="780"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sz w:val="21"/>
                <w:szCs w:val="21"/>
              </w:rPr>
            </w:pPr>
          </w:p>
        </w:tc>
        <w:tc>
          <w:tcPr>
            <w:tcW w:w="92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厂区内西南侧</w:t>
            </w:r>
          </w:p>
        </w:tc>
        <w:tc>
          <w:tcPr>
            <w:tcW w:w="2430" w:type="dxa"/>
            <w:gridSpan w:val="3"/>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厂区内</w:t>
            </w:r>
            <w:r>
              <w:rPr>
                <w:rFonts w:hint="default" w:ascii="Times New Roman" w:hAnsi="Times New Roman" w:cs="Times New Roman"/>
                <w:color w:val="auto"/>
                <w:sz w:val="21"/>
                <w:szCs w:val="21"/>
                <w:lang w:val="en-US" w:eastAsia="zh-CN"/>
              </w:rPr>
              <w:t>西侧柱状样</w:t>
            </w:r>
          </w:p>
        </w:tc>
        <w:tc>
          <w:tcPr>
            <w:tcW w:w="2153" w:type="dxa"/>
            <w:gridSpan w:val="2"/>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厂区内</w:t>
            </w:r>
            <w:r>
              <w:rPr>
                <w:rFonts w:hint="default" w:ascii="Times New Roman" w:hAnsi="Times New Roman" w:cs="Times New Roman"/>
                <w:color w:val="auto"/>
                <w:sz w:val="21"/>
                <w:szCs w:val="21"/>
                <w:lang w:val="en-US" w:eastAsia="zh-CN"/>
              </w:rPr>
              <w:t>西北侧柱状样</w:t>
            </w:r>
          </w:p>
        </w:tc>
        <w:tc>
          <w:tcPr>
            <w:tcW w:w="1987" w:type="dxa"/>
            <w:gridSpan w:val="2"/>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厂区内车间挖掘地基北部</w:t>
            </w:r>
            <w:r>
              <w:rPr>
                <w:rFonts w:hint="default" w:ascii="Times New Roman" w:hAnsi="Times New Roman" w:cs="Times New Roman"/>
                <w:color w:val="auto"/>
                <w:sz w:val="21"/>
                <w:szCs w:val="21"/>
                <w:lang w:val="en-US" w:eastAsia="zh-CN"/>
              </w:rPr>
              <w:t>柱状样</w:t>
            </w:r>
          </w:p>
        </w:tc>
        <w:tc>
          <w:tcPr>
            <w:tcW w:w="68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7" w:hRule="exact"/>
          <w:jc w:val="center"/>
        </w:trPr>
        <w:tc>
          <w:tcPr>
            <w:tcW w:w="61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780"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92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表层</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0.2m)</w:t>
            </w:r>
          </w:p>
        </w:tc>
        <w:tc>
          <w:tcPr>
            <w:tcW w:w="8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表层</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0.2m)</w:t>
            </w:r>
          </w:p>
        </w:tc>
        <w:tc>
          <w:tcPr>
            <w:tcW w:w="84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中层</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1.2m)</w:t>
            </w:r>
          </w:p>
        </w:tc>
        <w:tc>
          <w:tcPr>
            <w:tcW w:w="73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底层</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2.5m)</w:t>
            </w:r>
          </w:p>
        </w:tc>
        <w:tc>
          <w:tcPr>
            <w:tcW w:w="119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表层</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0.2m)</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中</w:t>
            </w:r>
            <w:r>
              <w:rPr>
                <w:rFonts w:hint="default" w:ascii="Times New Roman" w:hAnsi="Times New Roman" w:cs="Times New Roman"/>
                <w:color w:val="auto"/>
                <w:sz w:val="21"/>
                <w:szCs w:val="21"/>
              </w:rPr>
              <w:t>层</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.2m)</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表层</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0.2m)</w:t>
            </w:r>
          </w:p>
        </w:tc>
        <w:tc>
          <w:tcPr>
            <w:tcW w:w="102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中层</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1.2m)</w:t>
            </w:r>
          </w:p>
        </w:tc>
        <w:tc>
          <w:tcPr>
            <w:tcW w:w="68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615"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w:t>
            </w:r>
          </w:p>
        </w:tc>
        <w:tc>
          <w:tcPr>
            <w:tcW w:w="78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监测结果</w:t>
            </w:r>
          </w:p>
        </w:tc>
        <w:tc>
          <w:tcPr>
            <w:tcW w:w="92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5.13</w:t>
            </w:r>
          </w:p>
        </w:tc>
        <w:tc>
          <w:tcPr>
            <w:tcW w:w="8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6.4</w:t>
            </w:r>
          </w:p>
        </w:tc>
        <w:tc>
          <w:tcPr>
            <w:tcW w:w="84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5.08</w:t>
            </w:r>
          </w:p>
        </w:tc>
        <w:tc>
          <w:tcPr>
            <w:tcW w:w="73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4.22</w:t>
            </w:r>
          </w:p>
        </w:tc>
        <w:tc>
          <w:tcPr>
            <w:tcW w:w="119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4.16</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7.48</w:t>
            </w:r>
          </w:p>
        </w:tc>
        <w:tc>
          <w:tcPr>
            <w:tcW w:w="960" w:type="dxa"/>
            <w:tcBorders>
              <w:tl2br w:val="nil"/>
              <w:tr2bl w:val="nil"/>
            </w:tcBorders>
            <w:vAlign w:val="center"/>
          </w:tcPr>
          <w:p>
            <w:pPr>
              <w:pStyle w:val="1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7.69</w:t>
            </w:r>
          </w:p>
        </w:tc>
        <w:tc>
          <w:tcPr>
            <w:tcW w:w="102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7.53</w:t>
            </w:r>
          </w:p>
        </w:tc>
        <w:tc>
          <w:tcPr>
            <w:tcW w:w="685"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61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78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标准指数</w:t>
            </w:r>
          </w:p>
        </w:tc>
        <w:tc>
          <w:tcPr>
            <w:tcW w:w="92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8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84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3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9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102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68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615"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镉</w:t>
            </w:r>
          </w:p>
        </w:tc>
        <w:tc>
          <w:tcPr>
            <w:tcW w:w="78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监测结果</w:t>
            </w:r>
          </w:p>
        </w:tc>
        <w:tc>
          <w:tcPr>
            <w:tcW w:w="92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0.22</w:t>
            </w:r>
          </w:p>
        </w:tc>
        <w:tc>
          <w:tcPr>
            <w:tcW w:w="8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0.2</w:t>
            </w:r>
            <w:r>
              <w:rPr>
                <w:rFonts w:hint="default" w:ascii="Times New Roman" w:hAnsi="Times New Roman" w:cs="Times New Roman"/>
                <w:color w:val="auto"/>
                <w:sz w:val="21"/>
                <w:szCs w:val="21"/>
                <w:lang w:val="en-US" w:eastAsia="zh-CN"/>
              </w:rPr>
              <w:t>8</w:t>
            </w:r>
          </w:p>
        </w:tc>
        <w:tc>
          <w:tcPr>
            <w:tcW w:w="84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0.24</w:t>
            </w:r>
          </w:p>
        </w:tc>
        <w:tc>
          <w:tcPr>
            <w:tcW w:w="73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0.29</w:t>
            </w:r>
          </w:p>
        </w:tc>
        <w:tc>
          <w:tcPr>
            <w:tcW w:w="119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0.26</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0.05</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0.07</w:t>
            </w:r>
          </w:p>
        </w:tc>
        <w:tc>
          <w:tcPr>
            <w:tcW w:w="102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0.06</w:t>
            </w:r>
          </w:p>
        </w:tc>
        <w:tc>
          <w:tcPr>
            <w:tcW w:w="685"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61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78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标准指数</w:t>
            </w:r>
          </w:p>
        </w:tc>
        <w:tc>
          <w:tcPr>
            <w:tcW w:w="92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0.011</w:t>
            </w:r>
          </w:p>
        </w:tc>
        <w:tc>
          <w:tcPr>
            <w:tcW w:w="8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0.011</w:t>
            </w:r>
          </w:p>
        </w:tc>
        <w:tc>
          <w:tcPr>
            <w:tcW w:w="84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0.012</w:t>
            </w:r>
          </w:p>
        </w:tc>
        <w:tc>
          <w:tcPr>
            <w:tcW w:w="73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0.01</w:t>
            </w:r>
            <w:r>
              <w:rPr>
                <w:rFonts w:hint="default" w:ascii="Times New Roman" w:hAnsi="Times New Roman" w:cs="Times New Roman"/>
                <w:color w:val="auto"/>
                <w:sz w:val="21"/>
                <w:szCs w:val="21"/>
                <w:lang w:val="en-US" w:eastAsia="zh-CN"/>
              </w:rPr>
              <w:t>5</w:t>
            </w:r>
          </w:p>
        </w:tc>
        <w:tc>
          <w:tcPr>
            <w:tcW w:w="119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0.013</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w:t>
            </w:r>
            <w:r>
              <w:rPr>
                <w:rFonts w:hint="default" w:ascii="Times New Roman" w:hAnsi="Times New Roman" w:cs="Times New Roman"/>
                <w:color w:val="auto"/>
                <w:sz w:val="21"/>
                <w:szCs w:val="21"/>
                <w:lang w:val="en-US" w:eastAsia="zh-CN"/>
              </w:rPr>
              <w:t>035</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w:t>
            </w:r>
            <w:r>
              <w:rPr>
                <w:rFonts w:hint="default" w:ascii="Times New Roman" w:hAnsi="Times New Roman" w:cs="Times New Roman"/>
                <w:color w:val="auto"/>
                <w:sz w:val="21"/>
                <w:szCs w:val="21"/>
                <w:lang w:val="en-US" w:eastAsia="zh-CN"/>
              </w:rPr>
              <w:t>04</w:t>
            </w:r>
          </w:p>
        </w:tc>
        <w:tc>
          <w:tcPr>
            <w:tcW w:w="102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0.004</w:t>
            </w:r>
          </w:p>
        </w:tc>
        <w:tc>
          <w:tcPr>
            <w:tcW w:w="68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615"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汞</w:t>
            </w:r>
          </w:p>
        </w:tc>
        <w:tc>
          <w:tcPr>
            <w:tcW w:w="78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监测结果</w:t>
            </w:r>
          </w:p>
        </w:tc>
        <w:tc>
          <w:tcPr>
            <w:tcW w:w="92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0.169</w:t>
            </w:r>
          </w:p>
        </w:tc>
        <w:tc>
          <w:tcPr>
            <w:tcW w:w="8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268</w:t>
            </w:r>
          </w:p>
        </w:tc>
        <w:tc>
          <w:tcPr>
            <w:tcW w:w="84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0.082</w:t>
            </w:r>
          </w:p>
        </w:tc>
        <w:tc>
          <w:tcPr>
            <w:tcW w:w="73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0.035</w:t>
            </w:r>
          </w:p>
        </w:tc>
        <w:tc>
          <w:tcPr>
            <w:tcW w:w="119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0.035</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0.031</w:t>
            </w:r>
          </w:p>
        </w:tc>
        <w:tc>
          <w:tcPr>
            <w:tcW w:w="960" w:type="dxa"/>
            <w:tcBorders>
              <w:tl2br w:val="nil"/>
              <w:tr2bl w:val="nil"/>
            </w:tcBorders>
            <w:vAlign w:val="center"/>
          </w:tcPr>
          <w:p>
            <w:pPr>
              <w:pStyle w:val="1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0.028</w:t>
            </w:r>
          </w:p>
        </w:tc>
        <w:tc>
          <w:tcPr>
            <w:tcW w:w="102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0.039</w:t>
            </w:r>
          </w:p>
        </w:tc>
        <w:tc>
          <w:tcPr>
            <w:tcW w:w="685"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61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78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标准指数</w:t>
            </w:r>
          </w:p>
        </w:tc>
        <w:tc>
          <w:tcPr>
            <w:tcW w:w="92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0.021</w:t>
            </w:r>
          </w:p>
        </w:tc>
        <w:tc>
          <w:tcPr>
            <w:tcW w:w="8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0.021</w:t>
            </w:r>
          </w:p>
        </w:tc>
        <w:tc>
          <w:tcPr>
            <w:tcW w:w="84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0.010</w:t>
            </w:r>
          </w:p>
        </w:tc>
        <w:tc>
          <w:tcPr>
            <w:tcW w:w="73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w:t>
            </w:r>
          </w:p>
        </w:tc>
        <w:tc>
          <w:tcPr>
            <w:tcW w:w="119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w:t>
            </w:r>
            <w:r>
              <w:rPr>
                <w:rFonts w:hint="default" w:ascii="Times New Roman" w:hAnsi="Times New Roman" w:cs="Times New Roman"/>
                <w:color w:val="auto"/>
                <w:sz w:val="21"/>
                <w:szCs w:val="21"/>
                <w:lang w:val="en-US" w:eastAsia="zh-CN"/>
              </w:rPr>
              <w:t>04</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0.004</w:t>
            </w:r>
          </w:p>
        </w:tc>
        <w:tc>
          <w:tcPr>
            <w:tcW w:w="102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0.005</w:t>
            </w:r>
          </w:p>
        </w:tc>
        <w:tc>
          <w:tcPr>
            <w:tcW w:w="68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615"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砷</w:t>
            </w:r>
          </w:p>
        </w:tc>
        <w:tc>
          <w:tcPr>
            <w:tcW w:w="78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监测结果</w:t>
            </w:r>
          </w:p>
        </w:tc>
        <w:tc>
          <w:tcPr>
            <w:tcW w:w="92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15.7</w:t>
            </w:r>
          </w:p>
        </w:tc>
        <w:tc>
          <w:tcPr>
            <w:tcW w:w="8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15.</w:t>
            </w:r>
            <w:r>
              <w:rPr>
                <w:rFonts w:hint="default" w:ascii="Times New Roman" w:hAnsi="Times New Roman" w:cs="Times New Roman"/>
                <w:color w:val="auto"/>
                <w:sz w:val="21"/>
                <w:szCs w:val="21"/>
                <w:lang w:val="en-US" w:eastAsia="zh-CN"/>
              </w:rPr>
              <w:t>6</w:t>
            </w:r>
            <w:r>
              <w:rPr>
                <w:rFonts w:hint="default" w:ascii="Times New Roman" w:hAnsi="Times New Roman" w:cs="Times New Roman"/>
                <w:color w:val="auto"/>
                <w:sz w:val="21"/>
                <w:szCs w:val="21"/>
              </w:rPr>
              <w:t>7</w:t>
            </w:r>
          </w:p>
        </w:tc>
        <w:tc>
          <w:tcPr>
            <w:tcW w:w="84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10.4</w:t>
            </w:r>
          </w:p>
        </w:tc>
        <w:tc>
          <w:tcPr>
            <w:tcW w:w="73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6.94</w:t>
            </w:r>
          </w:p>
        </w:tc>
        <w:tc>
          <w:tcPr>
            <w:tcW w:w="119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10.7</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9.85</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7.28</w:t>
            </w:r>
          </w:p>
        </w:tc>
        <w:tc>
          <w:tcPr>
            <w:tcW w:w="102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9.87</w:t>
            </w:r>
          </w:p>
        </w:tc>
        <w:tc>
          <w:tcPr>
            <w:tcW w:w="685"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61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78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标准指数</w:t>
            </w:r>
          </w:p>
        </w:tc>
        <w:tc>
          <w:tcPr>
            <w:tcW w:w="92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0.785</w:t>
            </w:r>
          </w:p>
        </w:tc>
        <w:tc>
          <w:tcPr>
            <w:tcW w:w="8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0.785</w:t>
            </w:r>
          </w:p>
        </w:tc>
        <w:tc>
          <w:tcPr>
            <w:tcW w:w="84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0.52</w:t>
            </w:r>
          </w:p>
        </w:tc>
        <w:tc>
          <w:tcPr>
            <w:tcW w:w="73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0.3</w:t>
            </w:r>
            <w:r>
              <w:rPr>
                <w:rFonts w:hint="default" w:ascii="Times New Roman" w:hAnsi="Times New Roman" w:cs="Times New Roman"/>
                <w:color w:val="auto"/>
                <w:sz w:val="21"/>
                <w:szCs w:val="21"/>
                <w:lang w:val="en-US" w:eastAsia="zh-CN"/>
              </w:rPr>
              <w:t>5</w:t>
            </w:r>
          </w:p>
        </w:tc>
        <w:tc>
          <w:tcPr>
            <w:tcW w:w="119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0.535</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0.4</w:t>
            </w:r>
            <w:r>
              <w:rPr>
                <w:rFonts w:hint="default" w:ascii="Times New Roman" w:hAnsi="Times New Roman" w:cs="Times New Roman"/>
                <w:color w:val="auto"/>
                <w:sz w:val="21"/>
                <w:szCs w:val="21"/>
                <w:lang w:val="en-US" w:eastAsia="zh-CN"/>
              </w:rPr>
              <w:t>94</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364</w:t>
            </w:r>
          </w:p>
        </w:tc>
        <w:tc>
          <w:tcPr>
            <w:tcW w:w="102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0.494</w:t>
            </w:r>
          </w:p>
        </w:tc>
        <w:tc>
          <w:tcPr>
            <w:tcW w:w="68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615"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铅</w:t>
            </w:r>
          </w:p>
        </w:tc>
        <w:tc>
          <w:tcPr>
            <w:tcW w:w="78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监测结果</w:t>
            </w:r>
          </w:p>
        </w:tc>
        <w:tc>
          <w:tcPr>
            <w:tcW w:w="92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23</w:t>
            </w:r>
          </w:p>
        </w:tc>
        <w:tc>
          <w:tcPr>
            <w:tcW w:w="8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135</w:t>
            </w:r>
          </w:p>
        </w:tc>
        <w:tc>
          <w:tcPr>
            <w:tcW w:w="84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36</w:t>
            </w:r>
          </w:p>
        </w:tc>
        <w:tc>
          <w:tcPr>
            <w:tcW w:w="73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119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24.0</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24.6</w:t>
            </w:r>
          </w:p>
        </w:tc>
        <w:tc>
          <w:tcPr>
            <w:tcW w:w="102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25.9</w:t>
            </w:r>
          </w:p>
        </w:tc>
        <w:tc>
          <w:tcPr>
            <w:tcW w:w="685"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61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78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标准指数</w:t>
            </w:r>
          </w:p>
        </w:tc>
        <w:tc>
          <w:tcPr>
            <w:tcW w:w="92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0.058</w:t>
            </w:r>
          </w:p>
        </w:tc>
        <w:tc>
          <w:tcPr>
            <w:tcW w:w="8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0.058</w:t>
            </w:r>
          </w:p>
        </w:tc>
        <w:tc>
          <w:tcPr>
            <w:tcW w:w="84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0.09</w:t>
            </w:r>
          </w:p>
        </w:tc>
        <w:tc>
          <w:tcPr>
            <w:tcW w:w="73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0.075</w:t>
            </w:r>
          </w:p>
        </w:tc>
        <w:tc>
          <w:tcPr>
            <w:tcW w:w="119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0.06</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w:t>
            </w:r>
            <w:r>
              <w:rPr>
                <w:rFonts w:hint="default" w:ascii="Times New Roman" w:hAnsi="Times New Roman" w:cs="Times New Roman"/>
                <w:color w:val="auto"/>
                <w:sz w:val="21"/>
                <w:szCs w:val="21"/>
                <w:lang w:val="en-US" w:eastAsia="zh-CN"/>
              </w:rPr>
              <w:t>60</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0.06</w:t>
            </w:r>
            <w:r>
              <w:rPr>
                <w:rFonts w:hint="default" w:ascii="Times New Roman" w:hAnsi="Times New Roman" w:cs="Times New Roman"/>
                <w:color w:val="auto"/>
                <w:sz w:val="21"/>
                <w:szCs w:val="21"/>
                <w:lang w:val="en-US" w:eastAsia="zh-CN"/>
              </w:rPr>
              <w:t>2</w:t>
            </w:r>
          </w:p>
        </w:tc>
        <w:tc>
          <w:tcPr>
            <w:tcW w:w="102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0.065</w:t>
            </w:r>
          </w:p>
        </w:tc>
        <w:tc>
          <w:tcPr>
            <w:tcW w:w="68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615"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总</w:t>
            </w:r>
            <w:r>
              <w:rPr>
                <w:rFonts w:hint="default" w:ascii="Times New Roman" w:hAnsi="Times New Roman" w:cs="Times New Roman"/>
                <w:color w:val="auto"/>
                <w:sz w:val="21"/>
                <w:szCs w:val="21"/>
              </w:rPr>
              <w:t>铬</w:t>
            </w:r>
          </w:p>
        </w:tc>
        <w:tc>
          <w:tcPr>
            <w:tcW w:w="78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监测结果</w:t>
            </w:r>
          </w:p>
        </w:tc>
        <w:tc>
          <w:tcPr>
            <w:tcW w:w="92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58</w:t>
            </w:r>
          </w:p>
        </w:tc>
        <w:tc>
          <w:tcPr>
            <w:tcW w:w="8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129</w:t>
            </w:r>
          </w:p>
        </w:tc>
        <w:tc>
          <w:tcPr>
            <w:tcW w:w="84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46</w:t>
            </w:r>
          </w:p>
        </w:tc>
        <w:tc>
          <w:tcPr>
            <w:tcW w:w="73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46</w:t>
            </w:r>
          </w:p>
        </w:tc>
        <w:tc>
          <w:tcPr>
            <w:tcW w:w="119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102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685"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61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78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标准指数</w:t>
            </w:r>
          </w:p>
        </w:tc>
        <w:tc>
          <w:tcPr>
            <w:tcW w:w="92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8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84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3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9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102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68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615"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铜</w:t>
            </w:r>
          </w:p>
        </w:tc>
        <w:tc>
          <w:tcPr>
            <w:tcW w:w="78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监测结果</w:t>
            </w:r>
          </w:p>
        </w:tc>
        <w:tc>
          <w:tcPr>
            <w:tcW w:w="92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24</w:t>
            </w:r>
          </w:p>
        </w:tc>
        <w:tc>
          <w:tcPr>
            <w:tcW w:w="8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49</w:t>
            </w:r>
          </w:p>
        </w:tc>
        <w:tc>
          <w:tcPr>
            <w:tcW w:w="84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w:t>
            </w:r>
          </w:p>
        </w:tc>
        <w:tc>
          <w:tcPr>
            <w:tcW w:w="73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w:t>
            </w:r>
          </w:p>
        </w:tc>
        <w:tc>
          <w:tcPr>
            <w:tcW w:w="119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32</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23</w:t>
            </w:r>
          </w:p>
        </w:tc>
        <w:tc>
          <w:tcPr>
            <w:tcW w:w="102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32</w:t>
            </w:r>
          </w:p>
        </w:tc>
        <w:tc>
          <w:tcPr>
            <w:tcW w:w="685"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61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78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标准指数</w:t>
            </w:r>
          </w:p>
        </w:tc>
        <w:tc>
          <w:tcPr>
            <w:tcW w:w="92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0.012</w:t>
            </w:r>
          </w:p>
        </w:tc>
        <w:tc>
          <w:tcPr>
            <w:tcW w:w="8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0.012</w:t>
            </w:r>
          </w:p>
        </w:tc>
        <w:tc>
          <w:tcPr>
            <w:tcW w:w="84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0.009</w:t>
            </w:r>
          </w:p>
        </w:tc>
        <w:tc>
          <w:tcPr>
            <w:tcW w:w="73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0.01</w:t>
            </w:r>
            <w:r>
              <w:rPr>
                <w:rFonts w:hint="default" w:ascii="Times New Roman" w:hAnsi="Times New Roman" w:cs="Times New Roman"/>
                <w:color w:val="auto"/>
                <w:sz w:val="21"/>
                <w:szCs w:val="21"/>
                <w:lang w:val="en-US" w:eastAsia="zh-CN"/>
              </w:rPr>
              <w:t>3</w:t>
            </w:r>
          </w:p>
        </w:tc>
        <w:tc>
          <w:tcPr>
            <w:tcW w:w="119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0.006</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w:t>
            </w:r>
            <w:r>
              <w:rPr>
                <w:rFonts w:hint="default" w:ascii="Times New Roman" w:hAnsi="Times New Roman" w:cs="Times New Roman"/>
                <w:color w:val="auto"/>
                <w:sz w:val="21"/>
                <w:szCs w:val="21"/>
                <w:lang w:val="en-US" w:eastAsia="zh-CN"/>
              </w:rPr>
              <w:t>17</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w:t>
            </w:r>
            <w:r>
              <w:rPr>
                <w:rFonts w:hint="default" w:ascii="Times New Roman" w:hAnsi="Times New Roman" w:cs="Times New Roman"/>
                <w:color w:val="auto"/>
                <w:sz w:val="21"/>
                <w:szCs w:val="21"/>
                <w:lang w:val="en-US" w:eastAsia="zh-CN"/>
              </w:rPr>
              <w:t>12</w:t>
            </w:r>
          </w:p>
        </w:tc>
        <w:tc>
          <w:tcPr>
            <w:tcW w:w="102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w:t>
            </w:r>
            <w:r>
              <w:rPr>
                <w:rFonts w:hint="default" w:ascii="Times New Roman" w:hAnsi="Times New Roman" w:cs="Times New Roman"/>
                <w:color w:val="auto"/>
                <w:sz w:val="21"/>
                <w:szCs w:val="21"/>
                <w:lang w:val="en-US" w:eastAsia="zh-CN"/>
              </w:rPr>
              <w:t>17</w:t>
            </w:r>
          </w:p>
        </w:tc>
        <w:tc>
          <w:tcPr>
            <w:tcW w:w="68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615"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镍</w:t>
            </w:r>
          </w:p>
        </w:tc>
        <w:tc>
          <w:tcPr>
            <w:tcW w:w="78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监测结果</w:t>
            </w:r>
          </w:p>
        </w:tc>
        <w:tc>
          <w:tcPr>
            <w:tcW w:w="92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42</w:t>
            </w:r>
          </w:p>
        </w:tc>
        <w:tc>
          <w:tcPr>
            <w:tcW w:w="8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39</w:t>
            </w:r>
          </w:p>
        </w:tc>
        <w:tc>
          <w:tcPr>
            <w:tcW w:w="84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73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119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13</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27</w:t>
            </w:r>
          </w:p>
        </w:tc>
        <w:tc>
          <w:tcPr>
            <w:tcW w:w="102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16</w:t>
            </w:r>
          </w:p>
        </w:tc>
        <w:tc>
          <w:tcPr>
            <w:tcW w:w="685"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61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78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标准指数</w:t>
            </w:r>
          </w:p>
        </w:tc>
        <w:tc>
          <w:tcPr>
            <w:tcW w:w="92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0.28</w:t>
            </w:r>
          </w:p>
        </w:tc>
        <w:tc>
          <w:tcPr>
            <w:tcW w:w="8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0.28</w:t>
            </w:r>
          </w:p>
        </w:tc>
        <w:tc>
          <w:tcPr>
            <w:tcW w:w="84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0.267</w:t>
            </w:r>
          </w:p>
        </w:tc>
        <w:tc>
          <w:tcPr>
            <w:tcW w:w="73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0.2</w:t>
            </w:r>
            <w:r>
              <w:rPr>
                <w:rFonts w:hint="default" w:ascii="Times New Roman" w:hAnsi="Times New Roman" w:cs="Times New Roman"/>
                <w:color w:val="auto"/>
                <w:sz w:val="21"/>
                <w:szCs w:val="21"/>
                <w:lang w:val="en-US" w:eastAsia="zh-CN"/>
              </w:rPr>
              <w:t>7</w:t>
            </w:r>
          </w:p>
        </w:tc>
        <w:tc>
          <w:tcPr>
            <w:tcW w:w="119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0.08</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08</w:t>
            </w:r>
            <w:r>
              <w:rPr>
                <w:rFonts w:hint="default" w:ascii="Times New Roman" w:hAnsi="Times New Roman" w:cs="Times New Roman"/>
                <w:color w:val="auto"/>
                <w:sz w:val="21"/>
                <w:szCs w:val="21"/>
              </w:rPr>
              <w:t>7</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8</w:t>
            </w:r>
            <w:r>
              <w:rPr>
                <w:rFonts w:hint="default" w:ascii="Times New Roman" w:hAnsi="Times New Roman" w:cs="Times New Roman"/>
                <w:color w:val="auto"/>
                <w:sz w:val="21"/>
                <w:szCs w:val="21"/>
                <w:lang w:val="en-US" w:eastAsia="zh-CN"/>
              </w:rPr>
              <w:t>0</w:t>
            </w:r>
          </w:p>
        </w:tc>
        <w:tc>
          <w:tcPr>
            <w:tcW w:w="102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0.107</w:t>
            </w:r>
          </w:p>
        </w:tc>
        <w:tc>
          <w:tcPr>
            <w:tcW w:w="68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615"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锌</w:t>
            </w:r>
          </w:p>
        </w:tc>
        <w:tc>
          <w:tcPr>
            <w:tcW w:w="78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监测结果</w:t>
            </w:r>
          </w:p>
        </w:tc>
        <w:tc>
          <w:tcPr>
            <w:tcW w:w="92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73</w:t>
            </w:r>
          </w:p>
        </w:tc>
        <w:tc>
          <w:tcPr>
            <w:tcW w:w="8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112</w:t>
            </w:r>
          </w:p>
        </w:tc>
        <w:tc>
          <w:tcPr>
            <w:tcW w:w="84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71</w:t>
            </w:r>
          </w:p>
        </w:tc>
        <w:tc>
          <w:tcPr>
            <w:tcW w:w="73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88</w:t>
            </w:r>
          </w:p>
        </w:tc>
        <w:tc>
          <w:tcPr>
            <w:tcW w:w="119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96</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102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685"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61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78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标准指数</w:t>
            </w:r>
          </w:p>
        </w:tc>
        <w:tc>
          <w:tcPr>
            <w:tcW w:w="92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8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84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3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9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102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68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615"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六价铬</w:t>
            </w:r>
          </w:p>
        </w:tc>
        <w:tc>
          <w:tcPr>
            <w:tcW w:w="78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监测结果</w:t>
            </w:r>
          </w:p>
        </w:tc>
        <w:tc>
          <w:tcPr>
            <w:tcW w:w="92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2L</w:t>
            </w:r>
          </w:p>
        </w:tc>
        <w:tc>
          <w:tcPr>
            <w:tcW w:w="8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2L</w:t>
            </w:r>
          </w:p>
        </w:tc>
        <w:tc>
          <w:tcPr>
            <w:tcW w:w="84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2L</w:t>
            </w:r>
          </w:p>
        </w:tc>
        <w:tc>
          <w:tcPr>
            <w:tcW w:w="73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2L</w:t>
            </w:r>
          </w:p>
        </w:tc>
        <w:tc>
          <w:tcPr>
            <w:tcW w:w="119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2L</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2L</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2L</w:t>
            </w:r>
          </w:p>
        </w:tc>
        <w:tc>
          <w:tcPr>
            <w:tcW w:w="102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2L</w:t>
            </w:r>
          </w:p>
        </w:tc>
        <w:tc>
          <w:tcPr>
            <w:tcW w:w="685"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61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78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标准指数</w:t>
            </w:r>
          </w:p>
        </w:tc>
        <w:tc>
          <w:tcPr>
            <w:tcW w:w="92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8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84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3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93"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9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102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8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r>
    </w:tbl>
    <w:p>
      <w:pPr>
        <w:pStyle w:val="14"/>
        <w:bidi w:val="0"/>
        <w:rPr>
          <w:rFonts w:hint="default" w:ascii="Times New Roman" w:hAnsi="Times New Roman" w:cs="Times New Roman"/>
          <w:color w:val="auto"/>
        </w:rPr>
      </w:pPr>
    </w:p>
    <w:p>
      <w:pPr>
        <w:pStyle w:val="14"/>
        <w:bidi w:val="0"/>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rPr>
        <w:t xml:space="preserve">表 </w:t>
      </w:r>
      <w:r>
        <w:rPr>
          <w:rFonts w:hint="default" w:ascii="Times New Roman" w:hAnsi="Times New Roman" w:cs="Times New Roman"/>
          <w:color w:val="auto"/>
          <w:u w:val="single"/>
        </w:rPr>
        <w:fldChar w:fldCharType="begin"/>
      </w:r>
      <w:r>
        <w:rPr>
          <w:rFonts w:hint="default" w:ascii="Times New Roman" w:hAnsi="Times New Roman" w:cs="Times New Roman"/>
          <w:color w:val="auto"/>
          <w:u w:val="single"/>
        </w:rPr>
        <w:instrText xml:space="preserve"> STYLEREF 1 \s </w:instrText>
      </w:r>
      <w:r>
        <w:rPr>
          <w:rFonts w:hint="default" w:ascii="Times New Roman" w:hAnsi="Times New Roman" w:cs="Times New Roman"/>
          <w:color w:val="auto"/>
          <w:u w:val="single"/>
        </w:rPr>
        <w:fldChar w:fldCharType="separate"/>
      </w:r>
      <w:r>
        <w:rPr>
          <w:rFonts w:hint="default" w:ascii="Times New Roman" w:hAnsi="Times New Roman" w:cs="Times New Roman"/>
          <w:color w:val="auto"/>
          <w:u w:val="single"/>
        </w:rPr>
        <w:t>5</w:t>
      </w:r>
      <w:r>
        <w:rPr>
          <w:rFonts w:hint="default" w:ascii="Times New Roman" w:hAnsi="Times New Roman" w:cs="Times New Roman"/>
          <w:color w:val="auto"/>
          <w:u w:val="single"/>
        </w:rPr>
        <w:fldChar w:fldCharType="end"/>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lang w:val="en-US" w:eastAsia="zh-CN"/>
        </w:rPr>
        <w:t>16  厂区内土壤重金属监测结果及评价（二） 单位：mg/kg，pH 无量纲</w:t>
      </w:r>
    </w:p>
    <w:tbl>
      <w:tblPr>
        <w:tblStyle w:val="24"/>
        <w:tblW w:w="809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49"/>
        <w:gridCol w:w="1485"/>
        <w:gridCol w:w="2122"/>
        <w:gridCol w:w="1920"/>
        <w:gridCol w:w="122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49"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检测</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1485"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监测点位</w:t>
            </w:r>
          </w:p>
        </w:tc>
        <w:tc>
          <w:tcPr>
            <w:tcW w:w="4042" w:type="dxa"/>
            <w:gridSpan w:val="2"/>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厂区外</w:t>
            </w:r>
          </w:p>
        </w:tc>
        <w:tc>
          <w:tcPr>
            <w:tcW w:w="1223"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标准</w:t>
            </w:r>
            <w:r>
              <w:rPr>
                <w:rFonts w:hint="default" w:ascii="Times New Roman" w:hAnsi="Times New Roman" w:cs="Times New Roman"/>
                <w:color w:val="auto"/>
                <w:sz w:val="21"/>
                <w:szCs w:val="21"/>
                <w:lang w:eastAsia="zh-CN"/>
              </w:rPr>
              <w:t>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49"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148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212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T</w:t>
            </w:r>
            <w:r>
              <w:rPr>
                <w:rFonts w:hint="default" w:ascii="Times New Roman" w:hAnsi="Times New Roman" w:cs="Times New Roman"/>
                <w:color w:val="auto"/>
                <w:sz w:val="21"/>
                <w:szCs w:val="21"/>
                <w:lang w:val="en-US" w:eastAsia="zh-CN"/>
              </w:rPr>
              <w:t>5</w:t>
            </w:r>
          </w:p>
        </w:tc>
        <w:tc>
          <w:tcPr>
            <w:tcW w:w="192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T</w:t>
            </w:r>
            <w:r>
              <w:rPr>
                <w:rFonts w:hint="default" w:ascii="Times New Roman" w:hAnsi="Times New Roman" w:cs="Times New Roman"/>
                <w:color w:val="auto"/>
                <w:sz w:val="21"/>
                <w:szCs w:val="21"/>
                <w:lang w:val="en-US" w:eastAsia="zh-CN"/>
              </w:rPr>
              <w:t>6</w:t>
            </w:r>
          </w:p>
        </w:tc>
        <w:tc>
          <w:tcPr>
            <w:tcW w:w="1223"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49"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sz w:val="21"/>
                <w:szCs w:val="21"/>
              </w:rPr>
            </w:pPr>
          </w:p>
        </w:tc>
        <w:tc>
          <w:tcPr>
            <w:tcW w:w="148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sz w:val="21"/>
                <w:szCs w:val="21"/>
              </w:rPr>
            </w:pPr>
          </w:p>
        </w:tc>
        <w:tc>
          <w:tcPr>
            <w:tcW w:w="2122"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岳化橡胶食堂后山</w:t>
            </w:r>
          </w:p>
        </w:tc>
        <w:tc>
          <w:tcPr>
            <w:tcW w:w="192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岳化橡胶部南山</w:t>
            </w:r>
          </w:p>
        </w:tc>
        <w:tc>
          <w:tcPr>
            <w:tcW w:w="1223"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49"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148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2122"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表层</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0.2m)</w:t>
            </w:r>
          </w:p>
        </w:tc>
        <w:tc>
          <w:tcPr>
            <w:tcW w:w="192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表层</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0.2m)</w:t>
            </w:r>
          </w:p>
        </w:tc>
        <w:tc>
          <w:tcPr>
            <w:tcW w:w="1223"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49"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w:t>
            </w:r>
          </w:p>
        </w:tc>
        <w:tc>
          <w:tcPr>
            <w:tcW w:w="148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监测结果</w:t>
            </w:r>
          </w:p>
        </w:tc>
        <w:tc>
          <w:tcPr>
            <w:tcW w:w="2122"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5.83</w:t>
            </w:r>
          </w:p>
        </w:tc>
        <w:tc>
          <w:tcPr>
            <w:tcW w:w="192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5.58</w:t>
            </w:r>
          </w:p>
        </w:tc>
        <w:tc>
          <w:tcPr>
            <w:tcW w:w="1223"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49"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148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标准指数</w:t>
            </w:r>
          </w:p>
        </w:tc>
        <w:tc>
          <w:tcPr>
            <w:tcW w:w="2122"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192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1223"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49"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镉</w:t>
            </w:r>
          </w:p>
        </w:tc>
        <w:tc>
          <w:tcPr>
            <w:tcW w:w="148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监测结果</w:t>
            </w:r>
          </w:p>
        </w:tc>
        <w:tc>
          <w:tcPr>
            <w:tcW w:w="2122"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19</w:t>
            </w:r>
          </w:p>
        </w:tc>
        <w:tc>
          <w:tcPr>
            <w:tcW w:w="192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0.29</w:t>
            </w:r>
          </w:p>
        </w:tc>
        <w:tc>
          <w:tcPr>
            <w:tcW w:w="1223"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49"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148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标准指数</w:t>
            </w:r>
          </w:p>
        </w:tc>
        <w:tc>
          <w:tcPr>
            <w:tcW w:w="2122"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0.013</w:t>
            </w:r>
          </w:p>
        </w:tc>
        <w:tc>
          <w:tcPr>
            <w:tcW w:w="192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0.0145</w:t>
            </w:r>
          </w:p>
        </w:tc>
        <w:tc>
          <w:tcPr>
            <w:tcW w:w="1223"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49"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汞</w:t>
            </w:r>
          </w:p>
        </w:tc>
        <w:tc>
          <w:tcPr>
            <w:tcW w:w="148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监测结果</w:t>
            </w:r>
          </w:p>
        </w:tc>
        <w:tc>
          <w:tcPr>
            <w:tcW w:w="2122"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w:t>
            </w:r>
            <w:r>
              <w:rPr>
                <w:rFonts w:hint="default" w:ascii="Times New Roman" w:hAnsi="Times New Roman" w:cs="Times New Roman"/>
                <w:color w:val="auto"/>
                <w:sz w:val="21"/>
                <w:szCs w:val="21"/>
                <w:lang w:val="en-US" w:eastAsia="zh-CN"/>
              </w:rPr>
              <w:t>57</w:t>
            </w:r>
          </w:p>
        </w:tc>
        <w:tc>
          <w:tcPr>
            <w:tcW w:w="192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0.079</w:t>
            </w:r>
          </w:p>
        </w:tc>
        <w:tc>
          <w:tcPr>
            <w:tcW w:w="1223"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49"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148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标准指数</w:t>
            </w:r>
          </w:p>
        </w:tc>
        <w:tc>
          <w:tcPr>
            <w:tcW w:w="2122"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0.004</w:t>
            </w:r>
          </w:p>
        </w:tc>
        <w:tc>
          <w:tcPr>
            <w:tcW w:w="192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0.010</w:t>
            </w:r>
          </w:p>
        </w:tc>
        <w:tc>
          <w:tcPr>
            <w:tcW w:w="1223"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49"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砷</w:t>
            </w:r>
          </w:p>
        </w:tc>
        <w:tc>
          <w:tcPr>
            <w:tcW w:w="148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监测结果</w:t>
            </w:r>
          </w:p>
        </w:tc>
        <w:tc>
          <w:tcPr>
            <w:tcW w:w="2122"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29.1</w:t>
            </w:r>
          </w:p>
        </w:tc>
        <w:tc>
          <w:tcPr>
            <w:tcW w:w="192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8.01</w:t>
            </w:r>
          </w:p>
        </w:tc>
        <w:tc>
          <w:tcPr>
            <w:tcW w:w="1223"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49"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148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标准指数</w:t>
            </w:r>
          </w:p>
        </w:tc>
        <w:tc>
          <w:tcPr>
            <w:tcW w:w="2122"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0.535</w:t>
            </w:r>
          </w:p>
        </w:tc>
        <w:tc>
          <w:tcPr>
            <w:tcW w:w="192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0.400</w:t>
            </w:r>
          </w:p>
        </w:tc>
        <w:tc>
          <w:tcPr>
            <w:tcW w:w="1223"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49"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铅</w:t>
            </w:r>
          </w:p>
        </w:tc>
        <w:tc>
          <w:tcPr>
            <w:tcW w:w="148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监测结果</w:t>
            </w:r>
          </w:p>
        </w:tc>
        <w:tc>
          <w:tcPr>
            <w:tcW w:w="2122"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w:t>
            </w:r>
            <w:r>
              <w:rPr>
                <w:rFonts w:hint="default" w:ascii="Times New Roman" w:hAnsi="Times New Roman" w:cs="Times New Roman"/>
                <w:color w:val="auto"/>
                <w:sz w:val="21"/>
                <w:szCs w:val="21"/>
                <w:lang w:val="en-US" w:eastAsia="zh-CN"/>
              </w:rPr>
              <w:t>6</w:t>
            </w:r>
          </w:p>
        </w:tc>
        <w:tc>
          <w:tcPr>
            <w:tcW w:w="192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16</w:t>
            </w:r>
          </w:p>
        </w:tc>
        <w:tc>
          <w:tcPr>
            <w:tcW w:w="1223"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49"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148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标准指数</w:t>
            </w:r>
          </w:p>
        </w:tc>
        <w:tc>
          <w:tcPr>
            <w:tcW w:w="2122"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0.06</w:t>
            </w:r>
          </w:p>
        </w:tc>
        <w:tc>
          <w:tcPr>
            <w:tcW w:w="192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0.04</w:t>
            </w:r>
          </w:p>
        </w:tc>
        <w:tc>
          <w:tcPr>
            <w:tcW w:w="1223"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49"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总</w:t>
            </w:r>
            <w:r>
              <w:rPr>
                <w:rFonts w:hint="default" w:ascii="Times New Roman" w:hAnsi="Times New Roman" w:cs="Times New Roman"/>
                <w:color w:val="auto"/>
                <w:sz w:val="21"/>
                <w:szCs w:val="21"/>
              </w:rPr>
              <w:t>铬</w:t>
            </w:r>
          </w:p>
        </w:tc>
        <w:tc>
          <w:tcPr>
            <w:tcW w:w="148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监测结果</w:t>
            </w:r>
          </w:p>
        </w:tc>
        <w:tc>
          <w:tcPr>
            <w:tcW w:w="2122"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45.8</w:t>
            </w:r>
          </w:p>
        </w:tc>
        <w:tc>
          <w:tcPr>
            <w:tcW w:w="192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46</w:t>
            </w:r>
          </w:p>
        </w:tc>
        <w:tc>
          <w:tcPr>
            <w:tcW w:w="1223"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49"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148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标准指数</w:t>
            </w:r>
          </w:p>
        </w:tc>
        <w:tc>
          <w:tcPr>
            <w:tcW w:w="2122"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192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1223"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49"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铜</w:t>
            </w:r>
          </w:p>
        </w:tc>
        <w:tc>
          <w:tcPr>
            <w:tcW w:w="148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监测结果</w:t>
            </w:r>
          </w:p>
        </w:tc>
        <w:tc>
          <w:tcPr>
            <w:tcW w:w="2122"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val="en-US" w:eastAsia="zh-CN"/>
              </w:rPr>
              <w:t>8</w:t>
            </w:r>
          </w:p>
        </w:tc>
        <w:tc>
          <w:tcPr>
            <w:tcW w:w="192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16</w:t>
            </w:r>
          </w:p>
        </w:tc>
        <w:tc>
          <w:tcPr>
            <w:tcW w:w="1223"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49"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148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标准指数</w:t>
            </w:r>
          </w:p>
        </w:tc>
        <w:tc>
          <w:tcPr>
            <w:tcW w:w="2122"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0.006</w:t>
            </w:r>
          </w:p>
        </w:tc>
        <w:tc>
          <w:tcPr>
            <w:tcW w:w="192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0.008</w:t>
            </w:r>
          </w:p>
        </w:tc>
        <w:tc>
          <w:tcPr>
            <w:tcW w:w="1223"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49"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镍</w:t>
            </w:r>
          </w:p>
        </w:tc>
        <w:tc>
          <w:tcPr>
            <w:tcW w:w="148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监测结果</w:t>
            </w:r>
          </w:p>
        </w:tc>
        <w:tc>
          <w:tcPr>
            <w:tcW w:w="2122"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26</w:t>
            </w:r>
          </w:p>
        </w:tc>
        <w:tc>
          <w:tcPr>
            <w:tcW w:w="192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16</w:t>
            </w:r>
          </w:p>
        </w:tc>
        <w:tc>
          <w:tcPr>
            <w:tcW w:w="1223"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49"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148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标准指数</w:t>
            </w:r>
          </w:p>
        </w:tc>
        <w:tc>
          <w:tcPr>
            <w:tcW w:w="2122"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0.08</w:t>
            </w:r>
          </w:p>
        </w:tc>
        <w:tc>
          <w:tcPr>
            <w:tcW w:w="192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0.107</w:t>
            </w:r>
          </w:p>
        </w:tc>
        <w:tc>
          <w:tcPr>
            <w:tcW w:w="1223"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49"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锌</w:t>
            </w:r>
          </w:p>
        </w:tc>
        <w:tc>
          <w:tcPr>
            <w:tcW w:w="148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监测结果</w:t>
            </w:r>
          </w:p>
        </w:tc>
        <w:tc>
          <w:tcPr>
            <w:tcW w:w="2122"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9</w:t>
            </w: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6</w:t>
            </w:r>
          </w:p>
        </w:tc>
        <w:tc>
          <w:tcPr>
            <w:tcW w:w="192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93</w:t>
            </w:r>
          </w:p>
        </w:tc>
        <w:tc>
          <w:tcPr>
            <w:tcW w:w="1223"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49"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148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标准指数</w:t>
            </w:r>
          </w:p>
        </w:tc>
        <w:tc>
          <w:tcPr>
            <w:tcW w:w="2122"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192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1223"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49"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六价铬</w:t>
            </w:r>
          </w:p>
        </w:tc>
        <w:tc>
          <w:tcPr>
            <w:tcW w:w="148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监测结果</w:t>
            </w:r>
          </w:p>
        </w:tc>
        <w:tc>
          <w:tcPr>
            <w:tcW w:w="2122"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2L</w:t>
            </w:r>
          </w:p>
        </w:tc>
        <w:tc>
          <w:tcPr>
            <w:tcW w:w="192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2L</w:t>
            </w:r>
          </w:p>
        </w:tc>
        <w:tc>
          <w:tcPr>
            <w:tcW w:w="1223"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49"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148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标准指数</w:t>
            </w:r>
          </w:p>
        </w:tc>
        <w:tc>
          <w:tcPr>
            <w:tcW w:w="2122"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192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1223"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r>
    </w:tbl>
    <w:p>
      <w:pPr>
        <w:pStyle w:val="14"/>
        <w:bidi w:val="0"/>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color w:val="auto"/>
        </w:rPr>
      </w:pPr>
    </w:p>
    <w:p>
      <w:pPr>
        <w:rPr>
          <w:rFonts w:hint="default" w:ascii="Times New Roman" w:hAnsi="Times New Roman" w:cs="Times New Roman"/>
          <w:color w:val="auto"/>
        </w:rPr>
      </w:pPr>
    </w:p>
    <w:p>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5</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17  厂区内土壤挥发性有机物监测结果及评价  单位：mg/kg，pH 无量纲</w:t>
      </w:r>
    </w:p>
    <w:tbl>
      <w:tblPr>
        <w:tblStyle w:val="24"/>
        <w:tblW w:w="850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49"/>
        <w:gridCol w:w="2040"/>
        <w:gridCol w:w="1860"/>
        <w:gridCol w:w="1920"/>
        <w:gridCol w:w="1020"/>
        <w:gridCol w:w="91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49" w:type="dxa"/>
            <w:vMerge w:val="restart"/>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u w:val="none"/>
                <w:shd w:val="clear" w:color="auto" w:fill="auto"/>
                <w:lang w:val="zh-TW" w:eastAsia="zh-TW" w:bidi="zh-TW"/>
              </w:rPr>
            </w:pPr>
            <w:r>
              <w:rPr>
                <w:rFonts w:hint="default" w:ascii="Times New Roman" w:hAnsi="Times New Roman" w:cs="Times New Roman"/>
                <w:color w:val="auto"/>
                <w:spacing w:val="0"/>
                <w:w w:val="100"/>
                <w:position w:val="0"/>
                <w:sz w:val="21"/>
                <w:szCs w:val="21"/>
              </w:rPr>
              <w:t>序号</w:t>
            </w:r>
          </w:p>
        </w:tc>
        <w:tc>
          <w:tcPr>
            <w:tcW w:w="2040" w:type="dxa"/>
            <w:vMerge w:val="restart"/>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u w:val="none"/>
                <w:shd w:val="clear" w:color="auto" w:fill="auto"/>
                <w:lang w:val="zh-TW" w:eastAsia="zh-TW" w:bidi="zh-TW"/>
              </w:rPr>
            </w:pPr>
            <w:r>
              <w:rPr>
                <w:rFonts w:hint="default" w:ascii="Times New Roman" w:hAnsi="Times New Roman" w:cs="Times New Roman"/>
                <w:color w:val="auto"/>
                <w:spacing w:val="0"/>
                <w:w w:val="100"/>
                <w:position w:val="0"/>
                <w:sz w:val="21"/>
                <w:szCs w:val="21"/>
              </w:rPr>
              <w:t>检测参数</w:t>
            </w:r>
          </w:p>
        </w:tc>
        <w:tc>
          <w:tcPr>
            <w:tcW w:w="3780" w:type="dxa"/>
            <w:gridSpan w:val="2"/>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厂区内</w:t>
            </w:r>
          </w:p>
        </w:tc>
        <w:tc>
          <w:tcPr>
            <w:tcW w:w="1020" w:type="dxa"/>
            <w:vMerge w:val="restart"/>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u w:val="none"/>
                <w:shd w:val="clear" w:color="auto" w:fill="auto"/>
                <w:lang w:val="en-US" w:eastAsia="zh-CN" w:bidi="zh-TW"/>
              </w:rPr>
            </w:pPr>
            <w:r>
              <w:rPr>
                <w:rFonts w:hint="default" w:ascii="Times New Roman" w:hAnsi="Times New Roman" w:cs="Times New Roman"/>
                <w:color w:val="auto"/>
                <w:spacing w:val="0"/>
                <w:w w:val="100"/>
                <w:position w:val="0"/>
                <w:sz w:val="21"/>
                <w:szCs w:val="21"/>
              </w:rPr>
              <w:t>检出限</w:t>
            </w:r>
          </w:p>
        </w:tc>
        <w:tc>
          <w:tcPr>
            <w:tcW w:w="916" w:type="dxa"/>
            <w:vMerge w:val="restart"/>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z w:val="21"/>
                <w:szCs w:val="21"/>
                <w:lang w:eastAsia="zh-CN"/>
              </w:rPr>
              <w:t>标准值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49"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2040"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186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T</w:t>
            </w:r>
            <w:r>
              <w:rPr>
                <w:rFonts w:hint="default" w:ascii="Times New Roman" w:hAnsi="Times New Roman" w:cs="Times New Roman"/>
                <w:color w:val="auto"/>
                <w:sz w:val="21"/>
                <w:szCs w:val="21"/>
                <w:lang w:val="en-US" w:eastAsia="zh-CN"/>
              </w:rPr>
              <w:t>2</w:t>
            </w:r>
          </w:p>
        </w:tc>
        <w:tc>
          <w:tcPr>
            <w:tcW w:w="192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T</w:t>
            </w:r>
            <w:r>
              <w:rPr>
                <w:rFonts w:hint="default" w:ascii="Times New Roman" w:hAnsi="Times New Roman" w:cs="Times New Roman"/>
                <w:color w:val="auto"/>
                <w:sz w:val="21"/>
                <w:szCs w:val="21"/>
                <w:lang w:val="en-US" w:eastAsia="zh-CN"/>
              </w:rPr>
              <w:t>4</w:t>
            </w:r>
          </w:p>
        </w:tc>
        <w:tc>
          <w:tcPr>
            <w:tcW w:w="1020"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916"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0" w:hRule="exact"/>
          <w:jc w:val="center"/>
        </w:trPr>
        <w:tc>
          <w:tcPr>
            <w:tcW w:w="749"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sz w:val="21"/>
                <w:szCs w:val="21"/>
              </w:rPr>
            </w:pPr>
          </w:p>
        </w:tc>
        <w:tc>
          <w:tcPr>
            <w:tcW w:w="2040"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sz w:val="21"/>
                <w:szCs w:val="21"/>
              </w:rPr>
            </w:pPr>
          </w:p>
        </w:tc>
        <w:tc>
          <w:tcPr>
            <w:tcW w:w="186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车间西侧柱状样</w:t>
            </w:r>
          </w:p>
        </w:tc>
        <w:tc>
          <w:tcPr>
            <w:tcW w:w="192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车间改造挖掘地基</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eastAsia="zh-CN"/>
              </w:rPr>
              <w:t>北部</w:t>
            </w:r>
            <w:r>
              <w:rPr>
                <w:rFonts w:hint="default" w:ascii="Times New Roman" w:hAnsi="Times New Roman" w:cs="Times New Roman"/>
                <w:color w:val="auto"/>
                <w:sz w:val="21"/>
                <w:szCs w:val="21"/>
                <w:lang w:val="en-US" w:eastAsia="zh-CN"/>
              </w:rPr>
              <w:t>柱状样</w:t>
            </w:r>
          </w:p>
        </w:tc>
        <w:tc>
          <w:tcPr>
            <w:tcW w:w="1020"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sz w:val="21"/>
                <w:szCs w:val="21"/>
              </w:rPr>
            </w:pPr>
          </w:p>
        </w:tc>
        <w:tc>
          <w:tcPr>
            <w:tcW w:w="916"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49"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2040"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186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表层</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0.2m)</w:t>
            </w:r>
            <w:r>
              <w:rPr>
                <w:rFonts w:hint="default" w:ascii="Times New Roman" w:hAnsi="Times New Roman" w:cs="Times New Roman"/>
                <w:color w:val="auto"/>
                <w:spacing w:val="0"/>
                <w:w w:val="100"/>
                <w:position w:val="0"/>
                <w:sz w:val="21"/>
                <w:szCs w:val="21"/>
              </w:rPr>
              <w:t>测定值</w:t>
            </w:r>
          </w:p>
        </w:tc>
        <w:tc>
          <w:tcPr>
            <w:tcW w:w="192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表层</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0.2m)</w:t>
            </w:r>
            <w:r>
              <w:rPr>
                <w:rFonts w:hint="default" w:ascii="Times New Roman" w:hAnsi="Times New Roman" w:cs="Times New Roman"/>
                <w:color w:val="auto"/>
                <w:spacing w:val="0"/>
                <w:w w:val="100"/>
                <w:position w:val="0"/>
                <w:sz w:val="21"/>
                <w:szCs w:val="21"/>
              </w:rPr>
              <w:t>测定值</w:t>
            </w:r>
          </w:p>
        </w:tc>
        <w:tc>
          <w:tcPr>
            <w:tcW w:w="1020"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916"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4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32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1</w:t>
            </w:r>
          </w:p>
        </w:tc>
        <w:tc>
          <w:tcPr>
            <w:tcW w:w="204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氯甲烷</w:t>
            </w:r>
          </w:p>
        </w:tc>
        <w:tc>
          <w:tcPr>
            <w:tcW w:w="186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2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宋体" w:cs="Times New Roman"/>
                <w:color w:val="auto"/>
                <w:kern w:val="2"/>
                <w:sz w:val="21"/>
                <w:szCs w:val="21"/>
                <w:u w:val="none"/>
                <w:shd w:val="clear" w:color="auto" w:fill="auto"/>
                <w:lang w:val="en-US" w:eastAsia="en-US" w:bidi="ar-SA"/>
              </w:rPr>
            </w:pPr>
            <w:r>
              <w:rPr>
                <w:rFonts w:hint="default" w:ascii="Times New Roman" w:hAnsi="Times New Roman" w:eastAsia="Times New Roman" w:cs="Times New Roman"/>
                <w:color w:val="auto"/>
                <w:spacing w:val="0"/>
                <w:w w:val="100"/>
                <w:position w:val="0"/>
                <w:sz w:val="21"/>
                <w:szCs w:val="21"/>
                <w:lang w:val="en-US" w:eastAsia="en-US" w:bidi="en-US"/>
              </w:rPr>
              <w:t>0.0010</w:t>
            </w:r>
          </w:p>
        </w:tc>
        <w:tc>
          <w:tcPr>
            <w:tcW w:w="916"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kern w:val="2"/>
                <w:sz w:val="21"/>
                <w:szCs w:val="21"/>
                <w:lang w:val="en-US" w:eastAsia="zh-CN" w:bidi="ar-SA"/>
              </w:rPr>
              <w:t>37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4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32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2</w:t>
            </w:r>
          </w:p>
        </w:tc>
        <w:tc>
          <w:tcPr>
            <w:tcW w:w="204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氯乙烯</w:t>
            </w:r>
          </w:p>
        </w:tc>
        <w:tc>
          <w:tcPr>
            <w:tcW w:w="186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2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宋体" w:cs="Times New Roman"/>
                <w:color w:val="auto"/>
                <w:kern w:val="2"/>
                <w:sz w:val="21"/>
                <w:szCs w:val="21"/>
                <w:u w:val="none"/>
                <w:shd w:val="clear" w:color="auto" w:fill="auto"/>
                <w:lang w:val="en-US" w:eastAsia="en-US" w:bidi="ar-SA"/>
              </w:rPr>
            </w:pPr>
            <w:r>
              <w:rPr>
                <w:rFonts w:hint="default" w:ascii="Times New Roman" w:hAnsi="Times New Roman" w:eastAsia="Times New Roman" w:cs="Times New Roman"/>
                <w:color w:val="auto"/>
                <w:spacing w:val="0"/>
                <w:w w:val="100"/>
                <w:position w:val="0"/>
                <w:sz w:val="21"/>
                <w:szCs w:val="21"/>
                <w:lang w:val="en-US" w:eastAsia="en-US" w:bidi="en-US"/>
              </w:rPr>
              <w:t>0.0010</w:t>
            </w:r>
          </w:p>
        </w:tc>
        <w:tc>
          <w:tcPr>
            <w:tcW w:w="916"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 xml:space="preserve">0.43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4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32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3</w:t>
            </w:r>
          </w:p>
        </w:tc>
        <w:tc>
          <w:tcPr>
            <w:tcW w:w="204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34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1,1</w:t>
            </w:r>
            <w:r>
              <w:rPr>
                <w:rFonts w:hint="default" w:ascii="Times New Roman" w:hAnsi="Times New Roman" w:cs="Times New Roman"/>
                <w:color w:val="auto"/>
                <w:spacing w:val="0"/>
                <w:w w:val="100"/>
                <w:position w:val="0"/>
                <w:sz w:val="21"/>
                <w:szCs w:val="21"/>
              </w:rPr>
              <w:t>-二氯乙烯</w:t>
            </w:r>
          </w:p>
        </w:tc>
        <w:tc>
          <w:tcPr>
            <w:tcW w:w="186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2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宋体" w:cs="Times New Roman"/>
                <w:color w:val="auto"/>
                <w:kern w:val="2"/>
                <w:sz w:val="21"/>
                <w:szCs w:val="21"/>
                <w:u w:val="none"/>
                <w:shd w:val="clear" w:color="auto" w:fill="auto"/>
                <w:lang w:val="en-US" w:eastAsia="en-US" w:bidi="ar-SA"/>
              </w:rPr>
            </w:pPr>
            <w:r>
              <w:rPr>
                <w:rFonts w:hint="default" w:ascii="Times New Roman" w:hAnsi="Times New Roman" w:eastAsia="Times New Roman" w:cs="Times New Roman"/>
                <w:color w:val="auto"/>
                <w:spacing w:val="0"/>
                <w:w w:val="100"/>
                <w:position w:val="0"/>
                <w:sz w:val="21"/>
                <w:szCs w:val="21"/>
                <w:lang w:val="en-US" w:eastAsia="en-US" w:bidi="en-US"/>
              </w:rPr>
              <w:t>0.0010</w:t>
            </w:r>
          </w:p>
        </w:tc>
        <w:tc>
          <w:tcPr>
            <w:tcW w:w="916"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66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4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32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4</w:t>
            </w:r>
          </w:p>
        </w:tc>
        <w:tc>
          <w:tcPr>
            <w:tcW w:w="204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二氯甲烷</w:t>
            </w:r>
          </w:p>
        </w:tc>
        <w:tc>
          <w:tcPr>
            <w:tcW w:w="186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2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宋体" w:cs="Times New Roman"/>
                <w:color w:val="auto"/>
                <w:kern w:val="2"/>
                <w:sz w:val="21"/>
                <w:szCs w:val="21"/>
                <w:u w:val="none"/>
                <w:shd w:val="clear" w:color="auto" w:fill="auto"/>
                <w:lang w:val="en-US" w:eastAsia="en-US" w:bidi="ar-SA"/>
              </w:rPr>
            </w:pPr>
            <w:r>
              <w:rPr>
                <w:rFonts w:hint="default" w:ascii="Times New Roman" w:hAnsi="Times New Roman" w:eastAsia="Times New Roman" w:cs="Times New Roman"/>
                <w:color w:val="auto"/>
                <w:spacing w:val="0"/>
                <w:w w:val="100"/>
                <w:position w:val="0"/>
                <w:sz w:val="21"/>
                <w:szCs w:val="21"/>
                <w:lang w:val="en-US" w:eastAsia="en-US" w:bidi="en-US"/>
              </w:rPr>
              <w:t>0.0015</w:t>
            </w:r>
          </w:p>
        </w:tc>
        <w:tc>
          <w:tcPr>
            <w:tcW w:w="916"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616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4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32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5</w:t>
            </w:r>
          </w:p>
        </w:tc>
        <w:tc>
          <w:tcPr>
            <w:tcW w:w="204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反式</w:t>
            </w:r>
            <w:r>
              <w:rPr>
                <w:rFonts w:hint="default" w:ascii="Times New Roman" w:hAnsi="Times New Roman" w:eastAsia="Times New Roman" w:cs="Times New Roman"/>
                <w:color w:val="auto"/>
                <w:spacing w:val="0"/>
                <w:w w:val="100"/>
                <w:position w:val="0"/>
                <w:sz w:val="21"/>
                <w:szCs w:val="21"/>
                <w:lang w:val="en-US" w:eastAsia="en-US" w:bidi="en-US"/>
              </w:rPr>
              <w:t>-1,2</w:t>
            </w:r>
            <w:r>
              <w:rPr>
                <w:rFonts w:hint="default" w:ascii="Times New Roman" w:hAnsi="Times New Roman" w:cs="Times New Roman"/>
                <w:color w:val="auto"/>
                <w:spacing w:val="0"/>
                <w:w w:val="100"/>
                <w:position w:val="0"/>
                <w:sz w:val="21"/>
                <w:szCs w:val="21"/>
              </w:rPr>
              <w:t>-二氯乙烯</w:t>
            </w:r>
          </w:p>
        </w:tc>
        <w:tc>
          <w:tcPr>
            <w:tcW w:w="186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2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宋体" w:cs="Times New Roman"/>
                <w:color w:val="auto"/>
                <w:kern w:val="2"/>
                <w:sz w:val="21"/>
                <w:szCs w:val="21"/>
                <w:u w:val="none"/>
                <w:shd w:val="clear" w:color="auto" w:fill="auto"/>
                <w:lang w:val="en-US" w:eastAsia="en-US" w:bidi="ar-SA"/>
              </w:rPr>
            </w:pPr>
            <w:r>
              <w:rPr>
                <w:rFonts w:hint="default" w:ascii="Times New Roman" w:hAnsi="Times New Roman" w:eastAsia="Times New Roman" w:cs="Times New Roman"/>
                <w:color w:val="auto"/>
                <w:spacing w:val="0"/>
                <w:w w:val="100"/>
                <w:position w:val="0"/>
                <w:sz w:val="21"/>
                <w:szCs w:val="21"/>
                <w:lang w:val="en-US" w:eastAsia="en-US" w:bidi="en-US"/>
              </w:rPr>
              <w:t>0.0014</w:t>
            </w:r>
          </w:p>
        </w:tc>
        <w:tc>
          <w:tcPr>
            <w:tcW w:w="916"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54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4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32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6</w:t>
            </w:r>
          </w:p>
        </w:tc>
        <w:tc>
          <w:tcPr>
            <w:tcW w:w="204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34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1,1</w:t>
            </w:r>
            <w:r>
              <w:rPr>
                <w:rFonts w:hint="default" w:ascii="Times New Roman" w:hAnsi="Times New Roman" w:cs="Times New Roman"/>
                <w:color w:val="auto"/>
                <w:spacing w:val="0"/>
                <w:w w:val="100"/>
                <w:position w:val="0"/>
                <w:sz w:val="21"/>
                <w:szCs w:val="21"/>
              </w:rPr>
              <w:t>-二氯乙烷</w:t>
            </w:r>
          </w:p>
        </w:tc>
        <w:tc>
          <w:tcPr>
            <w:tcW w:w="186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2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宋体" w:cs="Times New Roman"/>
                <w:color w:val="auto"/>
                <w:kern w:val="2"/>
                <w:sz w:val="21"/>
                <w:szCs w:val="21"/>
                <w:u w:val="none"/>
                <w:shd w:val="clear" w:color="auto" w:fill="auto"/>
                <w:lang w:val="en-US" w:eastAsia="en-US" w:bidi="ar-SA"/>
              </w:rPr>
            </w:pPr>
            <w:r>
              <w:rPr>
                <w:rFonts w:hint="default" w:ascii="Times New Roman" w:hAnsi="Times New Roman" w:eastAsia="Times New Roman" w:cs="Times New Roman"/>
                <w:color w:val="auto"/>
                <w:spacing w:val="0"/>
                <w:w w:val="100"/>
                <w:position w:val="0"/>
                <w:sz w:val="21"/>
                <w:szCs w:val="21"/>
                <w:lang w:val="en-US" w:eastAsia="en-US" w:bidi="en-US"/>
              </w:rPr>
              <w:t>0.0012</w:t>
            </w:r>
          </w:p>
        </w:tc>
        <w:tc>
          <w:tcPr>
            <w:tcW w:w="916"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4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32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7</w:t>
            </w:r>
          </w:p>
        </w:tc>
        <w:tc>
          <w:tcPr>
            <w:tcW w:w="204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顺式</w:t>
            </w:r>
            <w:r>
              <w:rPr>
                <w:rFonts w:hint="default" w:ascii="Times New Roman" w:hAnsi="Times New Roman" w:eastAsia="Times New Roman" w:cs="Times New Roman"/>
                <w:color w:val="auto"/>
                <w:spacing w:val="0"/>
                <w:w w:val="100"/>
                <w:position w:val="0"/>
                <w:sz w:val="21"/>
                <w:szCs w:val="21"/>
                <w:lang w:val="en-US" w:eastAsia="en-US" w:bidi="en-US"/>
              </w:rPr>
              <w:t>-1,2</w:t>
            </w:r>
            <w:r>
              <w:rPr>
                <w:rFonts w:hint="default" w:ascii="Times New Roman" w:hAnsi="Times New Roman" w:cs="Times New Roman"/>
                <w:color w:val="auto"/>
                <w:spacing w:val="0"/>
                <w:w w:val="100"/>
                <w:position w:val="0"/>
                <w:sz w:val="21"/>
                <w:szCs w:val="21"/>
              </w:rPr>
              <w:t>-二氯乙烯</w:t>
            </w:r>
          </w:p>
        </w:tc>
        <w:tc>
          <w:tcPr>
            <w:tcW w:w="186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2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宋体" w:cs="Times New Roman"/>
                <w:color w:val="auto"/>
                <w:kern w:val="2"/>
                <w:sz w:val="21"/>
                <w:szCs w:val="21"/>
                <w:u w:val="none"/>
                <w:shd w:val="clear" w:color="auto" w:fill="auto"/>
                <w:lang w:val="en-US" w:eastAsia="en-US" w:bidi="ar-SA"/>
              </w:rPr>
            </w:pPr>
            <w:r>
              <w:rPr>
                <w:rFonts w:hint="default" w:ascii="Times New Roman" w:hAnsi="Times New Roman" w:eastAsia="Times New Roman" w:cs="Times New Roman"/>
                <w:color w:val="auto"/>
                <w:spacing w:val="0"/>
                <w:w w:val="100"/>
                <w:position w:val="0"/>
                <w:sz w:val="21"/>
                <w:szCs w:val="21"/>
                <w:lang w:val="en-US" w:eastAsia="en-US" w:bidi="en-US"/>
              </w:rPr>
              <w:t>0.0013</w:t>
            </w:r>
          </w:p>
        </w:tc>
        <w:tc>
          <w:tcPr>
            <w:tcW w:w="916"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596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4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32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8</w:t>
            </w:r>
          </w:p>
        </w:tc>
        <w:tc>
          <w:tcPr>
            <w:tcW w:w="204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氯仿</w:t>
            </w:r>
          </w:p>
        </w:tc>
        <w:tc>
          <w:tcPr>
            <w:tcW w:w="186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2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宋体" w:cs="Times New Roman"/>
                <w:color w:val="auto"/>
                <w:kern w:val="2"/>
                <w:sz w:val="21"/>
                <w:szCs w:val="21"/>
                <w:u w:val="none"/>
                <w:shd w:val="clear" w:color="auto" w:fill="auto"/>
                <w:lang w:val="en-US" w:eastAsia="en-US" w:bidi="ar-SA"/>
              </w:rPr>
            </w:pPr>
            <w:r>
              <w:rPr>
                <w:rFonts w:hint="default" w:ascii="Times New Roman" w:hAnsi="Times New Roman" w:eastAsia="Times New Roman" w:cs="Times New Roman"/>
                <w:color w:val="auto"/>
                <w:spacing w:val="0"/>
                <w:w w:val="100"/>
                <w:position w:val="0"/>
                <w:sz w:val="21"/>
                <w:szCs w:val="21"/>
                <w:lang w:val="en-US" w:eastAsia="en-US" w:bidi="en-US"/>
              </w:rPr>
              <w:t>0.0011</w:t>
            </w:r>
          </w:p>
        </w:tc>
        <w:tc>
          <w:tcPr>
            <w:tcW w:w="916"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4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32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9</w:t>
            </w:r>
          </w:p>
        </w:tc>
        <w:tc>
          <w:tcPr>
            <w:tcW w:w="204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24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1,1,1</w:t>
            </w:r>
            <w:r>
              <w:rPr>
                <w:rFonts w:hint="default" w:ascii="Times New Roman" w:hAnsi="Times New Roman" w:cs="Times New Roman"/>
                <w:color w:val="auto"/>
                <w:spacing w:val="0"/>
                <w:w w:val="100"/>
                <w:position w:val="0"/>
                <w:sz w:val="21"/>
                <w:szCs w:val="21"/>
              </w:rPr>
              <w:t>-三氯乙烷</w:t>
            </w:r>
          </w:p>
        </w:tc>
        <w:tc>
          <w:tcPr>
            <w:tcW w:w="186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2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宋体" w:cs="Times New Roman"/>
                <w:color w:val="auto"/>
                <w:kern w:val="2"/>
                <w:sz w:val="21"/>
                <w:szCs w:val="21"/>
                <w:u w:val="none"/>
                <w:shd w:val="clear" w:color="auto" w:fill="auto"/>
                <w:lang w:val="en-US" w:eastAsia="en-US" w:bidi="ar-SA"/>
              </w:rPr>
            </w:pPr>
            <w:r>
              <w:rPr>
                <w:rFonts w:hint="default" w:ascii="Times New Roman" w:hAnsi="Times New Roman" w:eastAsia="Times New Roman" w:cs="Times New Roman"/>
                <w:color w:val="auto"/>
                <w:spacing w:val="0"/>
                <w:w w:val="100"/>
                <w:position w:val="0"/>
                <w:sz w:val="21"/>
                <w:szCs w:val="21"/>
                <w:lang w:val="en-US" w:eastAsia="en-US" w:bidi="en-US"/>
              </w:rPr>
              <w:t>0.0013</w:t>
            </w:r>
          </w:p>
        </w:tc>
        <w:tc>
          <w:tcPr>
            <w:tcW w:w="916"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840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4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26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10</w:t>
            </w:r>
          </w:p>
        </w:tc>
        <w:tc>
          <w:tcPr>
            <w:tcW w:w="204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四氯化碳</w:t>
            </w:r>
          </w:p>
        </w:tc>
        <w:tc>
          <w:tcPr>
            <w:tcW w:w="186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2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宋体" w:cs="Times New Roman"/>
                <w:color w:val="auto"/>
                <w:kern w:val="2"/>
                <w:sz w:val="21"/>
                <w:szCs w:val="21"/>
                <w:u w:val="none"/>
                <w:shd w:val="clear" w:color="auto" w:fill="auto"/>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0.0013</w:t>
            </w:r>
          </w:p>
        </w:tc>
        <w:tc>
          <w:tcPr>
            <w:tcW w:w="916"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4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26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11</w:t>
            </w:r>
          </w:p>
        </w:tc>
        <w:tc>
          <w:tcPr>
            <w:tcW w:w="204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苯</w:t>
            </w:r>
          </w:p>
        </w:tc>
        <w:tc>
          <w:tcPr>
            <w:tcW w:w="186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2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宋体" w:cs="Times New Roman"/>
                <w:color w:val="auto"/>
                <w:kern w:val="2"/>
                <w:sz w:val="21"/>
                <w:szCs w:val="21"/>
                <w:u w:val="none"/>
                <w:shd w:val="clear" w:color="auto" w:fill="auto"/>
                <w:lang w:val="en-US" w:eastAsia="en-US" w:bidi="ar-SA"/>
              </w:rPr>
            </w:pPr>
            <w:r>
              <w:rPr>
                <w:rFonts w:hint="default" w:ascii="Times New Roman" w:hAnsi="Times New Roman" w:eastAsia="Times New Roman" w:cs="Times New Roman"/>
                <w:color w:val="auto"/>
                <w:spacing w:val="0"/>
                <w:w w:val="100"/>
                <w:position w:val="0"/>
                <w:sz w:val="21"/>
                <w:szCs w:val="21"/>
                <w:lang w:val="en-US" w:eastAsia="en-US" w:bidi="en-US"/>
              </w:rPr>
              <w:t>0.0019</w:t>
            </w:r>
          </w:p>
        </w:tc>
        <w:tc>
          <w:tcPr>
            <w:tcW w:w="916"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4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26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12</w:t>
            </w:r>
          </w:p>
        </w:tc>
        <w:tc>
          <w:tcPr>
            <w:tcW w:w="204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34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1,2</w:t>
            </w:r>
            <w:r>
              <w:rPr>
                <w:rFonts w:hint="default" w:ascii="Times New Roman" w:hAnsi="Times New Roman" w:cs="Times New Roman"/>
                <w:color w:val="auto"/>
                <w:spacing w:val="0"/>
                <w:w w:val="100"/>
                <w:position w:val="0"/>
                <w:sz w:val="21"/>
                <w:szCs w:val="21"/>
              </w:rPr>
              <w:t>-二氯乙烷</w:t>
            </w:r>
          </w:p>
        </w:tc>
        <w:tc>
          <w:tcPr>
            <w:tcW w:w="186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2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宋体" w:cs="Times New Roman"/>
                <w:color w:val="auto"/>
                <w:kern w:val="2"/>
                <w:sz w:val="21"/>
                <w:szCs w:val="21"/>
                <w:u w:val="none"/>
                <w:shd w:val="clear" w:color="auto" w:fill="auto"/>
                <w:lang w:val="en-US" w:eastAsia="en-US" w:bidi="ar-SA"/>
              </w:rPr>
            </w:pPr>
            <w:r>
              <w:rPr>
                <w:rFonts w:hint="default" w:ascii="Times New Roman" w:hAnsi="Times New Roman" w:eastAsia="Times New Roman" w:cs="Times New Roman"/>
                <w:color w:val="auto"/>
                <w:spacing w:val="0"/>
                <w:w w:val="100"/>
                <w:position w:val="0"/>
                <w:sz w:val="21"/>
                <w:szCs w:val="21"/>
                <w:lang w:val="en-US" w:eastAsia="en-US" w:bidi="en-US"/>
              </w:rPr>
              <w:t>0.0013</w:t>
            </w:r>
          </w:p>
        </w:tc>
        <w:tc>
          <w:tcPr>
            <w:tcW w:w="916"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4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26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13</w:t>
            </w:r>
          </w:p>
        </w:tc>
        <w:tc>
          <w:tcPr>
            <w:tcW w:w="204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三氯乙烯</w:t>
            </w:r>
          </w:p>
        </w:tc>
        <w:tc>
          <w:tcPr>
            <w:tcW w:w="186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2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宋体" w:cs="Times New Roman"/>
                <w:color w:val="auto"/>
                <w:kern w:val="2"/>
                <w:sz w:val="21"/>
                <w:szCs w:val="21"/>
                <w:u w:val="none"/>
                <w:shd w:val="clear" w:color="auto" w:fill="auto"/>
                <w:lang w:val="en-US" w:eastAsia="en-US" w:bidi="ar-SA"/>
              </w:rPr>
            </w:pPr>
            <w:r>
              <w:rPr>
                <w:rFonts w:hint="default" w:ascii="Times New Roman" w:hAnsi="Times New Roman" w:eastAsia="Times New Roman" w:cs="Times New Roman"/>
                <w:color w:val="auto"/>
                <w:spacing w:val="0"/>
                <w:w w:val="100"/>
                <w:position w:val="0"/>
                <w:sz w:val="21"/>
                <w:szCs w:val="21"/>
                <w:lang w:val="en-US" w:eastAsia="en-US" w:bidi="en-US"/>
              </w:rPr>
              <w:t>0.0012</w:t>
            </w:r>
          </w:p>
        </w:tc>
        <w:tc>
          <w:tcPr>
            <w:tcW w:w="916"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4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26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14</w:t>
            </w:r>
          </w:p>
        </w:tc>
        <w:tc>
          <w:tcPr>
            <w:tcW w:w="204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34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1,2</w:t>
            </w:r>
            <w:r>
              <w:rPr>
                <w:rFonts w:hint="default" w:ascii="Times New Roman" w:hAnsi="Times New Roman" w:cs="Times New Roman"/>
                <w:color w:val="auto"/>
                <w:spacing w:val="0"/>
                <w:w w:val="100"/>
                <w:position w:val="0"/>
                <w:sz w:val="21"/>
                <w:szCs w:val="21"/>
              </w:rPr>
              <w:t>-二氯丙烷</w:t>
            </w:r>
          </w:p>
        </w:tc>
        <w:tc>
          <w:tcPr>
            <w:tcW w:w="186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2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宋体" w:cs="Times New Roman"/>
                <w:color w:val="auto"/>
                <w:kern w:val="2"/>
                <w:sz w:val="21"/>
                <w:szCs w:val="21"/>
                <w:u w:val="none"/>
                <w:shd w:val="clear" w:color="auto" w:fill="auto"/>
                <w:lang w:val="en-US" w:eastAsia="en-US" w:bidi="ar-SA"/>
              </w:rPr>
            </w:pPr>
            <w:r>
              <w:rPr>
                <w:rFonts w:hint="default" w:ascii="Times New Roman" w:hAnsi="Times New Roman" w:eastAsia="Times New Roman" w:cs="Times New Roman"/>
                <w:color w:val="auto"/>
                <w:spacing w:val="0"/>
                <w:w w:val="100"/>
                <w:position w:val="0"/>
                <w:sz w:val="21"/>
                <w:szCs w:val="21"/>
                <w:lang w:val="en-US" w:eastAsia="en-US" w:bidi="en-US"/>
              </w:rPr>
              <w:t>0.0011</w:t>
            </w:r>
          </w:p>
        </w:tc>
        <w:tc>
          <w:tcPr>
            <w:tcW w:w="916"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4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26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15</w:t>
            </w:r>
          </w:p>
        </w:tc>
        <w:tc>
          <w:tcPr>
            <w:tcW w:w="204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甲苯</w:t>
            </w:r>
          </w:p>
        </w:tc>
        <w:tc>
          <w:tcPr>
            <w:tcW w:w="186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2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宋体" w:cs="Times New Roman"/>
                <w:color w:val="auto"/>
                <w:kern w:val="2"/>
                <w:sz w:val="21"/>
                <w:szCs w:val="21"/>
                <w:u w:val="none"/>
                <w:shd w:val="clear" w:color="auto" w:fill="auto"/>
                <w:lang w:val="en-US" w:eastAsia="en-US" w:bidi="ar-SA"/>
              </w:rPr>
            </w:pPr>
            <w:r>
              <w:rPr>
                <w:rFonts w:hint="default" w:ascii="Times New Roman" w:hAnsi="Times New Roman" w:eastAsia="Times New Roman" w:cs="Times New Roman"/>
                <w:color w:val="auto"/>
                <w:spacing w:val="0"/>
                <w:w w:val="100"/>
                <w:position w:val="0"/>
                <w:sz w:val="21"/>
                <w:szCs w:val="21"/>
                <w:lang w:val="en-US" w:eastAsia="en-US" w:bidi="en-US"/>
              </w:rPr>
              <w:t>0.0013</w:t>
            </w:r>
          </w:p>
        </w:tc>
        <w:tc>
          <w:tcPr>
            <w:tcW w:w="916"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1200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4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26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16</w:t>
            </w:r>
          </w:p>
        </w:tc>
        <w:tc>
          <w:tcPr>
            <w:tcW w:w="204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24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1</w:t>
            </w:r>
            <w:r>
              <w:rPr>
                <w:rFonts w:hint="default" w:ascii="Times New Roman" w:hAnsi="Times New Roman" w:cs="Times New Roman"/>
                <w:color w:val="auto"/>
                <w:spacing w:val="0"/>
                <w:w w:val="100"/>
                <w:position w:val="0"/>
                <w:sz w:val="21"/>
                <w:szCs w:val="21"/>
              </w:rPr>
              <w:t>丄</w:t>
            </w:r>
            <w:r>
              <w:rPr>
                <w:rFonts w:hint="default" w:ascii="Times New Roman" w:hAnsi="Times New Roman" w:eastAsia="Times New Roman" w:cs="Times New Roman"/>
                <w:color w:val="auto"/>
                <w:spacing w:val="0"/>
                <w:w w:val="100"/>
                <w:position w:val="0"/>
                <w:sz w:val="21"/>
                <w:szCs w:val="21"/>
              </w:rPr>
              <w:t>2</w:t>
            </w:r>
            <w:r>
              <w:rPr>
                <w:rFonts w:hint="default" w:ascii="Times New Roman" w:hAnsi="Times New Roman" w:cs="Times New Roman"/>
                <w:color w:val="auto"/>
                <w:spacing w:val="0"/>
                <w:w w:val="100"/>
                <w:position w:val="0"/>
                <w:sz w:val="21"/>
                <w:szCs w:val="21"/>
              </w:rPr>
              <w:t>-三氯乙烷</w:t>
            </w:r>
          </w:p>
        </w:tc>
        <w:tc>
          <w:tcPr>
            <w:tcW w:w="186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2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宋体" w:cs="Times New Roman"/>
                <w:color w:val="auto"/>
                <w:kern w:val="2"/>
                <w:sz w:val="21"/>
                <w:szCs w:val="21"/>
                <w:u w:val="none"/>
                <w:shd w:val="clear" w:color="auto" w:fill="auto"/>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0.0012</w:t>
            </w:r>
          </w:p>
        </w:tc>
        <w:tc>
          <w:tcPr>
            <w:tcW w:w="916"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4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26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17</w:t>
            </w:r>
          </w:p>
        </w:tc>
        <w:tc>
          <w:tcPr>
            <w:tcW w:w="204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四氯乙烯</w:t>
            </w:r>
          </w:p>
        </w:tc>
        <w:tc>
          <w:tcPr>
            <w:tcW w:w="186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2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宋体" w:cs="Times New Roman"/>
                <w:color w:val="auto"/>
                <w:kern w:val="2"/>
                <w:sz w:val="21"/>
                <w:szCs w:val="21"/>
                <w:u w:val="none"/>
                <w:shd w:val="clear" w:color="auto" w:fill="auto"/>
                <w:lang w:val="en-US" w:eastAsia="en-US" w:bidi="ar-SA"/>
              </w:rPr>
            </w:pPr>
            <w:r>
              <w:rPr>
                <w:rFonts w:hint="default" w:ascii="Times New Roman" w:hAnsi="Times New Roman" w:eastAsia="Times New Roman" w:cs="Times New Roman"/>
                <w:color w:val="auto"/>
                <w:spacing w:val="0"/>
                <w:w w:val="100"/>
                <w:position w:val="0"/>
                <w:sz w:val="21"/>
                <w:szCs w:val="21"/>
                <w:lang w:val="en-US" w:eastAsia="en-US" w:bidi="en-US"/>
              </w:rPr>
              <w:t>0.0014</w:t>
            </w:r>
          </w:p>
        </w:tc>
        <w:tc>
          <w:tcPr>
            <w:tcW w:w="916"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53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4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26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18</w:t>
            </w:r>
          </w:p>
        </w:tc>
        <w:tc>
          <w:tcPr>
            <w:tcW w:w="204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pacing w:val="0"/>
                <w:w w:val="100"/>
                <w:position w:val="0"/>
                <w:sz w:val="21"/>
                <w:szCs w:val="21"/>
              </w:rPr>
              <w:t>氯苯</w:t>
            </w:r>
          </w:p>
        </w:tc>
        <w:tc>
          <w:tcPr>
            <w:tcW w:w="186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2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宋体" w:cs="Times New Roman"/>
                <w:color w:val="auto"/>
                <w:kern w:val="2"/>
                <w:sz w:val="21"/>
                <w:szCs w:val="21"/>
                <w:u w:val="none"/>
                <w:shd w:val="clear" w:color="auto" w:fill="auto"/>
                <w:lang w:val="en-US" w:eastAsia="en-US" w:bidi="ar-SA"/>
              </w:rPr>
            </w:pPr>
            <w:r>
              <w:rPr>
                <w:rFonts w:hint="default" w:ascii="Times New Roman" w:hAnsi="Times New Roman" w:eastAsia="Times New Roman" w:cs="Times New Roman"/>
                <w:color w:val="auto"/>
                <w:spacing w:val="0"/>
                <w:w w:val="100"/>
                <w:position w:val="0"/>
                <w:sz w:val="21"/>
                <w:szCs w:val="21"/>
                <w:lang w:val="en-US" w:eastAsia="en-US" w:bidi="en-US"/>
              </w:rPr>
              <w:t>0.0012</w:t>
            </w:r>
          </w:p>
        </w:tc>
        <w:tc>
          <w:tcPr>
            <w:tcW w:w="916"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270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4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26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19</w:t>
            </w:r>
          </w:p>
        </w:tc>
        <w:tc>
          <w:tcPr>
            <w:tcW w:w="204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lang w:val="en-US" w:eastAsia="en-US" w:bidi="en-US"/>
              </w:rPr>
              <w:t>],</w:t>
            </w:r>
            <w:r>
              <w:rPr>
                <w:rFonts w:hint="default" w:ascii="Times New Roman" w:hAnsi="Times New Roman" w:eastAsia="Times New Roman" w:cs="Times New Roman"/>
                <w:color w:val="auto"/>
                <w:spacing w:val="0"/>
                <w:w w:val="100"/>
                <w:position w:val="0"/>
                <w:sz w:val="21"/>
                <w:szCs w:val="21"/>
              </w:rPr>
              <w:t>1,1,2</w:t>
            </w:r>
            <w:r>
              <w:rPr>
                <w:rFonts w:hint="default" w:ascii="Times New Roman" w:hAnsi="Times New Roman" w:cs="Times New Roman"/>
                <w:color w:val="auto"/>
                <w:spacing w:val="0"/>
                <w:w w:val="100"/>
                <w:position w:val="0"/>
                <w:sz w:val="21"/>
                <w:szCs w:val="21"/>
              </w:rPr>
              <w:t>-四氯乙烷</w:t>
            </w:r>
          </w:p>
        </w:tc>
        <w:tc>
          <w:tcPr>
            <w:tcW w:w="186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2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宋体" w:cs="Times New Roman"/>
                <w:color w:val="auto"/>
                <w:kern w:val="2"/>
                <w:sz w:val="21"/>
                <w:szCs w:val="21"/>
                <w:u w:val="none"/>
                <w:shd w:val="clear" w:color="auto" w:fill="auto"/>
                <w:lang w:val="en-US" w:eastAsia="en-US" w:bidi="ar-SA"/>
              </w:rPr>
            </w:pPr>
            <w:r>
              <w:rPr>
                <w:rFonts w:hint="default" w:ascii="Times New Roman" w:hAnsi="Times New Roman" w:eastAsia="Times New Roman" w:cs="Times New Roman"/>
                <w:color w:val="auto"/>
                <w:spacing w:val="0"/>
                <w:w w:val="100"/>
                <w:position w:val="0"/>
                <w:sz w:val="21"/>
                <w:szCs w:val="21"/>
                <w:lang w:val="en-US" w:eastAsia="en-US" w:bidi="en-US"/>
              </w:rPr>
              <w:t>0.0012</w:t>
            </w:r>
          </w:p>
        </w:tc>
        <w:tc>
          <w:tcPr>
            <w:tcW w:w="916"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4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260" w:firstLineChars="0"/>
              <w:jc w:val="center"/>
              <w:rPr>
                <w:rFonts w:hint="default" w:ascii="Times New Roman" w:hAnsi="Times New Roman" w:eastAsia="Times New Roman" w:cs="Times New Roman"/>
                <w:color w:val="auto"/>
                <w:spacing w:val="0"/>
                <w:w w:val="100"/>
                <w:position w:val="0"/>
                <w:sz w:val="21"/>
                <w:szCs w:val="21"/>
              </w:rPr>
            </w:pPr>
            <w:r>
              <w:rPr>
                <w:rFonts w:hint="default" w:ascii="Times New Roman" w:hAnsi="Times New Roman" w:eastAsia="Times New Roman" w:cs="Times New Roman"/>
                <w:color w:val="auto"/>
                <w:spacing w:val="0"/>
                <w:w w:val="100"/>
                <w:position w:val="0"/>
                <w:sz w:val="21"/>
                <w:szCs w:val="21"/>
              </w:rPr>
              <w:t>20</w:t>
            </w:r>
          </w:p>
        </w:tc>
        <w:tc>
          <w:tcPr>
            <w:tcW w:w="204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auto"/>
                <w:spacing w:val="0"/>
                <w:w w:val="100"/>
                <w:position w:val="0"/>
                <w:sz w:val="21"/>
                <w:szCs w:val="21"/>
                <w:lang w:val="en-US" w:eastAsia="en-US" w:bidi="en-US"/>
              </w:rPr>
            </w:pPr>
            <w:r>
              <w:rPr>
                <w:rFonts w:hint="default" w:ascii="Times New Roman" w:hAnsi="Times New Roman" w:cs="Times New Roman"/>
                <w:color w:val="auto"/>
                <w:spacing w:val="0"/>
                <w:w w:val="100"/>
                <w:position w:val="0"/>
                <w:sz w:val="21"/>
                <w:szCs w:val="21"/>
              </w:rPr>
              <w:t>乙苯</w:t>
            </w:r>
          </w:p>
        </w:tc>
        <w:tc>
          <w:tcPr>
            <w:tcW w:w="186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auto"/>
                <w:spacing w:val="0"/>
                <w:w w:val="100"/>
                <w:kern w:val="2"/>
                <w:position w:val="0"/>
                <w:sz w:val="21"/>
                <w:szCs w:val="21"/>
                <w:lang w:val="en-US" w:eastAsia="en-US" w:bidi="en-US"/>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auto"/>
                <w:spacing w:val="0"/>
                <w:w w:val="100"/>
                <w:kern w:val="2"/>
                <w:position w:val="0"/>
                <w:sz w:val="21"/>
                <w:szCs w:val="21"/>
                <w:lang w:val="en-US" w:eastAsia="en-US" w:bidi="en-US"/>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2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Times New Roman" w:cs="Times New Roman"/>
                <w:color w:val="auto"/>
                <w:spacing w:val="0"/>
                <w:w w:val="100"/>
                <w:kern w:val="2"/>
                <w:position w:val="0"/>
                <w:sz w:val="21"/>
                <w:szCs w:val="21"/>
                <w:u w:val="none"/>
                <w:shd w:val="clear" w:color="auto" w:fill="auto"/>
                <w:lang w:val="en-US" w:eastAsia="en-US" w:bidi="en-US"/>
              </w:rPr>
            </w:pPr>
            <w:r>
              <w:rPr>
                <w:rFonts w:hint="default" w:ascii="Times New Roman" w:hAnsi="Times New Roman" w:eastAsia="Times New Roman" w:cs="Times New Roman"/>
                <w:color w:val="auto"/>
                <w:spacing w:val="0"/>
                <w:w w:val="100"/>
                <w:position w:val="0"/>
                <w:sz w:val="21"/>
                <w:szCs w:val="21"/>
                <w:lang w:val="en-US" w:eastAsia="en-US" w:bidi="en-US"/>
              </w:rPr>
              <w:t>0.0012</w:t>
            </w:r>
          </w:p>
        </w:tc>
        <w:tc>
          <w:tcPr>
            <w:tcW w:w="916"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4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260" w:firstLineChars="0"/>
              <w:jc w:val="center"/>
              <w:rPr>
                <w:rFonts w:hint="default" w:ascii="Times New Roman" w:hAnsi="Times New Roman" w:eastAsia="Times New Roman" w:cs="Times New Roman"/>
                <w:color w:val="auto"/>
                <w:spacing w:val="0"/>
                <w:w w:val="100"/>
                <w:position w:val="0"/>
                <w:sz w:val="21"/>
                <w:szCs w:val="21"/>
              </w:rPr>
            </w:pPr>
            <w:r>
              <w:rPr>
                <w:rFonts w:hint="default" w:ascii="Times New Roman" w:hAnsi="Times New Roman" w:eastAsia="Times New Roman" w:cs="Times New Roman"/>
                <w:color w:val="auto"/>
                <w:spacing w:val="0"/>
                <w:w w:val="100"/>
                <w:position w:val="0"/>
                <w:sz w:val="21"/>
                <w:szCs w:val="21"/>
              </w:rPr>
              <w:t>21</w:t>
            </w:r>
          </w:p>
        </w:tc>
        <w:tc>
          <w:tcPr>
            <w:tcW w:w="204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240" w:firstLineChars="0"/>
              <w:jc w:val="center"/>
              <w:rPr>
                <w:rFonts w:hint="default" w:ascii="Times New Roman" w:hAnsi="Times New Roman" w:eastAsia="Times New Roman" w:cs="Times New Roman"/>
                <w:color w:val="auto"/>
                <w:spacing w:val="0"/>
                <w:w w:val="100"/>
                <w:position w:val="0"/>
                <w:sz w:val="21"/>
                <w:szCs w:val="21"/>
                <w:lang w:val="en-US" w:eastAsia="en-US" w:bidi="en-US"/>
              </w:rPr>
            </w:pPr>
            <w:r>
              <w:rPr>
                <w:rFonts w:hint="default" w:ascii="Times New Roman" w:hAnsi="Times New Roman" w:cs="Times New Roman"/>
                <w:color w:val="auto"/>
                <w:spacing w:val="0"/>
                <w:w w:val="100"/>
                <w:position w:val="0"/>
                <w:sz w:val="21"/>
                <w:szCs w:val="21"/>
              </w:rPr>
              <w:t>间，对-二甲苯</w:t>
            </w:r>
          </w:p>
        </w:tc>
        <w:tc>
          <w:tcPr>
            <w:tcW w:w="186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auto"/>
                <w:spacing w:val="0"/>
                <w:w w:val="100"/>
                <w:kern w:val="2"/>
                <w:position w:val="0"/>
                <w:sz w:val="21"/>
                <w:szCs w:val="21"/>
                <w:lang w:val="en-US" w:eastAsia="en-US" w:bidi="en-US"/>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auto"/>
                <w:spacing w:val="0"/>
                <w:w w:val="100"/>
                <w:kern w:val="2"/>
                <w:position w:val="0"/>
                <w:sz w:val="21"/>
                <w:szCs w:val="21"/>
                <w:lang w:val="en-US" w:eastAsia="en-US" w:bidi="en-US"/>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2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Times New Roman" w:cs="Times New Roman"/>
                <w:color w:val="auto"/>
                <w:spacing w:val="0"/>
                <w:w w:val="100"/>
                <w:kern w:val="2"/>
                <w:position w:val="0"/>
                <w:sz w:val="21"/>
                <w:szCs w:val="21"/>
                <w:u w:val="none"/>
                <w:shd w:val="clear" w:color="auto" w:fill="auto"/>
                <w:lang w:val="en-US" w:eastAsia="en-US" w:bidi="en-US"/>
              </w:rPr>
            </w:pPr>
            <w:r>
              <w:rPr>
                <w:rFonts w:hint="default" w:ascii="Times New Roman" w:hAnsi="Times New Roman" w:eastAsia="Times New Roman" w:cs="Times New Roman"/>
                <w:color w:val="auto"/>
                <w:spacing w:val="0"/>
                <w:w w:val="100"/>
                <w:position w:val="0"/>
                <w:sz w:val="21"/>
                <w:szCs w:val="21"/>
                <w:lang w:val="en-US" w:eastAsia="en-US" w:bidi="en-US"/>
              </w:rPr>
              <w:t>0.0012</w:t>
            </w:r>
          </w:p>
        </w:tc>
        <w:tc>
          <w:tcPr>
            <w:tcW w:w="916"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570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4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260" w:firstLineChars="0"/>
              <w:jc w:val="center"/>
              <w:rPr>
                <w:rFonts w:hint="default" w:ascii="Times New Roman" w:hAnsi="Times New Roman" w:eastAsia="Times New Roman" w:cs="Times New Roman"/>
                <w:color w:val="auto"/>
                <w:spacing w:val="0"/>
                <w:w w:val="100"/>
                <w:position w:val="0"/>
                <w:sz w:val="21"/>
                <w:szCs w:val="21"/>
              </w:rPr>
            </w:pPr>
            <w:r>
              <w:rPr>
                <w:rFonts w:hint="default" w:ascii="Times New Roman" w:hAnsi="Times New Roman" w:eastAsia="Times New Roman" w:cs="Times New Roman"/>
                <w:color w:val="auto"/>
                <w:spacing w:val="0"/>
                <w:w w:val="100"/>
                <w:position w:val="0"/>
                <w:sz w:val="21"/>
                <w:szCs w:val="21"/>
              </w:rPr>
              <w:t>22</w:t>
            </w:r>
          </w:p>
        </w:tc>
        <w:tc>
          <w:tcPr>
            <w:tcW w:w="204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auto"/>
                <w:spacing w:val="0"/>
                <w:w w:val="100"/>
                <w:position w:val="0"/>
                <w:sz w:val="21"/>
                <w:szCs w:val="21"/>
                <w:lang w:val="en-US" w:eastAsia="en-US" w:bidi="en-US"/>
              </w:rPr>
            </w:pPr>
            <w:r>
              <w:rPr>
                <w:rFonts w:hint="default" w:ascii="Times New Roman" w:hAnsi="Times New Roman" w:cs="Times New Roman"/>
                <w:color w:val="auto"/>
                <w:spacing w:val="0"/>
                <w:w w:val="100"/>
                <w:position w:val="0"/>
                <w:sz w:val="21"/>
                <w:szCs w:val="21"/>
              </w:rPr>
              <w:t>邻二甲苯</w:t>
            </w:r>
          </w:p>
        </w:tc>
        <w:tc>
          <w:tcPr>
            <w:tcW w:w="186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auto"/>
                <w:spacing w:val="0"/>
                <w:w w:val="100"/>
                <w:kern w:val="2"/>
                <w:position w:val="0"/>
                <w:sz w:val="21"/>
                <w:szCs w:val="21"/>
                <w:lang w:val="en-US" w:eastAsia="en-US" w:bidi="en-US"/>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auto"/>
                <w:spacing w:val="0"/>
                <w:w w:val="100"/>
                <w:kern w:val="2"/>
                <w:position w:val="0"/>
                <w:sz w:val="21"/>
                <w:szCs w:val="21"/>
                <w:lang w:val="en-US" w:eastAsia="en-US" w:bidi="en-US"/>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2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Times New Roman" w:cs="Times New Roman"/>
                <w:color w:val="auto"/>
                <w:spacing w:val="0"/>
                <w:w w:val="100"/>
                <w:kern w:val="2"/>
                <w:position w:val="0"/>
                <w:sz w:val="21"/>
                <w:szCs w:val="21"/>
                <w:u w:val="none"/>
                <w:shd w:val="clear" w:color="auto" w:fill="auto"/>
                <w:lang w:val="en-US" w:eastAsia="en-US" w:bidi="en-US"/>
              </w:rPr>
            </w:pPr>
            <w:r>
              <w:rPr>
                <w:rFonts w:hint="default" w:ascii="Times New Roman" w:hAnsi="Times New Roman" w:eastAsia="Times New Roman" w:cs="Times New Roman"/>
                <w:color w:val="auto"/>
                <w:spacing w:val="0"/>
                <w:w w:val="100"/>
                <w:position w:val="0"/>
                <w:sz w:val="21"/>
                <w:szCs w:val="21"/>
                <w:lang w:val="en-US" w:eastAsia="en-US" w:bidi="en-US"/>
              </w:rPr>
              <w:t>0.0012</w:t>
            </w:r>
          </w:p>
        </w:tc>
        <w:tc>
          <w:tcPr>
            <w:tcW w:w="916"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640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4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260" w:firstLineChars="0"/>
              <w:jc w:val="center"/>
              <w:rPr>
                <w:rFonts w:hint="default" w:ascii="Times New Roman" w:hAnsi="Times New Roman" w:eastAsia="Times New Roman" w:cs="Times New Roman"/>
                <w:color w:val="auto"/>
                <w:spacing w:val="0"/>
                <w:w w:val="100"/>
                <w:position w:val="0"/>
                <w:sz w:val="21"/>
                <w:szCs w:val="21"/>
              </w:rPr>
            </w:pPr>
            <w:r>
              <w:rPr>
                <w:rFonts w:hint="default" w:ascii="Times New Roman" w:hAnsi="Times New Roman" w:eastAsia="Times New Roman" w:cs="Times New Roman"/>
                <w:color w:val="auto"/>
                <w:spacing w:val="0"/>
                <w:w w:val="100"/>
                <w:position w:val="0"/>
                <w:sz w:val="21"/>
                <w:szCs w:val="21"/>
              </w:rPr>
              <w:t>23</w:t>
            </w:r>
          </w:p>
        </w:tc>
        <w:tc>
          <w:tcPr>
            <w:tcW w:w="204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auto"/>
                <w:spacing w:val="0"/>
                <w:w w:val="100"/>
                <w:position w:val="0"/>
                <w:sz w:val="21"/>
                <w:szCs w:val="21"/>
                <w:lang w:val="en-US" w:eastAsia="en-US" w:bidi="en-US"/>
              </w:rPr>
            </w:pPr>
            <w:r>
              <w:rPr>
                <w:rFonts w:hint="default" w:ascii="Times New Roman" w:hAnsi="Times New Roman" w:cs="Times New Roman"/>
                <w:color w:val="auto"/>
                <w:spacing w:val="0"/>
                <w:w w:val="100"/>
                <w:position w:val="0"/>
                <w:sz w:val="21"/>
                <w:szCs w:val="21"/>
              </w:rPr>
              <w:t>苯乙烯</w:t>
            </w:r>
          </w:p>
        </w:tc>
        <w:tc>
          <w:tcPr>
            <w:tcW w:w="186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auto"/>
                <w:spacing w:val="0"/>
                <w:w w:val="100"/>
                <w:kern w:val="2"/>
                <w:position w:val="0"/>
                <w:sz w:val="21"/>
                <w:szCs w:val="21"/>
                <w:lang w:val="en-US" w:eastAsia="en-US" w:bidi="en-US"/>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auto"/>
                <w:spacing w:val="0"/>
                <w:w w:val="100"/>
                <w:kern w:val="2"/>
                <w:position w:val="0"/>
                <w:sz w:val="21"/>
                <w:szCs w:val="21"/>
                <w:lang w:val="en-US" w:eastAsia="en-US" w:bidi="en-US"/>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2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Times New Roman" w:cs="Times New Roman"/>
                <w:color w:val="auto"/>
                <w:spacing w:val="0"/>
                <w:w w:val="100"/>
                <w:kern w:val="2"/>
                <w:position w:val="0"/>
                <w:sz w:val="21"/>
                <w:szCs w:val="21"/>
                <w:u w:val="none"/>
                <w:shd w:val="clear" w:color="auto" w:fill="auto"/>
                <w:lang w:val="en-US" w:eastAsia="en-US" w:bidi="en-US"/>
              </w:rPr>
            </w:pPr>
            <w:r>
              <w:rPr>
                <w:rFonts w:hint="default" w:ascii="Times New Roman" w:hAnsi="Times New Roman" w:eastAsia="Times New Roman" w:cs="Times New Roman"/>
                <w:color w:val="auto"/>
                <w:spacing w:val="0"/>
                <w:w w:val="100"/>
                <w:position w:val="0"/>
                <w:sz w:val="21"/>
                <w:szCs w:val="21"/>
                <w:lang w:val="en-US" w:eastAsia="en-US" w:bidi="en-US"/>
              </w:rPr>
              <w:t>0.0011</w:t>
            </w:r>
          </w:p>
        </w:tc>
        <w:tc>
          <w:tcPr>
            <w:tcW w:w="916"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1290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4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260" w:firstLineChars="0"/>
              <w:jc w:val="center"/>
              <w:rPr>
                <w:rFonts w:hint="default" w:ascii="Times New Roman" w:hAnsi="Times New Roman" w:eastAsia="Times New Roman" w:cs="Times New Roman"/>
                <w:color w:val="auto"/>
                <w:spacing w:val="0"/>
                <w:w w:val="100"/>
                <w:position w:val="0"/>
                <w:sz w:val="21"/>
                <w:szCs w:val="21"/>
              </w:rPr>
            </w:pPr>
            <w:r>
              <w:rPr>
                <w:rFonts w:hint="default" w:ascii="Times New Roman" w:hAnsi="Times New Roman" w:eastAsia="Times New Roman" w:cs="Times New Roman"/>
                <w:color w:val="auto"/>
                <w:spacing w:val="0"/>
                <w:w w:val="100"/>
                <w:position w:val="0"/>
                <w:sz w:val="21"/>
                <w:szCs w:val="21"/>
              </w:rPr>
              <w:t>24</w:t>
            </w:r>
          </w:p>
        </w:tc>
        <w:tc>
          <w:tcPr>
            <w:tcW w:w="204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auto"/>
                <w:spacing w:val="0"/>
                <w:w w:val="100"/>
                <w:position w:val="0"/>
                <w:sz w:val="21"/>
                <w:szCs w:val="21"/>
                <w:lang w:val="en-US" w:eastAsia="en-US" w:bidi="en-US"/>
              </w:rPr>
            </w:pPr>
            <w:r>
              <w:rPr>
                <w:rFonts w:hint="default" w:ascii="Times New Roman" w:hAnsi="Times New Roman" w:cs="Times New Roman"/>
                <w:i/>
                <w:iCs/>
                <w:color w:val="auto"/>
                <w:spacing w:val="0"/>
                <w:w w:val="100"/>
                <w:position w:val="0"/>
                <w:sz w:val="21"/>
                <w:szCs w:val="21"/>
              </w:rPr>
              <w:t>1,1,2,2-</w:t>
            </w:r>
            <w:r>
              <w:rPr>
                <w:rFonts w:hint="default" w:ascii="Times New Roman" w:hAnsi="Times New Roman" w:cs="Times New Roman"/>
                <w:color w:val="auto"/>
                <w:spacing w:val="0"/>
                <w:w w:val="100"/>
                <w:position w:val="0"/>
                <w:sz w:val="21"/>
                <w:szCs w:val="21"/>
              </w:rPr>
              <w:t>四氯乙烷</w:t>
            </w:r>
          </w:p>
        </w:tc>
        <w:tc>
          <w:tcPr>
            <w:tcW w:w="186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auto"/>
                <w:spacing w:val="0"/>
                <w:w w:val="100"/>
                <w:kern w:val="2"/>
                <w:position w:val="0"/>
                <w:sz w:val="21"/>
                <w:szCs w:val="21"/>
                <w:lang w:val="en-US" w:eastAsia="en-US" w:bidi="en-US"/>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auto"/>
                <w:spacing w:val="0"/>
                <w:w w:val="100"/>
                <w:kern w:val="2"/>
                <w:position w:val="0"/>
                <w:sz w:val="21"/>
                <w:szCs w:val="21"/>
                <w:lang w:val="en-US" w:eastAsia="en-US" w:bidi="en-US"/>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2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Times New Roman" w:cs="Times New Roman"/>
                <w:color w:val="auto"/>
                <w:spacing w:val="0"/>
                <w:w w:val="100"/>
                <w:kern w:val="2"/>
                <w:position w:val="0"/>
                <w:sz w:val="21"/>
                <w:szCs w:val="21"/>
                <w:u w:val="none"/>
                <w:shd w:val="clear" w:color="auto" w:fill="auto"/>
                <w:lang w:val="en-US" w:eastAsia="en-US" w:bidi="en-US"/>
              </w:rPr>
            </w:pPr>
            <w:r>
              <w:rPr>
                <w:rFonts w:hint="default" w:ascii="Times New Roman" w:hAnsi="Times New Roman" w:eastAsia="Times New Roman" w:cs="Times New Roman"/>
                <w:color w:val="auto"/>
                <w:spacing w:val="0"/>
                <w:w w:val="100"/>
                <w:position w:val="0"/>
                <w:sz w:val="21"/>
                <w:szCs w:val="21"/>
                <w:lang w:val="en-US" w:eastAsia="en-US" w:bidi="en-US"/>
              </w:rPr>
              <w:t>0.0012</w:t>
            </w:r>
          </w:p>
        </w:tc>
        <w:tc>
          <w:tcPr>
            <w:tcW w:w="916"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4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260" w:firstLineChars="0"/>
              <w:jc w:val="center"/>
              <w:rPr>
                <w:rFonts w:hint="default" w:ascii="Times New Roman" w:hAnsi="Times New Roman" w:eastAsia="Times New Roman" w:cs="Times New Roman"/>
                <w:color w:val="auto"/>
                <w:spacing w:val="0"/>
                <w:w w:val="100"/>
                <w:position w:val="0"/>
                <w:sz w:val="21"/>
                <w:szCs w:val="21"/>
              </w:rPr>
            </w:pPr>
            <w:r>
              <w:rPr>
                <w:rFonts w:hint="default" w:ascii="Times New Roman" w:hAnsi="Times New Roman" w:eastAsia="Times New Roman" w:cs="Times New Roman"/>
                <w:color w:val="auto"/>
                <w:spacing w:val="0"/>
                <w:w w:val="100"/>
                <w:position w:val="0"/>
                <w:sz w:val="21"/>
                <w:szCs w:val="21"/>
              </w:rPr>
              <w:t>25</w:t>
            </w:r>
          </w:p>
        </w:tc>
        <w:tc>
          <w:tcPr>
            <w:tcW w:w="204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240" w:firstLineChars="0"/>
              <w:jc w:val="center"/>
              <w:rPr>
                <w:rFonts w:hint="default" w:ascii="Times New Roman" w:hAnsi="Times New Roman" w:eastAsia="Times New Roman" w:cs="Times New Roman"/>
                <w:color w:val="auto"/>
                <w:spacing w:val="0"/>
                <w:w w:val="100"/>
                <w:position w:val="0"/>
                <w:sz w:val="21"/>
                <w:szCs w:val="21"/>
                <w:lang w:val="en-US" w:eastAsia="en-US" w:bidi="en-US"/>
              </w:rPr>
            </w:pPr>
            <w:r>
              <w:rPr>
                <w:rFonts w:hint="default" w:ascii="Times New Roman" w:hAnsi="Times New Roman" w:eastAsia="Times New Roman" w:cs="Times New Roman"/>
                <w:color w:val="auto"/>
                <w:spacing w:val="0"/>
                <w:w w:val="100"/>
                <w:position w:val="0"/>
                <w:sz w:val="21"/>
                <w:szCs w:val="21"/>
              </w:rPr>
              <w:t>1,2,3</w:t>
            </w:r>
            <w:r>
              <w:rPr>
                <w:rFonts w:hint="default" w:ascii="Times New Roman" w:hAnsi="Times New Roman" w:cs="Times New Roman"/>
                <w:color w:val="auto"/>
                <w:spacing w:val="0"/>
                <w:w w:val="100"/>
                <w:position w:val="0"/>
                <w:sz w:val="21"/>
                <w:szCs w:val="21"/>
              </w:rPr>
              <w:t>-三氯丙烷</w:t>
            </w:r>
          </w:p>
        </w:tc>
        <w:tc>
          <w:tcPr>
            <w:tcW w:w="186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auto"/>
                <w:spacing w:val="0"/>
                <w:w w:val="100"/>
                <w:kern w:val="2"/>
                <w:position w:val="0"/>
                <w:sz w:val="21"/>
                <w:szCs w:val="21"/>
                <w:lang w:val="en-US" w:eastAsia="en-US" w:bidi="en-US"/>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auto"/>
                <w:spacing w:val="0"/>
                <w:w w:val="100"/>
                <w:kern w:val="2"/>
                <w:position w:val="0"/>
                <w:sz w:val="21"/>
                <w:szCs w:val="21"/>
                <w:lang w:val="en-US" w:eastAsia="en-US" w:bidi="en-US"/>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2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Times New Roman" w:cs="Times New Roman"/>
                <w:color w:val="auto"/>
                <w:spacing w:val="0"/>
                <w:w w:val="100"/>
                <w:kern w:val="2"/>
                <w:position w:val="0"/>
                <w:sz w:val="21"/>
                <w:szCs w:val="21"/>
                <w:u w:val="none"/>
                <w:shd w:val="clear" w:color="auto" w:fill="auto"/>
                <w:lang w:val="en-US" w:eastAsia="en-US" w:bidi="en-US"/>
              </w:rPr>
            </w:pPr>
            <w:r>
              <w:rPr>
                <w:rFonts w:hint="default" w:ascii="Times New Roman" w:hAnsi="Times New Roman" w:eastAsia="Times New Roman" w:cs="Times New Roman"/>
                <w:color w:val="auto"/>
                <w:spacing w:val="0"/>
                <w:w w:val="100"/>
                <w:position w:val="0"/>
                <w:sz w:val="21"/>
                <w:szCs w:val="21"/>
                <w:lang w:val="en-US" w:eastAsia="en-US" w:bidi="en-US"/>
              </w:rPr>
              <w:t>0.0012</w:t>
            </w:r>
          </w:p>
        </w:tc>
        <w:tc>
          <w:tcPr>
            <w:tcW w:w="916"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4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260" w:firstLineChars="0"/>
              <w:jc w:val="center"/>
              <w:rPr>
                <w:rFonts w:hint="default" w:ascii="Times New Roman" w:hAnsi="Times New Roman" w:eastAsia="Times New Roman" w:cs="Times New Roman"/>
                <w:color w:val="auto"/>
                <w:spacing w:val="0"/>
                <w:w w:val="100"/>
                <w:position w:val="0"/>
                <w:sz w:val="21"/>
                <w:szCs w:val="21"/>
              </w:rPr>
            </w:pPr>
            <w:r>
              <w:rPr>
                <w:rFonts w:hint="default" w:ascii="Times New Roman" w:hAnsi="Times New Roman" w:eastAsia="Times New Roman" w:cs="Times New Roman"/>
                <w:color w:val="auto"/>
                <w:spacing w:val="0"/>
                <w:w w:val="100"/>
                <w:position w:val="0"/>
                <w:sz w:val="21"/>
                <w:szCs w:val="21"/>
              </w:rPr>
              <w:t>26</w:t>
            </w:r>
          </w:p>
        </w:tc>
        <w:tc>
          <w:tcPr>
            <w:tcW w:w="204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auto"/>
                <w:spacing w:val="0"/>
                <w:w w:val="100"/>
                <w:position w:val="0"/>
                <w:sz w:val="21"/>
                <w:szCs w:val="21"/>
                <w:lang w:val="en-US" w:eastAsia="en-US" w:bidi="en-US"/>
              </w:rPr>
            </w:pPr>
            <w:r>
              <w:rPr>
                <w:rFonts w:hint="default" w:ascii="Times New Roman" w:hAnsi="Times New Roman" w:eastAsia="Times New Roman" w:cs="Times New Roman"/>
                <w:color w:val="auto"/>
                <w:spacing w:val="0"/>
                <w:w w:val="100"/>
                <w:position w:val="0"/>
                <w:sz w:val="21"/>
                <w:szCs w:val="21"/>
              </w:rPr>
              <w:t>1,4-</w:t>
            </w:r>
            <w:r>
              <w:rPr>
                <w:rFonts w:hint="default" w:ascii="Times New Roman" w:hAnsi="Times New Roman" w:cs="Times New Roman"/>
                <w:color w:val="auto"/>
                <w:spacing w:val="0"/>
                <w:w w:val="100"/>
                <w:position w:val="0"/>
                <w:sz w:val="21"/>
                <w:szCs w:val="21"/>
              </w:rPr>
              <w:t>二氯苯</w:t>
            </w:r>
          </w:p>
        </w:tc>
        <w:tc>
          <w:tcPr>
            <w:tcW w:w="186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auto"/>
                <w:spacing w:val="0"/>
                <w:w w:val="100"/>
                <w:kern w:val="2"/>
                <w:position w:val="0"/>
                <w:sz w:val="21"/>
                <w:szCs w:val="21"/>
                <w:lang w:val="en-US" w:eastAsia="en-US" w:bidi="en-US"/>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auto"/>
                <w:spacing w:val="0"/>
                <w:w w:val="100"/>
                <w:kern w:val="2"/>
                <w:position w:val="0"/>
                <w:sz w:val="21"/>
                <w:szCs w:val="21"/>
                <w:lang w:val="en-US" w:eastAsia="en-US" w:bidi="en-US"/>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2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Times New Roman" w:cs="Times New Roman"/>
                <w:color w:val="auto"/>
                <w:spacing w:val="0"/>
                <w:w w:val="100"/>
                <w:kern w:val="2"/>
                <w:position w:val="0"/>
                <w:sz w:val="21"/>
                <w:szCs w:val="21"/>
                <w:u w:val="none"/>
                <w:shd w:val="clear" w:color="auto" w:fill="auto"/>
                <w:lang w:val="en-US" w:eastAsia="en-US" w:bidi="en-US"/>
              </w:rPr>
            </w:pPr>
            <w:r>
              <w:rPr>
                <w:rFonts w:hint="default" w:ascii="Times New Roman" w:hAnsi="Times New Roman" w:eastAsia="Times New Roman" w:cs="Times New Roman"/>
                <w:color w:val="auto"/>
                <w:spacing w:val="0"/>
                <w:w w:val="100"/>
                <w:position w:val="0"/>
                <w:sz w:val="21"/>
                <w:szCs w:val="21"/>
                <w:lang w:val="en-US" w:eastAsia="en-US" w:bidi="en-US"/>
              </w:rPr>
              <w:t>0.0015</w:t>
            </w:r>
          </w:p>
        </w:tc>
        <w:tc>
          <w:tcPr>
            <w:tcW w:w="916"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4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260" w:firstLineChars="0"/>
              <w:jc w:val="center"/>
              <w:rPr>
                <w:rFonts w:hint="default" w:ascii="Times New Roman" w:hAnsi="Times New Roman" w:eastAsia="Times New Roman" w:cs="Times New Roman"/>
                <w:color w:val="auto"/>
                <w:spacing w:val="0"/>
                <w:w w:val="100"/>
                <w:position w:val="0"/>
                <w:sz w:val="21"/>
                <w:szCs w:val="21"/>
              </w:rPr>
            </w:pPr>
            <w:r>
              <w:rPr>
                <w:rFonts w:hint="default" w:ascii="Times New Roman" w:hAnsi="Times New Roman" w:eastAsia="Times New Roman" w:cs="Times New Roman"/>
                <w:color w:val="auto"/>
                <w:spacing w:val="0"/>
                <w:w w:val="100"/>
                <w:position w:val="0"/>
                <w:sz w:val="21"/>
                <w:szCs w:val="21"/>
              </w:rPr>
              <w:t>27</w:t>
            </w:r>
          </w:p>
        </w:tc>
        <w:tc>
          <w:tcPr>
            <w:tcW w:w="204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auto"/>
                <w:spacing w:val="0"/>
                <w:w w:val="100"/>
                <w:position w:val="0"/>
                <w:sz w:val="21"/>
                <w:szCs w:val="21"/>
                <w:lang w:val="en-US" w:eastAsia="en-US" w:bidi="en-US"/>
              </w:rPr>
            </w:pPr>
            <w:r>
              <w:rPr>
                <w:rFonts w:hint="default" w:ascii="Times New Roman" w:hAnsi="Times New Roman" w:eastAsia="Times New Roman" w:cs="Times New Roman"/>
                <w:color w:val="auto"/>
                <w:spacing w:val="0"/>
                <w:w w:val="100"/>
                <w:position w:val="0"/>
                <w:sz w:val="21"/>
                <w:szCs w:val="21"/>
              </w:rPr>
              <w:t>1,2-</w:t>
            </w:r>
            <w:r>
              <w:rPr>
                <w:rFonts w:hint="default" w:ascii="Times New Roman" w:hAnsi="Times New Roman" w:cs="Times New Roman"/>
                <w:color w:val="auto"/>
                <w:spacing w:val="0"/>
                <w:w w:val="100"/>
                <w:position w:val="0"/>
                <w:sz w:val="21"/>
                <w:szCs w:val="21"/>
              </w:rPr>
              <w:t>二氯苯</w:t>
            </w:r>
          </w:p>
        </w:tc>
        <w:tc>
          <w:tcPr>
            <w:tcW w:w="186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auto"/>
                <w:spacing w:val="0"/>
                <w:w w:val="100"/>
                <w:kern w:val="2"/>
                <w:position w:val="0"/>
                <w:sz w:val="21"/>
                <w:szCs w:val="21"/>
                <w:lang w:val="en-US" w:eastAsia="en-US" w:bidi="en-US"/>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auto"/>
                <w:spacing w:val="0"/>
                <w:w w:val="100"/>
                <w:kern w:val="2"/>
                <w:position w:val="0"/>
                <w:sz w:val="21"/>
                <w:szCs w:val="21"/>
                <w:lang w:val="en-US" w:eastAsia="en-US" w:bidi="en-US"/>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2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Times New Roman" w:cs="Times New Roman"/>
                <w:color w:val="auto"/>
                <w:spacing w:val="0"/>
                <w:w w:val="100"/>
                <w:kern w:val="2"/>
                <w:position w:val="0"/>
                <w:sz w:val="21"/>
                <w:szCs w:val="21"/>
                <w:u w:val="none"/>
                <w:shd w:val="clear" w:color="auto" w:fill="auto"/>
                <w:lang w:val="en-US" w:eastAsia="en-US" w:bidi="en-US"/>
              </w:rPr>
            </w:pPr>
            <w:r>
              <w:rPr>
                <w:rFonts w:hint="default" w:ascii="Times New Roman" w:hAnsi="Times New Roman" w:eastAsia="Times New Roman" w:cs="Times New Roman"/>
                <w:color w:val="auto"/>
                <w:spacing w:val="0"/>
                <w:w w:val="100"/>
                <w:position w:val="0"/>
                <w:sz w:val="21"/>
                <w:szCs w:val="21"/>
                <w:lang w:val="en-US" w:eastAsia="en-US" w:bidi="en-US"/>
              </w:rPr>
              <w:t>0.0015</w:t>
            </w:r>
          </w:p>
        </w:tc>
        <w:tc>
          <w:tcPr>
            <w:tcW w:w="916"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560</w:t>
            </w:r>
          </w:p>
        </w:tc>
      </w:tr>
    </w:tbl>
    <w:p>
      <w:pPr>
        <w:pStyle w:val="14"/>
        <w:bidi w:val="0"/>
        <w:rPr>
          <w:rFonts w:hint="default" w:ascii="Times New Roman" w:hAnsi="Times New Roman" w:cs="Times New Roman"/>
          <w:color w:val="auto"/>
        </w:rPr>
      </w:pPr>
    </w:p>
    <w:p>
      <w:pPr>
        <w:pStyle w:val="14"/>
        <w:bidi w:val="0"/>
        <w:rPr>
          <w:rFonts w:hint="default" w:ascii="Times New Roman" w:hAnsi="Times New Roman" w:cs="Times New Roman"/>
          <w:color w:val="auto"/>
        </w:rPr>
      </w:pPr>
    </w:p>
    <w:p>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5</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18  厂区内土壤半挥发性有机物监测结果及评价  单位：mg/kg，pH 无量纲</w:t>
      </w:r>
    </w:p>
    <w:tbl>
      <w:tblPr>
        <w:tblStyle w:val="24"/>
        <w:tblW w:w="862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19"/>
        <w:gridCol w:w="1815"/>
        <w:gridCol w:w="1920"/>
        <w:gridCol w:w="2100"/>
        <w:gridCol w:w="1080"/>
        <w:gridCol w:w="99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19" w:type="dxa"/>
            <w:vMerge w:val="restart"/>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u w:val="none"/>
                <w:shd w:val="clear" w:color="auto" w:fill="auto"/>
                <w:lang w:val="zh-TW" w:eastAsia="zh-TW" w:bidi="zh-TW"/>
              </w:rPr>
            </w:pPr>
            <w:r>
              <w:rPr>
                <w:rFonts w:hint="default" w:ascii="Times New Roman" w:hAnsi="Times New Roman" w:cs="Times New Roman"/>
                <w:color w:val="auto"/>
                <w:spacing w:val="0"/>
                <w:w w:val="100"/>
                <w:position w:val="0"/>
                <w:sz w:val="21"/>
                <w:szCs w:val="21"/>
              </w:rPr>
              <w:t>序号</w:t>
            </w:r>
          </w:p>
        </w:tc>
        <w:tc>
          <w:tcPr>
            <w:tcW w:w="1815" w:type="dxa"/>
            <w:vMerge w:val="restart"/>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u w:val="none"/>
                <w:shd w:val="clear" w:color="auto" w:fill="auto"/>
                <w:lang w:val="zh-TW" w:eastAsia="zh-TW" w:bidi="zh-TW"/>
              </w:rPr>
            </w:pPr>
            <w:r>
              <w:rPr>
                <w:rFonts w:hint="default" w:ascii="Times New Roman" w:hAnsi="Times New Roman" w:cs="Times New Roman"/>
                <w:color w:val="auto"/>
                <w:spacing w:val="0"/>
                <w:w w:val="100"/>
                <w:position w:val="0"/>
                <w:sz w:val="21"/>
                <w:szCs w:val="21"/>
              </w:rPr>
              <w:t>检测参数</w:t>
            </w:r>
          </w:p>
        </w:tc>
        <w:tc>
          <w:tcPr>
            <w:tcW w:w="4020" w:type="dxa"/>
            <w:gridSpan w:val="2"/>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厂区内</w:t>
            </w:r>
          </w:p>
        </w:tc>
        <w:tc>
          <w:tcPr>
            <w:tcW w:w="1080" w:type="dxa"/>
            <w:vMerge w:val="restart"/>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u w:val="none"/>
                <w:shd w:val="clear" w:color="auto" w:fill="auto"/>
                <w:lang w:val="en-US" w:eastAsia="zh-CN" w:bidi="zh-TW"/>
              </w:rPr>
            </w:pPr>
            <w:r>
              <w:rPr>
                <w:rFonts w:hint="default" w:ascii="Times New Roman" w:hAnsi="Times New Roman" w:cs="Times New Roman"/>
                <w:color w:val="auto"/>
                <w:spacing w:val="0"/>
                <w:w w:val="100"/>
                <w:position w:val="0"/>
                <w:sz w:val="21"/>
                <w:szCs w:val="21"/>
              </w:rPr>
              <w:t>检出限</w:t>
            </w:r>
          </w:p>
        </w:tc>
        <w:tc>
          <w:tcPr>
            <w:tcW w:w="991" w:type="dxa"/>
            <w:vMerge w:val="restart"/>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pacing w:val="0"/>
                <w:w w:val="100"/>
                <w:position w:val="0"/>
                <w:sz w:val="21"/>
                <w:szCs w:val="21"/>
              </w:rPr>
            </w:pPr>
            <w:r>
              <w:rPr>
                <w:rFonts w:hint="default" w:ascii="Times New Roman" w:hAnsi="Times New Roman" w:cs="Times New Roman"/>
                <w:color w:val="auto"/>
                <w:sz w:val="21"/>
                <w:szCs w:val="21"/>
                <w:lang w:eastAsia="zh-CN"/>
              </w:rPr>
              <w:t>标准值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19"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181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192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T</w:t>
            </w:r>
            <w:r>
              <w:rPr>
                <w:rFonts w:hint="default" w:ascii="Times New Roman" w:hAnsi="Times New Roman" w:cs="Times New Roman"/>
                <w:color w:val="auto"/>
                <w:sz w:val="21"/>
                <w:szCs w:val="21"/>
                <w:lang w:val="en-US" w:eastAsia="zh-CN"/>
              </w:rPr>
              <w:t>2</w:t>
            </w:r>
          </w:p>
        </w:tc>
        <w:tc>
          <w:tcPr>
            <w:tcW w:w="210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T</w:t>
            </w:r>
            <w:r>
              <w:rPr>
                <w:rFonts w:hint="default" w:ascii="Times New Roman" w:hAnsi="Times New Roman" w:cs="Times New Roman"/>
                <w:color w:val="auto"/>
                <w:sz w:val="21"/>
                <w:szCs w:val="21"/>
                <w:lang w:val="en-US" w:eastAsia="zh-CN"/>
              </w:rPr>
              <w:t>4</w:t>
            </w:r>
          </w:p>
        </w:tc>
        <w:tc>
          <w:tcPr>
            <w:tcW w:w="1080"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991"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0" w:hRule="exact"/>
          <w:jc w:val="center"/>
        </w:trPr>
        <w:tc>
          <w:tcPr>
            <w:tcW w:w="719"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sz w:val="21"/>
                <w:szCs w:val="21"/>
              </w:rPr>
            </w:pPr>
          </w:p>
        </w:tc>
        <w:tc>
          <w:tcPr>
            <w:tcW w:w="181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sz w:val="21"/>
                <w:szCs w:val="21"/>
              </w:rPr>
            </w:pPr>
          </w:p>
        </w:tc>
        <w:tc>
          <w:tcPr>
            <w:tcW w:w="192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车间西侧柱状样</w:t>
            </w:r>
          </w:p>
        </w:tc>
        <w:tc>
          <w:tcPr>
            <w:tcW w:w="210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车间改造挖掘地基</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eastAsia="zh-CN"/>
              </w:rPr>
              <w:t>北部</w:t>
            </w:r>
            <w:r>
              <w:rPr>
                <w:rFonts w:hint="default" w:ascii="Times New Roman" w:hAnsi="Times New Roman" w:cs="Times New Roman"/>
                <w:color w:val="auto"/>
                <w:sz w:val="21"/>
                <w:szCs w:val="21"/>
                <w:lang w:val="en-US" w:eastAsia="zh-CN"/>
              </w:rPr>
              <w:t>柱状样</w:t>
            </w:r>
          </w:p>
        </w:tc>
        <w:tc>
          <w:tcPr>
            <w:tcW w:w="1080"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sz w:val="21"/>
                <w:szCs w:val="21"/>
              </w:rPr>
            </w:pPr>
          </w:p>
        </w:tc>
        <w:tc>
          <w:tcPr>
            <w:tcW w:w="991"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19"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181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192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表层</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0.2m)</w:t>
            </w:r>
            <w:r>
              <w:rPr>
                <w:rFonts w:hint="default" w:ascii="Times New Roman" w:hAnsi="Times New Roman" w:cs="Times New Roman"/>
                <w:color w:val="auto"/>
                <w:spacing w:val="0"/>
                <w:w w:val="100"/>
                <w:position w:val="0"/>
                <w:sz w:val="21"/>
                <w:szCs w:val="21"/>
              </w:rPr>
              <w:t>测定值</w:t>
            </w:r>
          </w:p>
        </w:tc>
        <w:tc>
          <w:tcPr>
            <w:tcW w:w="2100"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表层</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0.2m)</w:t>
            </w:r>
            <w:r>
              <w:rPr>
                <w:rFonts w:hint="default" w:ascii="Times New Roman" w:hAnsi="Times New Roman" w:cs="Times New Roman"/>
                <w:color w:val="auto"/>
                <w:spacing w:val="0"/>
                <w:w w:val="100"/>
                <w:position w:val="0"/>
                <w:sz w:val="21"/>
                <w:szCs w:val="21"/>
              </w:rPr>
              <w:t>测定值</w:t>
            </w:r>
          </w:p>
        </w:tc>
        <w:tc>
          <w:tcPr>
            <w:tcW w:w="1080"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c>
          <w:tcPr>
            <w:tcW w:w="991"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1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32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1</w:t>
            </w:r>
          </w:p>
        </w:tc>
        <w:tc>
          <w:tcPr>
            <w:tcW w:w="1815"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u w:val="none"/>
                <w:shd w:val="clear" w:color="auto" w:fill="auto"/>
                <w:lang w:val="en-US" w:eastAsia="zh-CN" w:bidi="zh-TW"/>
              </w:rPr>
            </w:pPr>
            <w:r>
              <w:rPr>
                <w:rFonts w:hint="default" w:ascii="Times New Roman" w:hAnsi="Times New Roman" w:cs="Times New Roman"/>
                <w:color w:val="auto"/>
                <w:spacing w:val="0"/>
                <w:w w:val="100"/>
                <w:position w:val="0"/>
                <w:sz w:val="21"/>
                <w:szCs w:val="21"/>
              </w:rPr>
              <w:t>苯胺</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210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8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宋体" w:cs="Times New Roman"/>
                <w:color w:val="auto"/>
                <w:kern w:val="2"/>
                <w:sz w:val="21"/>
                <w:szCs w:val="21"/>
                <w:u w:val="none"/>
                <w:shd w:val="clear" w:color="auto" w:fill="auto"/>
                <w:lang w:val="en-US" w:eastAsia="en-US" w:bidi="ar-SA"/>
              </w:rPr>
            </w:pPr>
            <w:r>
              <w:rPr>
                <w:rFonts w:hint="default" w:ascii="Times New Roman" w:hAnsi="Times New Roman" w:eastAsia="Times New Roman" w:cs="Times New Roman"/>
                <w:color w:val="auto"/>
                <w:spacing w:val="0"/>
                <w:w w:val="100"/>
                <w:position w:val="0"/>
                <w:sz w:val="21"/>
                <w:szCs w:val="21"/>
                <w:lang w:val="en-US" w:eastAsia="en-US" w:bidi="en-US"/>
              </w:rPr>
              <w:t>0.0010</w:t>
            </w:r>
          </w:p>
        </w:tc>
        <w:tc>
          <w:tcPr>
            <w:tcW w:w="991"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kern w:val="2"/>
                <w:sz w:val="21"/>
                <w:szCs w:val="21"/>
                <w:lang w:val="en-US" w:eastAsia="zh-CN" w:bidi="ar-SA"/>
              </w:rPr>
              <w:t>260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1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32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2</w:t>
            </w:r>
          </w:p>
        </w:tc>
        <w:tc>
          <w:tcPr>
            <w:tcW w:w="1815"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u w:val="none"/>
                <w:shd w:val="clear" w:color="auto" w:fill="auto"/>
                <w:lang w:val="zh-TW" w:eastAsia="zh-TW" w:bidi="zh-TW"/>
              </w:rPr>
            </w:pPr>
            <w:r>
              <w:rPr>
                <w:rFonts w:hint="default" w:ascii="Times New Roman" w:hAnsi="Times New Roman" w:eastAsia="Times New Roman" w:cs="Times New Roman"/>
                <w:color w:val="auto"/>
                <w:spacing w:val="0"/>
                <w:w w:val="100"/>
                <w:position w:val="0"/>
                <w:sz w:val="21"/>
                <w:szCs w:val="21"/>
              </w:rPr>
              <w:t>2-</w:t>
            </w:r>
            <w:r>
              <w:rPr>
                <w:rFonts w:hint="default" w:ascii="Times New Roman" w:hAnsi="Times New Roman" w:cs="Times New Roman"/>
                <w:color w:val="auto"/>
                <w:spacing w:val="0"/>
                <w:w w:val="100"/>
                <w:position w:val="0"/>
                <w:sz w:val="21"/>
                <w:szCs w:val="21"/>
              </w:rPr>
              <w:t>氯苯酚</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210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8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宋体" w:cs="Times New Roman"/>
                <w:color w:val="auto"/>
                <w:kern w:val="2"/>
                <w:sz w:val="21"/>
                <w:szCs w:val="21"/>
                <w:u w:val="none"/>
                <w:shd w:val="clear" w:color="auto" w:fill="auto"/>
                <w:lang w:val="en-US" w:eastAsia="en-US" w:bidi="ar-SA"/>
              </w:rPr>
            </w:pPr>
            <w:r>
              <w:rPr>
                <w:rFonts w:hint="default" w:ascii="Times New Roman" w:hAnsi="Times New Roman" w:eastAsia="Times New Roman" w:cs="Times New Roman"/>
                <w:color w:val="auto"/>
                <w:spacing w:val="0"/>
                <w:w w:val="100"/>
                <w:position w:val="0"/>
                <w:sz w:val="21"/>
                <w:szCs w:val="21"/>
                <w:lang w:val="en-US" w:eastAsia="en-US" w:bidi="en-US"/>
              </w:rPr>
              <w:t>0.0010</w:t>
            </w:r>
          </w:p>
        </w:tc>
        <w:tc>
          <w:tcPr>
            <w:tcW w:w="991"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2256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1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32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3</w:t>
            </w:r>
          </w:p>
        </w:tc>
        <w:tc>
          <w:tcPr>
            <w:tcW w:w="1815"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u w:val="none"/>
                <w:shd w:val="clear" w:color="auto" w:fill="auto"/>
                <w:lang w:val="zh-TW" w:eastAsia="zh-TW" w:bidi="zh-TW"/>
              </w:rPr>
            </w:pPr>
            <w:r>
              <w:rPr>
                <w:rFonts w:hint="default" w:ascii="Times New Roman" w:hAnsi="Times New Roman" w:cs="Times New Roman"/>
                <w:color w:val="auto"/>
                <w:spacing w:val="0"/>
                <w:w w:val="100"/>
                <w:position w:val="0"/>
                <w:sz w:val="21"/>
                <w:szCs w:val="21"/>
              </w:rPr>
              <w:t>硝基苯</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210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8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宋体" w:cs="Times New Roman"/>
                <w:color w:val="auto"/>
                <w:kern w:val="2"/>
                <w:sz w:val="21"/>
                <w:szCs w:val="21"/>
                <w:u w:val="none"/>
                <w:shd w:val="clear" w:color="auto" w:fill="auto"/>
                <w:lang w:val="en-US" w:eastAsia="en-US" w:bidi="ar-SA"/>
              </w:rPr>
            </w:pPr>
            <w:r>
              <w:rPr>
                <w:rFonts w:hint="default" w:ascii="Times New Roman" w:hAnsi="Times New Roman" w:eastAsia="Times New Roman" w:cs="Times New Roman"/>
                <w:color w:val="auto"/>
                <w:spacing w:val="0"/>
                <w:w w:val="100"/>
                <w:position w:val="0"/>
                <w:sz w:val="21"/>
                <w:szCs w:val="21"/>
                <w:lang w:val="en-US" w:eastAsia="en-US" w:bidi="en-US"/>
              </w:rPr>
              <w:t>0.0010</w:t>
            </w:r>
          </w:p>
        </w:tc>
        <w:tc>
          <w:tcPr>
            <w:tcW w:w="991"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76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1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32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4</w:t>
            </w:r>
          </w:p>
        </w:tc>
        <w:tc>
          <w:tcPr>
            <w:tcW w:w="1815"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u w:val="none"/>
                <w:shd w:val="clear" w:color="auto" w:fill="auto"/>
                <w:lang w:val="zh-TW" w:eastAsia="zh-TW" w:bidi="zh-TW"/>
              </w:rPr>
            </w:pPr>
            <w:r>
              <w:rPr>
                <w:rFonts w:hint="default" w:ascii="Times New Roman" w:hAnsi="Times New Roman" w:cs="Times New Roman"/>
                <w:color w:val="auto"/>
                <w:spacing w:val="0"/>
                <w:w w:val="100"/>
                <w:position w:val="0"/>
                <w:sz w:val="21"/>
                <w:szCs w:val="21"/>
              </w:rPr>
              <w:t>荼</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210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8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宋体" w:cs="Times New Roman"/>
                <w:color w:val="auto"/>
                <w:kern w:val="2"/>
                <w:sz w:val="21"/>
                <w:szCs w:val="21"/>
                <w:u w:val="none"/>
                <w:shd w:val="clear" w:color="auto" w:fill="auto"/>
                <w:lang w:val="en-US" w:eastAsia="en-US" w:bidi="ar-SA"/>
              </w:rPr>
            </w:pPr>
            <w:r>
              <w:rPr>
                <w:rFonts w:hint="default" w:ascii="Times New Roman" w:hAnsi="Times New Roman" w:eastAsia="Times New Roman" w:cs="Times New Roman"/>
                <w:color w:val="auto"/>
                <w:spacing w:val="0"/>
                <w:w w:val="100"/>
                <w:position w:val="0"/>
                <w:sz w:val="21"/>
                <w:szCs w:val="21"/>
                <w:lang w:val="en-US" w:eastAsia="en-US" w:bidi="en-US"/>
              </w:rPr>
              <w:t>0.0015</w:t>
            </w:r>
          </w:p>
        </w:tc>
        <w:tc>
          <w:tcPr>
            <w:tcW w:w="991"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1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32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6</w:t>
            </w:r>
          </w:p>
        </w:tc>
        <w:tc>
          <w:tcPr>
            <w:tcW w:w="1815"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u w:val="none"/>
                <w:shd w:val="clear" w:color="auto" w:fill="auto"/>
                <w:lang w:val="zh-TW" w:eastAsia="zh-CN" w:bidi="zh-TW"/>
              </w:rPr>
            </w:pPr>
            <w:r>
              <w:rPr>
                <w:rFonts w:hint="default" w:ascii="Times New Roman" w:hAnsi="Times New Roman" w:eastAsia="宋体" w:cs="Times New Roman"/>
                <w:color w:val="auto"/>
                <w:kern w:val="2"/>
                <w:sz w:val="21"/>
                <w:szCs w:val="21"/>
                <w:u w:val="none"/>
                <w:shd w:val="clear" w:color="auto" w:fill="auto"/>
                <w:lang w:val="zh-TW" w:eastAsia="zh-CN" w:bidi="zh-TW"/>
              </w:rPr>
              <w:t>䓛</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210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8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宋体" w:cs="Times New Roman"/>
                <w:color w:val="auto"/>
                <w:kern w:val="2"/>
                <w:sz w:val="21"/>
                <w:szCs w:val="21"/>
                <w:u w:val="none"/>
                <w:shd w:val="clear" w:color="auto" w:fill="auto"/>
                <w:lang w:val="en-US" w:eastAsia="en-US" w:bidi="ar-SA"/>
              </w:rPr>
            </w:pPr>
            <w:r>
              <w:rPr>
                <w:rFonts w:hint="default" w:ascii="Times New Roman" w:hAnsi="Times New Roman" w:eastAsia="Times New Roman" w:cs="Times New Roman"/>
                <w:color w:val="auto"/>
                <w:spacing w:val="0"/>
                <w:w w:val="100"/>
                <w:position w:val="0"/>
                <w:sz w:val="21"/>
                <w:szCs w:val="21"/>
                <w:lang w:val="en-US" w:eastAsia="en-US" w:bidi="en-US"/>
              </w:rPr>
              <w:t>0.0012</w:t>
            </w:r>
          </w:p>
        </w:tc>
        <w:tc>
          <w:tcPr>
            <w:tcW w:w="991"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1293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1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32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7</w:t>
            </w:r>
          </w:p>
        </w:tc>
        <w:tc>
          <w:tcPr>
            <w:tcW w:w="1815"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u w:val="none"/>
                <w:shd w:val="clear" w:color="auto" w:fill="auto"/>
                <w:lang w:val="zh-TW" w:eastAsia="zh-TW" w:bidi="zh-TW"/>
              </w:rPr>
            </w:pPr>
            <w:r>
              <w:rPr>
                <w:rFonts w:hint="default" w:ascii="Times New Roman" w:hAnsi="Times New Roman" w:cs="Times New Roman"/>
                <w:color w:val="auto"/>
                <w:spacing w:val="0"/>
                <w:w w:val="100"/>
                <w:position w:val="0"/>
                <w:sz w:val="21"/>
                <w:szCs w:val="21"/>
              </w:rPr>
              <w:t>苯并</w:t>
            </w:r>
            <w:r>
              <w:rPr>
                <w:rFonts w:hint="default" w:ascii="Times New Roman" w:hAnsi="Times New Roman" w:eastAsia="Times New Roman" w:cs="Times New Roman"/>
                <w:color w:val="auto"/>
                <w:spacing w:val="0"/>
                <w:w w:val="100"/>
                <w:position w:val="0"/>
                <w:sz w:val="21"/>
                <w:szCs w:val="21"/>
                <w:lang w:val="en-US" w:eastAsia="en-US" w:bidi="en-US"/>
              </w:rPr>
              <w:t>(b)</w:t>
            </w:r>
            <w:r>
              <w:rPr>
                <w:rFonts w:hint="default" w:ascii="Times New Roman" w:hAnsi="Times New Roman" w:cs="Times New Roman"/>
                <w:color w:val="auto"/>
                <w:spacing w:val="0"/>
                <w:w w:val="100"/>
                <w:position w:val="0"/>
                <w:sz w:val="21"/>
                <w:szCs w:val="21"/>
              </w:rPr>
              <w:t>荧蔥</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210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8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宋体" w:cs="Times New Roman"/>
                <w:color w:val="auto"/>
                <w:kern w:val="2"/>
                <w:sz w:val="21"/>
                <w:szCs w:val="21"/>
                <w:u w:val="none"/>
                <w:shd w:val="clear" w:color="auto" w:fill="auto"/>
                <w:lang w:val="en-US" w:eastAsia="en-US" w:bidi="ar-SA"/>
              </w:rPr>
            </w:pPr>
            <w:r>
              <w:rPr>
                <w:rFonts w:hint="default" w:ascii="Times New Roman" w:hAnsi="Times New Roman" w:eastAsia="Times New Roman" w:cs="Times New Roman"/>
                <w:color w:val="auto"/>
                <w:spacing w:val="0"/>
                <w:w w:val="100"/>
                <w:position w:val="0"/>
                <w:sz w:val="21"/>
                <w:szCs w:val="21"/>
                <w:lang w:val="en-US" w:eastAsia="en-US" w:bidi="en-US"/>
              </w:rPr>
              <w:t>0.0013</w:t>
            </w:r>
          </w:p>
        </w:tc>
        <w:tc>
          <w:tcPr>
            <w:tcW w:w="991"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5.5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1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32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8</w:t>
            </w:r>
          </w:p>
        </w:tc>
        <w:tc>
          <w:tcPr>
            <w:tcW w:w="1815"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u w:val="none"/>
                <w:shd w:val="clear" w:color="auto" w:fill="auto"/>
                <w:lang w:val="zh-TW" w:eastAsia="zh-TW" w:bidi="zh-TW"/>
              </w:rPr>
            </w:pPr>
            <w:r>
              <w:rPr>
                <w:rFonts w:hint="default" w:ascii="Times New Roman" w:hAnsi="Times New Roman" w:cs="Times New Roman"/>
                <w:color w:val="auto"/>
                <w:spacing w:val="0"/>
                <w:w w:val="100"/>
                <w:position w:val="0"/>
                <w:sz w:val="21"/>
                <w:szCs w:val="21"/>
              </w:rPr>
              <w:t>苯并</w:t>
            </w:r>
            <w:r>
              <w:rPr>
                <w:rFonts w:hint="default" w:ascii="Times New Roman" w:hAnsi="Times New Roman" w:eastAsia="Times New Roman" w:cs="Times New Roman"/>
                <w:color w:val="auto"/>
                <w:spacing w:val="0"/>
                <w:w w:val="100"/>
                <w:position w:val="0"/>
                <w:sz w:val="21"/>
                <w:szCs w:val="21"/>
                <w:lang w:val="en-US" w:eastAsia="en-US" w:bidi="en-US"/>
              </w:rPr>
              <w:t>(k)</w:t>
            </w:r>
            <w:r>
              <w:rPr>
                <w:rFonts w:hint="default" w:ascii="Times New Roman" w:hAnsi="Times New Roman" w:cs="Times New Roman"/>
                <w:color w:val="auto"/>
                <w:spacing w:val="0"/>
                <w:w w:val="100"/>
                <w:position w:val="0"/>
                <w:sz w:val="21"/>
                <w:szCs w:val="21"/>
              </w:rPr>
              <w:t>荧蔥</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210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8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宋体" w:cs="Times New Roman"/>
                <w:color w:val="auto"/>
                <w:kern w:val="2"/>
                <w:sz w:val="21"/>
                <w:szCs w:val="21"/>
                <w:u w:val="none"/>
                <w:shd w:val="clear" w:color="auto" w:fill="auto"/>
                <w:lang w:val="en-US" w:eastAsia="en-US" w:bidi="ar-SA"/>
              </w:rPr>
            </w:pPr>
            <w:r>
              <w:rPr>
                <w:rFonts w:hint="default" w:ascii="Times New Roman" w:hAnsi="Times New Roman" w:eastAsia="Times New Roman" w:cs="Times New Roman"/>
                <w:color w:val="auto"/>
                <w:spacing w:val="0"/>
                <w:w w:val="100"/>
                <w:position w:val="0"/>
                <w:sz w:val="21"/>
                <w:szCs w:val="21"/>
                <w:lang w:val="en-US" w:eastAsia="en-US" w:bidi="en-US"/>
              </w:rPr>
              <w:t>0.0011</w:t>
            </w:r>
          </w:p>
        </w:tc>
        <w:tc>
          <w:tcPr>
            <w:tcW w:w="991"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151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1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32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9</w:t>
            </w:r>
          </w:p>
        </w:tc>
        <w:tc>
          <w:tcPr>
            <w:tcW w:w="1815"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u w:val="none"/>
                <w:shd w:val="clear" w:color="auto" w:fill="auto"/>
                <w:lang w:val="en-US" w:eastAsia="zh-CN" w:bidi="zh-TW"/>
              </w:rPr>
            </w:pPr>
            <w:r>
              <w:rPr>
                <w:rFonts w:hint="default" w:ascii="Times New Roman" w:hAnsi="Times New Roman" w:cs="Times New Roman"/>
                <w:color w:val="auto"/>
                <w:spacing w:val="0"/>
                <w:w w:val="100"/>
                <w:position w:val="0"/>
                <w:sz w:val="21"/>
                <w:szCs w:val="21"/>
              </w:rPr>
              <w:t>苯并</w:t>
            </w:r>
            <w:r>
              <w:rPr>
                <w:rFonts w:hint="default" w:ascii="Times New Roman" w:hAnsi="Times New Roman" w:eastAsia="Times New Roman" w:cs="Times New Roman"/>
                <w:color w:val="auto"/>
                <w:spacing w:val="0"/>
                <w:w w:val="100"/>
                <w:position w:val="0"/>
                <w:sz w:val="21"/>
                <w:szCs w:val="21"/>
                <w:lang w:val="en-US" w:eastAsia="en-US" w:bidi="en-US"/>
              </w:rPr>
              <w:t>(a)</w:t>
            </w:r>
            <w:r>
              <w:rPr>
                <w:rFonts w:hint="default" w:ascii="Times New Roman" w:hAnsi="Times New Roman" w:cs="Times New Roman"/>
                <w:color w:val="auto"/>
                <w:spacing w:val="0"/>
                <w:w w:val="100"/>
                <w:position w:val="0"/>
                <w:sz w:val="21"/>
                <w:szCs w:val="21"/>
                <w:lang w:val="en-US" w:eastAsia="zh-CN" w:bidi="en-US"/>
              </w:rPr>
              <w:t>芘</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210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8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宋体" w:cs="Times New Roman"/>
                <w:color w:val="auto"/>
                <w:kern w:val="2"/>
                <w:sz w:val="21"/>
                <w:szCs w:val="21"/>
                <w:u w:val="none"/>
                <w:shd w:val="clear" w:color="auto" w:fill="auto"/>
                <w:lang w:val="en-US" w:eastAsia="en-US" w:bidi="ar-SA"/>
              </w:rPr>
            </w:pPr>
            <w:r>
              <w:rPr>
                <w:rFonts w:hint="default" w:ascii="Times New Roman" w:hAnsi="Times New Roman" w:eastAsia="Times New Roman" w:cs="Times New Roman"/>
                <w:color w:val="auto"/>
                <w:spacing w:val="0"/>
                <w:w w:val="100"/>
                <w:position w:val="0"/>
                <w:sz w:val="21"/>
                <w:szCs w:val="21"/>
                <w:lang w:val="en-US" w:eastAsia="en-US" w:bidi="en-US"/>
              </w:rPr>
              <w:t>0.0013</w:t>
            </w:r>
          </w:p>
        </w:tc>
        <w:tc>
          <w:tcPr>
            <w:tcW w:w="991"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1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26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10</w:t>
            </w:r>
          </w:p>
        </w:tc>
        <w:tc>
          <w:tcPr>
            <w:tcW w:w="1815"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u w:val="none"/>
                <w:shd w:val="clear" w:color="auto" w:fill="auto"/>
                <w:lang w:val="zh-TW" w:eastAsia="zh-CN" w:bidi="zh-TW"/>
              </w:rPr>
            </w:pPr>
            <w:r>
              <w:rPr>
                <w:rFonts w:hint="default" w:ascii="Times New Roman" w:hAnsi="Times New Roman" w:cs="Times New Roman"/>
                <w:color w:val="auto"/>
                <w:spacing w:val="0"/>
                <w:w w:val="100"/>
                <w:position w:val="0"/>
                <w:sz w:val="21"/>
                <w:szCs w:val="21"/>
                <w:lang w:eastAsia="zh-CN"/>
              </w:rPr>
              <w:t>茚</w:t>
            </w:r>
            <w:r>
              <w:rPr>
                <w:rFonts w:hint="default" w:ascii="Times New Roman" w:hAnsi="Times New Roman" w:cs="Times New Roman"/>
                <w:color w:val="auto"/>
                <w:spacing w:val="0"/>
                <w:w w:val="100"/>
                <w:position w:val="0"/>
                <w:sz w:val="21"/>
                <w:szCs w:val="21"/>
              </w:rPr>
              <w:t>并</w:t>
            </w:r>
            <w:r>
              <w:rPr>
                <w:rFonts w:hint="default" w:ascii="Times New Roman" w:hAnsi="Times New Roman" w:eastAsia="Times New Roman" w:cs="Times New Roman"/>
                <w:color w:val="auto"/>
                <w:spacing w:val="0"/>
                <w:w w:val="100"/>
                <w:position w:val="0"/>
                <w:sz w:val="21"/>
                <w:szCs w:val="21"/>
                <w:lang w:val="en-US" w:eastAsia="en-US" w:bidi="en-US"/>
              </w:rPr>
              <w:t>(1,2,3-cd)</w:t>
            </w:r>
            <w:r>
              <w:rPr>
                <w:rFonts w:hint="default" w:ascii="Times New Roman" w:hAnsi="Times New Roman" w:cs="Times New Roman"/>
                <w:color w:val="auto"/>
                <w:spacing w:val="0"/>
                <w:w w:val="100"/>
                <w:position w:val="0"/>
                <w:sz w:val="21"/>
                <w:szCs w:val="21"/>
                <w:lang w:val="en-US" w:eastAsia="zh-CN" w:bidi="en-US"/>
              </w:rPr>
              <w:t>芘</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210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8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宋体" w:cs="Times New Roman"/>
                <w:color w:val="auto"/>
                <w:kern w:val="2"/>
                <w:sz w:val="21"/>
                <w:szCs w:val="21"/>
                <w:u w:val="none"/>
                <w:shd w:val="clear" w:color="auto" w:fill="auto"/>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0.0013</w:t>
            </w:r>
          </w:p>
        </w:tc>
        <w:tc>
          <w:tcPr>
            <w:tcW w:w="991"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719"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260" w:firstLineChars="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pacing w:val="0"/>
                <w:w w:val="100"/>
                <w:position w:val="0"/>
                <w:sz w:val="21"/>
                <w:szCs w:val="21"/>
              </w:rPr>
              <w:t>11</w:t>
            </w:r>
          </w:p>
        </w:tc>
        <w:tc>
          <w:tcPr>
            <w:tcW w:w="1815"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u w:val="none"/>
                <w:shd w:val="clear" w:color="auto" w:fill="auto"/>
                <w:lang w:val="zh-TW" w:eastAsia="zh-TW" w:bidi="zh-TW"/>
              </w:rPr>
            </w:pPr>
            <w:r>
              <w:rPr>
                <w:rFonts w:hint="default" w:ascii="Times New Roman" w:hAnsi="Times New Roman" w:cs="Times New Roman"/>
                <w:color w:val="auto"/>
                <w:spacing w:val="0"/>
                <w:w w:val="100"/>
                <w:position w:val="0"/>
                <w:sz w:val="21"/>
                <w:szCs w:val="21"/>
              </w:rPr>
              <w:t>二苯并</w:t>
            </w:r>
            <w:r>
              <w:rPr>
                <w:rFonts w:hint="default" w:ascii="Times New Roman" w:hAnsi="Times New Roman" w:eastAsia="Times New Roman" w:cs="Times New Roman"/>
                <w:color w:val="auto"/>
                <w:spacing w:val="0"/>
                <w:w w:val="100"/>
                <w:position w:val="0"/>
                <w:sz w:val="21"/>
                <w:szCs w:val="21"/>
                <w:lang w:val="en-US" w:eastAsia="en-US" w:bidi="en-US"/>
              </w:rPr>
              <w:t>(a,h)</w:t>
            </w:r>
            <w:r>
              <w:rPr>
                <w:rFonts w:hint="default" w:ascii="Times New Roman" w:hAnsi="Times New Roman" w:cs="Times New Roman"/>
                <w:color w:val="auto"/>
                <w:spacing w:val="0"/>
                <w:w w:val="100"/>
                <w:position w:val="0"/>
                <w:sz w:val="21"/>
                <w:szCs w:val="21"/>
              </w:rPr>
              <w:t>蔥</w:t>
            </w:r>
          </w:p>
        </w:tc>
        <w:tc>
          <w:tcPr>
            <w:tcW w:w="192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2100" w:type="dxa"/>
            <w:tcBorders>
              <w:tl2br w:val="nil"/>
              <w:tr2bl w:val="nil"/>
            </w:tcBorders>
            <w:vAlign w:val="center"/>
          </w:tcPr>
          <w:p>
            <w:pPr>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w:cs="Times New Roman"/>
                <w:color w:val="auto"/>
                <w:spacing w:val="0"/>
                <w:w w:val="100"/>
                <w:position w:val="0"/>
                <w:sz w:val="21"/>
                <w:szCs w:val="21"/>
                <w:lang w:val="en-US" w:eastAsia="en-US" w:bidi="en-US"/>
              </w:rPr>
              <w:t>ND</w:t>
            </w:r>
          </w:p>
        </w:tc>
        <w:tc>
          <w:tcPr>
            <w:tcW w:w="1080" w:type="dxa"/>
            <w:tcBorders>
              <w:tl2br w:val="nil"/>
              <w:tr2bl w:val="nil"/>
            </w:tcBorders>
            <w:vAlign w:val="center"/>
          </w:tcPr>
          <w:p>
            <w:pPr>
              <w:pStyle w:val="73"/>
              <w:keepNext w:val="0"/>
              <w:keepLines w:val="0"/>
              <w:widowControl w:val="0"/>
              <w:suppressLineNumbers w:val="0"/>
              <w:shd w:val="clear" w:color="auto" w:fill="auto"/>
              <w:bidi w:val="0"/>
              <w:spacing w:before="0" w:beforeAutospacing="0" w:after="0" w:afterAutospacing="0" w:line="240" w:lineRule="auto"/>
              <w:ind w:left="0" w:leftChars="0" w:right="0" w:rightChars="0" w:firstLine="140" w:firstLineChars="0"/>
              <w:jc w:val="center"/>
              <w:rPr>
                <w:rFonts w:hint="default" w:ascii="Times New Roman" w:hAnsi="Times New Roman" w:eastAsia="宋体" w:cs="Times New Roman"/>
                <w:color w:val="auto"/>
                <w:kern w:val="2"/>
                <w:sz w:val="21"/>
                <w:szCs w:val="21"/>
                <w:u w:val="none"/>
                <w:shd w:val="clear" w:color="auto" w:fill="auto"/>
                <w:lang w:val="en-US" w:eastAsia="en-US" w:bidi="ar-SA"/>
              </w:rPr>
            </w:pPr>
            <w:r>
              <w:rPr>
                <w:rFonts w:hint="default" w:ascii="Times New Roman" w:hAnsi="Times New Roman" w:eastAsia="Times New Roman" w:cs="Times New Roman"/>
                <w:color w:val="auto"/>
                <w:spacing w:val="0"/>
                <w:w w:val="100"/>
                <w:position w:val="0"/>
                <w:sz w:val="21"/>
                <w:szCs w:val="21"/>
                <w:lang w:val="en-US" w:eastAsia="en-US" w:bidi="en-US"/>
              </w:rPr>
              <w:t>0.0019</w:t>
            </w:r>
          </w:p>
        </w:tc>
        <w:tc>
          <w:tcPr>
            <w:tcW w:w="991" w:type="dxa"/>
            <w:tcBorders>
              <w:tl2br w:val="nil"/>
              <w:tr2bl w:val="nil"/>
            </w:tcBorders>
            <w:vAlign w:val="center"/>
          </w:tcPr>
          <w:p>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cs="Times New Roman"/>
                <w:color w:val="auto"/>
                <w:sz w:val="21"/>
                <w:szCs w:val="21"/>
                <w:lang w:val="en-US" w:eastAsia="zh-CN"/>
              </w:rPr>
              <w:t>0.55</w:t>
            </w:r>
          </w:p>
        </w:tc>
      </w:tr>
    </w:tbl>
    <w:p>
      <w:pPr>
        <w:pStyle w:val="39"/>
        <w:bidi w:val="0"/>
        <w:rPr>
          <w:rFonts w:hint="default" w:ascii="Times New Roman" w:hAnsi="Times New Roman" w:cs="Times New Roman"/>
          <w:color w:val="auto"/>
        </w:rPr>
      </w:pPr>
      <w:r>
        <w:rPr>
          <w:rFonts w:hint="default" w:ascii="Times New Roman" w:hAnsi="Times New Roman" w:cs="Times New Roman"/>
          <w:color w:val="auto"/>
        </w:rPr>
        <w:t xml:space="preserve">由表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5</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lang w:val="en-US" w:eastAsia="zh-CN"/>
        </w:rPr>
        <w:t>5</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厂区内土壤重金属监测结果及评价（一）、</w:t>
      </w: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5</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16厂区内土壤重金属监测结果及评价（二）、</w:t>
      </w: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5</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17厂区内土壤挥发性有机物监测结果及评价和</w:t>
      </w: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5</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18  厂区内土壤半挥发性有机物监测结果及评价，包括45项基本项目检测结果</w:t>
      </w:r>
      <w:r>
        <w:rPr>
          <w:rFonts w:hint="default" w:ascii="Times New Roman" w:hAnsi="Times New Roman" w:cs="Times New Roman"/>
          <w:color w:val="auto"/>
        </w:rPr>
        <w:t>可知，本项目厂区</w:t>
      </w:r>
      <w:r>
        <w:rPr>
          <w:rFonts w:hint="default" w:ascii="Times New Roman" w:hAnsi="Times New Roman" w:cs="Times New Roman"/>
          <w:color w:val="auto"/>
          <w:lang w:eastAsia="zh-CN"/>
        </w:rPr>
        <w:t>内</w:t>
      </w:r>
      <w:r>
        <w:rPr>
          <w:rFonts w:hint="default" w:ascii="Times New Roman" w:hAnsi="Times New Roman" w:cs="Times New Roman"/>
          <w:color w:val="auto"/>
        </w:rPr>
        <w:t>裸露绿化区</w:t>
      </w:r>
      <w:r>
        <w:rPr>
          <w:rFonts w:hint="default" w:ascii="Times New Roman" w:hAnsi="Times New Roman" w:cs="Times New Roman"/>
          <w:color w:val="auto"/>
          <w:lang w:eastAsia="zh-CN"/>
        </w:rPr>
        <w:t>、催化剂车间改造挖掘地基土壤</w:t>
      </w:r>
      <w:r>
        <w:rPr>
          <w:rFonts w:hint="default" w:ascii="Times New Roman" w:hAnsi="Times New Roman" w:cs="Times New Roman"/>
          <w:color w:val="auto"/>
        </w:rPr>
        <w:t>及厂区周边建设用地土壤环境质量均满足《土壤环境质量标准 建设用地土壤污染风险管控标准》（试行）（GB36600-2018）中表1建设用地土壤污染风险筛选值浓度要求限值。</w:t>
      </w:r>
    </w:p>
    <w:p>
      <w:pPr>
        <w:pStyle w:val="39"/>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 xml:space="preserve">  </w:t>
      </w:r>
    </w:p>
    <w:p>
      <w:pPr>
        <w:pStyle w:val="39"/>
        <w:bidi w:val="0"/>
        <w:rPr>
          <w:rFonts w:hint="default" w:ascii="Times New Roman" w:hAnsi="Times New Roman" w:cs="Times New Roman"/>
          <w:color w:val="auto"/>
        </w:rPr>
        <w:sectPr>
          <w:headerReference r:id="rId16" w:type="default"/>
          <w:footerReference r:id="rId17" w:type="default"/>
          <w:pgSz w:w="11905" w:h="16838"/>
          <w:pgMar w:top="1417" w:right="1417" w:bottom="1134" w:left="1701"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3"/>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sz w:val="44"/>
          <w:szCs w:val="44"/>
        </w:rPr>
      </w:pPr>
      <w:bookmarkStart w:id="459" w:name="_Toc708"/>
      <w:bookmarkStart w:id="460" w:name="_Toc21597"/>
      <w:bookmarkStart w:id="461" w:name="_Toc2789"/>
      <w:bookmarkStart w:id="462" w:name="_Toc2692"/>
      <w:bookmarkStart w:id="463" w:name="_Toc27728"/>
      <w:r>
        <w:rPr>
          <w:rFonts w:hint="default" w:ascii="Times New Roman" w:hAnsi="Times New Roman" w:cs="Times New Roman"/>
          <w:color w:val="auto"/>
          <w:sz w:val="44"/>
          <w:szCs w:val="44"/>
        </w:rPr>
        <w:t>环境影响预测与评价</w:t>
      </w:r>
      <w:bookmarkEnd w:id="459"/>
      <w:bookmarkEnd w:id="460"/>
      <w:bookmarkEnd w:id="461"/>
      <w:bookmarkEnd w:id="462"/>
      <w:bookmarkEnd w:id="463"/>
    </w:p>
    <w:p>
      <w:pPr>
        <w:pStyle w:val="4"/>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bookmarkStart w:id="464" w:name="_Toc24870"/>
      <w:bookmarkStart w:id="465" w:name="_Toc105"/>
      <w:bookmarkStart w:id="466" w:name="_Toc27057"/>
      <w:r>
        <w:rPr>
          <w:rFonts w:hint="default" w:ascii="Times New Roman" w:hAnsi="Times New Roman" w:cs="Times New Roman"/>
          <w:color w:val="auto"/>
        </w:rPr>
        <w:t>施工期环境影响分析</w:t>
      </w:r>
      <w:bookmarkEnd w:id="464"/>
      <w:bookmarkEnd w:id="465"/>
      <w:bookmarkEnd w:id="466"/>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所需厂房、公用工程设施均依托厂区内现有设施，项目仅安装少量设备、储罐，对车间内给排水管网、供热管网进行铺设，以及对生产设备进行调试，无土石方和基建工程，施工预计在4个月左右完成。本项目施工期产生的污染主要为扬尘、施工噪声、施工人员生活污水、少量设备包装材料等。</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467" w:name="_Toc29429"/>
      <w:r>
        <w:rPr>
          <w:rFonts w:hint="default" w:ascii="Times New Roman" w:hAnsi="Times New Roman" w:cs="Times New Roman"/>
          <w:color w:val="auto"/>
        </w:rPr>
        <w:t>大气环境影响分析</w:t>
      </w:r>
      <w:bookmarkEnd w:id="467"/>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施工扬尘主要源于施工车辆行驶过程、材料设备装卸过程，类比调查分析，当车流密度为9辆/时，其粉尘源强为20mg/s•m</w:t>
      </w:r>
      <w:r>
        <w:rPr>
          <w:rFonts w:hint="default" w:ascii="Times New Roman" w:hAnsi="Times New Roman" w:cs="Times New Roman"/>
          <w:color w:val="auto"/>
          <w:vertAlign w:val="superscript"/>
        </w:rPr>
        <w:t>3</w:t>
      </w:r>
      <w:r>
        <w:rPr>
          <w:rFonts w:hint="default" w:ascii="Times New Roman" w:hAnsi="Times New Roman" w:cs="Times New Roman"/>
          <w:color w:val="auto"/>
        </w:rPr>
        <w:t>，仅在离运输道路10m的范围内，大气呈F稳定度条件下，其大气中TSP最大落地浓度超过0.50mg/m</w:t>
      </w:r>
      <w:r>
        <w:rPr>
          <w:rFonts w:hint="default" w:ascii="Times New Roman" w:hAnsi="Times New Roman" w:cs="Times New Roman"/>
          <w:color w:val="auto"/>
          <w:vertAlign w:val="superscript"/>
        </w:rPr>
        <w:t>3</w:t>
      </w:r>
      <w:r>
        <w:rPr>
          <w:rFonts w:hint="default" w:ascii="Times New Roman" w:hAnsi="Times New Roman" w:cs="Times New Roman"/>
          <w:color w:val="auto"/>
        </w:rPr>
        <w:t>。类比相关工程的施工特点，一般情况下，运输车辆为3~8辆/小时，因此，扬尘源强不会超过上述数值，在通往施工区的道路及施工场地较小的范围内，其场尘量有所增加，对施工运输道路周边行人有一定的影响，施工道路两侧无居民点。施工期间对车辆行驶的路面实施洒水抑尘，每天洒水4~5次，可使扬尘减少70%左右，可有效地控制施工扬尘。</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施工过程中少量建筑材料运输过程中会使用车辆，这些车辆均使用柴油发动机，这些车辆及施工机械在运行时会排放一定量的CO、NO</w:t>
      </w:r>
      <w:r>
        <w:rPr>
          <w:rFonts w:hint="default" w:ascii="Times New Roman" w:hAnsi="Times New Roman" w:cs="Times New Roman"/>
          <w:color w:val="auto"/>
          <w:vertAlign w:val="subscript"/>
          <w:lang w:val="en-US" w:eastAsia="zh-CN"/>
        </w:rPr>
        <w:t>X</w:t>
      </w:r>
      <w:r>
        <w:rPr>
          <w:rFonts w:hint="default" w:ascii="Times New Roman" w:hAnsi="Times New Roman" w:cs="Times New Roman"/>
          <w:color w:val="auto"/>
        </w:rPr>
        <w:t>以及未完全燃烧的碳氢化物、烃类等大气污染物，但由于施工工程量小，施工时间较短，且施工场地地势平坦开阔、空气流通性较好，有利于污染物质的扩散，因此，本项目施工机械废气及运输车辆尾气对周边大气环境影响较小。</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另外，施工期在少量生产设备改造、设备安装过程中使用到焊接，焊接操作为移动式作业，产生焊接烟尘位置具有不确定性，具体产生情况难以估算，由于施工期较短，通过加强车间内通风换气，保证施工人员不受较大影响。</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综上，本项目施工期废气以施工扬尘污染为主，同时施工机械废气及运输车辆尾气对环境也存在一定影响，但施工过程采取相应污染防治措施后，废气污染均可得到有效控制和达标排放，对周边环境敏感点影响较小。</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468" w:name="_Toc27259"/>
      <w:r>
        <w:rPr>
          <w:rFonts w:hint="default" w:ascii="Times New Roman" w:hAnsi="Times New Roman" w:cs="Times New Roman"/>
          <w:color w:val="auto"/>
        </w:rPr>
        <w:t>水环境影响分析</w:t>
      </w:r>
      <w:bookmarkEnd w:id="468"/>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无土石方和基建工程，且施工期较短，不会产生泥浆水等施工废水，施工期废水主要为施工人员生活污水。施工过程中产生的废水为施工人员生活污水。本项目施工人员均为附近闲散劳动力，且施工人员较少，不设施</w:t>
      </w:r>
      <w:r>
        <w:rPr>
          <w:rFonts w:hint="default" w:ascii="Times New Roman" w:hAnsi="Times New Roman" w:cs="Times New Roman"/>
          <w:color w:val="auto"/>
          <w:highlight w:val="none"/>
        </w:rPr>
        <w:t>工营地。施工人员生活污水产生量约为25.5t（0.43t/d），经厂区现有化粪池处理后排入园区污</w:t>
      </w:r>
      <w:r>
        <w:rPr>
          <w:rFonts w:hint="default" w:ascii="Times New Roman" w:hAnsi="Times New Roman" w:cs="Times New Roman"/>
          <w:color w:val="auto"/>
        </w:rPr>
        <w:t>水管网，经</w:t>
      </w:r>
      <w:r>
        <w:rPr>
          <w:rFonts w:hint="default" w:ascii="Times New Roman" w:hAnsi="Times New Roman" w:cs="Times New Roman"/>
          <w:color w:val="auto"/>
          <w:lang w:eastAsia="zh-CN"/>
        </w:rPr>
        <w:t>巴陵石化</w:t>
      </w:r>
      <w:r>
        <w:rPr>
          <w:rFonts w:hint="default" w:ascii="Times New Roman" w:hAnsi="Times New Roman" w:cs="Times New Roman"/>
          <w:color w:val="auto"/>
        </w:rPr>
        <w:t>公司污水处理厂深度处理达标后排入长江。因此，本项目施工期废水能得到有效处理，对地表水环境影响轻微。</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469" w:name="_Toc32027"/>
      <w:r>
        <w:rPr>
          <w:rFonts w:hint="default" w:ascii="Times New Roman" w:hAnsi="Times New Roman" w:cs="Times New Roman"/>
          <w:color w:val="auto"/>
        </w:rPr>
        <w:t>噪声影响分析</w:t>
      </w:r>
      <w:bookmarkEnd w:id="469"/>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施工期无土石方和基建工程，仅安装少量设备、储罐，对车间内给排水管网、供热管网进行铺设，以及对生产设备进行调试。施工期噪声主要为设备安装及车间内管网铺设时电钻等小型施工机械产生的间断性突发噪声。施工机械作业期间电钻产生的噪声源强为90dB(A)，昼间施工时，作业噪声超标范围在5m以内，夜间施工时，作业噪声超标范围在16m以内。噪声超标范围内没有员工宿舍等敏感点，说明本项目施工期噪声对外环境影响轻微。</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470" w:name="_Toc26002"/>
      <w:bookmarkStart w:id="471" w:name="_Toc11039"/>
      <w:bookmarkStart w:id="472" w:name="_Toc766"/>
      <w:r>
        <w:rPr>
          <w:rFonts w:hint="default" w:ascii="Times New Roman" w:hAnsi="Times New Roman" w:cs="Times New Roman"/>
          <w:color w:val="auto"/>
        </w:rPr>
        <w:t>固体废物影响分析</w:t>
      </w:r>
      <w:bookmarkEnd w:id="470"/>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施工期固废主要为少量建筑垃圾（包括设备包装材料、设备基础施工产生的废渣等）、施工人员生活垃圾。建筑垃圾可回收的应进行回收利用，不能回收的应及时清运到指定地点；施工人员生活垃圾汇同现有工程职工生活垃圾一起分类收集后交由环卫部门统一清运处理。</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施工期固废能得到妥善处置，对外环境影响不大。</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473" w:name="_Toc26450"/>
      <w:r>
        <w:rPr>
          <w:rFonts w:hint="default" w:ascii="Times New Roman" w:hAnsi="Times New Roman" w:cs="Times New Roman"/>
          <w:color w:val="auto"/>
        </w:rPr>
        <w:t>生态环境影响分析</w:t>
      </w:r>
      <w:bookmarkEnd w:id="473"/>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本项目建设不新增工业用地，在现有厂区范围内实施，项目所在地天然植被较少，目前也没有种植农作物，</w:t>
      </w:r>
      <w:r>
        <w:rPr>
          <w:rFonts w:hint="default" w:ascii="Times New Roman" w:hAnsi="Times New Roman" w:cs="Times New Roman"/>
          <w:color w:val="auto"/>
          <w:lang w:eastAsia="zh-CN"/>
        </w:rPr>
        <w:t>项目位于已建成园区内。</w:t>
      </w:r>
      <w:r>
        <w:rPr>
          <w:rFonts w:hint="default" w:ascii="Times New Roman" w:hAnsi="Times New Roman" w:cs="Times New Roman"/>
          <w:color w:val="auto"/>
        </w:rPr>
        <w:t>因此，本项目施工期不会破坏现有场地植被，施工期造成的生态影响轻微。</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p>
    <w:p>
      <w:pPr>
        <w:pStyle w:val="4"/>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bookmarkStart w:id="474" w:name="_Toc7191"/>
      <w:bookmarkStart w:id="475" w:name="_Toc31506"/>
      <w:bookmarkStart w:id="476" w:name="_Toc12463"/>
      <w:r>
        <w:rPr>
          <w:rFonts w:hint="default" w:ascii="Times New Roman" w:hAnsi="Times New Roman" w:cs="Times New Roman"/>
          <w:color w:val="auto"/>
        </w:rPr>
        <w:t>营运期环境影响预测与评价</w:t>
      </w:r>
      <w:bookmarkEnd w:id="471"/>
      <w:bookmarkEnd w:id="472"/>
      <w:bookmarkEnd w:id="474"/>
      <w:bookmarkEnd w:id="475"/>
      <w:bookmarkEnd w:id="476"/>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477" w:name="_Toc19820"/>
      <w:r>
        <w:rPr>
          <w:rFonts w:hint="default" w:ascii="Times New Roman" w:hAnsi="Times New Roman" w:cs="Times New Roman"/>
          <w:color w:val="auto"/>
        </w:rPr>
        <w:t>大气环境影响评价</w:t>
      </w:r>
      <w:bookmarkEnd w:id="477"/>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bookmarkStart w:id="478" w:name="_Toc177801616"/>
      <w:bookmarkStart w:id="479" w:name="_Toc178060028"/>
      <w:bookmarkStart w:id="480" w:name="_Toc177805251"/>
      <w:bookmarkStart w:id="481" w:name="_Toc182646263"/>
      <w:bookmarkStart w:id="482" w:name="_Toc175457995"/>
      <w:bookmarkStart w:id="483" w:name="_Toc177805102"/>
      <w:bookmarkStart w:id="484" w:name="_Toc175478409"/>
      <w:bookmarkStart w:id="485" w:name="_Toc176775958"/>
      <w:bookmarkStart w:id="486" w:name="_Toc175480188"/>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气象资料统计</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lang w:val="en-GB"/>
        </w:rPr>
      </w:pPr>
      <w:r>
        <w:rPr>
          <w:rFonts w:hint="default" w:ascii="Times New Roman" w:hAnsi="Times New Roman" w:cs="Times New Roman"/>
          <w:color w:val="auto"/>
          <w:lang w:val="en-GB"/>
        </w:rPr>
        <w:t>根据岳阳市气象观测站近20年来气象资料，该区域年平均气温为17.1℃；最高气温39.3℃；最低气温为-11.8℃。年平均相对湿度78%；年平均降雨量为1295.1mm；常年主导风向为NNE，频率为18%；冬季主导风向为NNE（22%），夏季主导风向为SSE（15%），年平均风速为2.9m/s。</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（1）地面气象要素</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lang w:val="en-GB"/>
        </w:rPr>
      </w:pPr>
      <w:r>
        <w:rPr>
          <w:rFonts w:hint="default" w:ascii="Times New Roman" w:hAnsi="Times New Roman" w:cs="Times New Roman"/>
          <w:color w:val="auto"/>
          <w:lang w:val="en-GB"/>
        </w:rPr>
        <w:t>岳阳市气象站近20年的气温、气压、湿度、降水量、蒸发量等地面气象要素的统计结果见下表。</w:t>
      </w: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常规气象要素统计值</w:t>
      </w:r>
    </w:p>
    <w:tbl>
      <w:tblPr>
        <w:tblStyle w:val="24"/>
        <w:tblW w:w="912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676"/>
        <w:gridCol w:w="1383"/>
        <w:gridCol w:w="1080"/>
        <w:gridCol w:w="1669"/>
        <w:gridCol w:w="1448"/>
        <w:gridCol w:w="1448"/>
        <w:gridCol w:w="142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624" w:hRule="exact"/>
          <w:jc w:val="center"/>
        </w:trPr>
        <w:tc>
          <w:tcPr>
            <w:tcW w:w="67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月份</w:t>
            </w:r>
          </w:p>
        </w:tc>
        <w:tc>
          <w:tcPr>
            <w:tcW w:w="138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平均气温</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平均气压</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hpa</w:t>
            </w:r>
          </w:p>
        </w:tc>
        <w:tc>
          <w:tcPr>
            <w:tcW w:w="16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平均相对湿度</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44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平均降水量</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mm</w:t>
            </w:r>
          </w:p>
        </w:tc>
        <w:tc>
          <w:tcPr>
            <w:tcW w:w="144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平均蒸发量</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mm</w:t>
            </w:r>
          </w:p>
        </w:tc>
        <w:tc>
          <w:tcPr>
            <w:tcW w:w="142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平均风速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exact"/>
          <w:jc w:val="center"/>
        </w:trPr>
        <w:tc>
          <w:tcPr>
            <w:tcW w:w="67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38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w:t>
            </w:r>
          </w:p>
        </w:tc>
        <w:tc>
          <w:tcPr>
            <w:tcW w:w="10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985.9</w:t>
            </w:r>
          </w:p>
        </w:tc>
        <w:tc>
          <w:tcPr>
            <w:tcW w:w="16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85</w:t>
            </w:r>
          </w:p>
        </w:tc>
        <w:tc>
          <w:tcPr>
            <w:tcW w:w="144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79.3</w:t>
            </w:r>
          </w:p>
        </w:tc>
        <w:tc>
          <w:tcPr>
            <w:tcW w:w="144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45.1</w:t>
            </w:r>
          </w:p>
        </w:tc>
        <w:tc>
          <w:tcPr>
            <w:tcW w:w="142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exact"/>
          <w:jc w:val="center"/>
        </w:trPr>
        <w:tc>
          <w:tcPr>
            <w:tcW w:w="67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38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7.1</w:t>
            </w:r>
          </w:p>
        </w:tc>
        <w:tc>
          <w:tcPr>
            <w:tcW w:w="10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983.6</w:t>
            </w:r>
          </w:p>
        </w:tc>
        <w:tc>
          <w:tcPr>
            <w:tcW w:w="16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85</w:t>
            </w:r>
          </w:p>
        </w:tc>
        <w:tc>
          <w:tcPr>
            <w:tcW w:w="144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110.5</w:t>
            </w:r>
          </w:p>
        </w:tc>
        <w:tc>
          <w:tcPr>
            <w:tcW w:w="144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51.3</w:t>
            </w:r>
          </w:p>
        </w:tc>
        <w:tc>
          <w:tcPr>
            <w:tcW w:w="142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exact"/>
          <w:jc w:val="center"/>
        </w:trPr>
        <w:tc>
          <w:tcPr>
            <w:tcW w:w="67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38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11.1</w:t>
            </w:r>
          </w:p>
        </w:tc>
        <w:tc>
          <w:tcPr>
            <w:tcW w:w="10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980.4</w:t>
            </w:r>
          </w:p>
        </w:tc>
        <w:tc>
          <w:tcPr>
            <w:tcW w:w="16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86</w:t>
            </w:r>
          </w:p>
        </w:tc>
        <w:tc>
          <w:tcPr>
            <w:tcW w:w="144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151.4</w:t>
            </w:r>
          </w:p>
        </w:tc>
        <w:tc>
          <w:tcPr>
            <w:tcW w:w="144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73.9</w:t>
            </w:r>
          </w:p>
        </w:tc>
        <w:tc>
          <w:tcPr>
            <w:tcW w:w="142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exact"/>
          <w:jc w:val="center"/>
        </w:trPr>
        <w:tc>
          <w:tcPr>
            <w:tcW w:w="67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38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17.5</w:t>
            </w:r>
          </w:p>
        </w:tc>
        <w:tc>
          <w:tcPr>
            <w:tcW w:w="10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976.2</w:t>
            </w:r>
          </w:p>
        </w:tc>
        <w:tc>
          <w:tcPr>
            <w:tcW w:w="16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83</w:t>
            </w:r>
          </w:p>
        </w:tc>
        <w:tc>
          <w:tcPr>
            <w:tcW w:w="144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190.1</w:t>
            </w:r>
          </w:p>
        </w:tc>
        <w:tc>
          <w:tcPr>
            <w:tcW w:w="144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113.0</w:t>
            </w:r>
          </w:p>
        </w:tc>
        <w:tc>
          <w:tcPr>
            <w:tcW w:w="142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exact"/>
          <w:jc w:val="center"/>
        </w:trPr>
        <w:tc>
          <w:tcPr>
            <w:tcW w:w="67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38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22.0</w:t>
            </w:r>
          </w:p>
        </w:tc>
        <w:tc>
          <w:tcPr>
            <w:tcW w:w="10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972.9</w:t>
            </w:r>
          </w:p>
        </w:tc>
        <w:tc>
          <w:tcPr>
            <w:tcW w:w="16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82</w:t>
            </w:r>
          </w:p>
        </w:tc>
        <w:tc>
          <w:tcPr>
            <w:tcW w:w="144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212.7</w:t>
            </w:r>
          </w:p>
        </w:tc>
        <w:tc>
          <w:tcPr>
            <w:tcW w:w="144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142.0</w:t>
            </w:r>
          </w:p>
        </w:tc>
        <w:tc>
          <w:tcPr>
            <w:tcW w:w="142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exact"/>
          <w:jc w:val="center"/>
        </w:trPr>
        <w:tc>
          <w:tcPr>
            <w:tcW w:w="67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138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25.7</w:t>
            </w:r>
          </w:p>
        </w:tc>
        <w:tc>
          <w:tcPr>
            <w:tcW w:w="10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969.2</w:t>
            </w:r>
          </w:p>
        </w:tc>
        <w:tc>
          <w:tcPr>
            <w:tcW w:w="16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c>
          <w:tcPr>
            <w:tcW w:w="144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175.4</w:t>
            </w:r>
          </w:p>
        </w:tc>
        <w:tc>
          <w:tcPr>
            <w:tcW w:w="144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179.2</w:t>
            </w:r>
          </w:p>
        </w:tc>
        <w:tc>
          <w:tcPr>
            <w:tcW w:w="142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exact"/>
          <w:jc w:val="center"/>
        </w:trPr>
        <w:tc>
          <w:tcPr>
            <w:tcW w:w="67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138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28.2</w:t>
            </w:r>
          </w:p>
        </w:tc>
        <w:tc>
          <w:tcPr>
            <w:tcW w:w="10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968.3</w:t>
            </w:r>
          </w:p>
        </w:tc>
        <w:tc>
          <w:tcPr>
            <w:tcW w:w="16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72</w:t>
            </w:r>
          </w:p>
        </w:tc>
        <w:tc>
          <w:tcPr>
            <w:tcW w:w="144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116.8</w:t>
            </w:r>
          </w:p>
        </w:tc>
        <w:tc>
          <w:tcPr>
            <w:tcW w:w="144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252.0</w:t>
            </w:r>
          </w:p>
        </w:tc>
        <w:tc>
          <w:tcPr>
            <w:tcW w:w="142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exact"/>
          <w:jc w:val="center"/>
        </w:trPr>
        <w:tc>
          <w:tcPr>
            <w:tcW w:w="67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138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27.2</w:t>
            </w:r>
          </w:p>
        </w:tc>
        <w:tc>
          <w:tcPr>
            <w:tcW w:w="10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969.2</w:t>
            </w:r>
          </w:p>
        </w:tc>
        <w:tc>
          <w:tcPr>
            <w:tcW w:w="16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77</w:t>
            </w:r>
          </w:p>
        </w:tc>
        <w:tc>
          <w:tcPr>
            <w:tcW w:w="144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155.5</w:t>
            </w:r>
          </w:p>
        </w:tc>
        <w:tc>
          <w:tcPr>
            <w:tcW w:w="144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203.9</w:t>
            </w:r>
          </w:p>
        </w:tc>
        <w:tc>
          <w:tcPr>
            <w:tcW w:w="142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exact"/>
          <w:jc w:val="center"/>
        </w:trPr>
        <w:tc>
          <w:tcPr>
            <w:tcW w:w="67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138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23.5</w:t>
            </w:r>
          </w:p>
        </w:tc>
        <w:tc>
          <w:tcPr>
            <w:tcW w:w="10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975.0</w:t>
            </w:r>
          </w:p>
        </w:tc>
        <w:tc>
          <w:tcPr>
            <w:tcW w:w="16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c>
          <w:tcPr>
            <w:tcW w:w="144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82.0</w:t>
            </w:r>
          </w:p>
        </w:tc>
        <w:tc>
          <w:tcPr>
            <w:tcW w:w="144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137.1</w:t>
            </w:r>
          </w:p>
        </w:tc>
        <w:tc>
          <w:tcPr>
            <w:tcW w:w="142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exact"/>
          <w:jc w:val="center"/>
        </w:trPr>
        <w:tc>
          <w:tcPr>
            <w:tcW w:w="67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38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18.4</w:t>
            </w:r>
          </w:p>
        </w:tc>
        <w:tc>
          <w:tcPr>
            <w:tcW w:w="10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980.7</w:t>
            </w:r>
          </w:p>
        </w:tc>
        <w:tc>
          <w:tcPr>
            <w:tcW w:w="16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c>
          <w:tcPr>
            <w:tcW w:w="144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91.2</w:t>
            </w:r>
          </w:p>
        </w:tc>
        <w:tc>
          <w:tcPr>
            <w:tcW w:w="144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107.9</w:t>
            </w:r>
          </w:p>
        </w:tc>
        <w:tc>
          <w:tcPr>
            <w:tcW w:w="142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exact"/>
          <w:jc w:val="center"/>
        </w:trPr>
        <w:tc>
          <w:tcPr>
            <w:tcW w:w="67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138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12.9</w:t>
            </w:r>
          </w:p>
        </w:tc>
        <w:tc>
          <w:tcPr>
            <w:tcW w:w="10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984.5</w:t>
            </w:r>
          </w:p>
        </w:tc>
        <w:tc>
          <w:tcPr>
            <w:tcW w:w="16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78</w:t>
            </w:r>
          </w:p>
        </w:tc>
        <w:tc>
          <w:tcPr>
            <w:tcW w:w="144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62.6</w:t>
            </w:r>
          </w:p>
        </w:tc>
        <w:tc>
          <w:tcPr>
            <w:tcW w:w="144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79.6</w:t>
            </w:r>
          </w:p>
        </w:tc>
        <w:tc>
          <w:tcPr>
            <w:tcW w:w="142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exact"/>
          <w:jc w:val="center"/>
        </w:trPr>
        <w:tc>
          <w:tcPr>
            <w:tcW w:w="67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138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7.9</w:t>
            </w:r>
          </w:p>
        </w:tc>
        <w:tc>
          <w:tcPr>
            <w:tcW w:w="10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986.6</w:t>
            </w:r>
          </w:p>
        </w:tc>
        <w:tc>
          <w:tcPr>
            <w:tcW w:w="16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78</w:t>
            </w:r>
          </w:p>
        </w:tc>
        <w:tc>
          <w:tcPr>
            <w:tcW w:w="144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44.1</w:t>
            </w:r>
          </w:p>
        </w:tc>
        <w:tc>
          <w:tcPr>
            <w:tcW w:w="144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64.5</w:t>
            </w:r>
          </w:p>
        </w:tc>
        <w:tc>
          <w:tcPr>
            <w:tcW w:w="142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exact"/>
          <w:jc w:val="center"/>
        </w:trPr>
        <w:tc>
          <w:tcPr>
            <w:tcW w:w="67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全年</w:t>
            </w:r>
          </w:p>
        </w:tc>
        <w:tc>
          <w:tcPr>
            <w:tcW w:w="138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17.2</w:t>
            </w:r>
          </w:p>
        </w:tc>
        <w:tc>
          <w:tcPr>
            <w:tcW w:w="10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977.7</w:t>
            </w:r>
          </w:p>
        </w:tc>
        <w:tc>
          <w:tcPr>
            <w:tcW w:w="16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81</w:t>
            </w:r>
          </w:p>
        </w:tc>
        <w:tc>
          <w:tcPr>
            <w:tcW w:w="144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1471.7</w:t>
            </w:r>
          </w:p>
        </w:tc>
        <w:tc>
          <w:tcPr>
            <w:tcW w:w="144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1449.5</w:t>
            </w:r>
          </w:p>
        </w:tc>
        <w:tc>
          <w:tcPr>
            <w:tcW w:w="142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w:t>
            </w:r>
          </w:p>
        </w:tc>
      </w:tr>
    </w:tbl>
    <w:p>
      <w:pPr>
        <w:pStyle w:val="39"/>
        <w:keepNext w:val="0"/>
        <w:keepLines w:val="0"/>
        <w:pageBreakBefore w:val="0"/>
        <w:widowControl w:val="0"/>
        <w:kinsoku/>
        <w:wordWrap/>
        <w:overflowPunct/>
        <w:topLinePunct w:val="0"/>
        <w:autoSpaceDE/>
        <w:autoSpaceDN/>
        <w:bidi w:val="0"/>
        <w:adjustRightInd/>
        <w:snapToGrid/>
        <w:spacing w:before="157" w:beforeLines="50"/>
        <w:textAlignment w:val="auto"/>
        <w:outlineLvl w:val="9"/>
        <w:rPr>
          <w:rFonts w:hint="default" w:ascii="Times New Roman" w:hAnsi="Times New Roman" w:cs="Times New Roman"/>
          <w:color w:val="auto"/>
        </w:rPr>
      </w:pPr>
      <w:r>
        <w:rPr>
          <w:rFonts w:hint="default" w:ascii="Times New Roman" w:hAnsi="Times New Roman" w:cs="Times New Roman"/>
          <w:color w:val="auto"/>
        </w:rPr>
        <w:t>（2）风向风速</w:t>
      </w:r>
    </w:p>
    <w:p>
      <w:pPr>
        <w:pStyle w:val="39"/>
        <w:bidi w:val="0"/>
        <w:rPr>
          <w:rFonts w:hint="default" w:ascii="Times New Roman" w:hAnsi="Times New Roman" w:cs="Times New Roman"/>
          <w:color w:val="auto"/>
        </w:rPr>
      </w:pPr>
      <w:r>
        <w:rPr>
          <w:rFonts w:hint="default" w:ascii="Times New Roman" w:hAnsi="Times New Roman" w:cs="Times New Roman"/>
          <w:color w:val="auto"/>
        </w:rPr>
        <w:t>岳阳市气象站近20年来风向频率统计见</w:t>
      </w:r>
      <w:r>
        <w:rPr>
          <w:rFonts w:hint="default" w:ascii="Times New Roman" w:hAnsi="Times New Roman" w:cs="Times New Roman"/>
          <w:color w:val="auto"/>
          <w:lang w:val="en-US" w:eastAsia="zh-CN"/>
        </w:rPr>
        <w:t xml:space="preserve">表 </w:t>
      </w: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STYLEREF 1 \s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lang w:val="en-US" w:eastAsia="zh-CN"/>
        </w:rPr>
        <w:t>6</w:t>
      </w:r>
      <w:r>
        <w:rPr>
          <w:rFonts w:hint="default" w:ascii="Times New Roman" w:hAnsi="Times New Roman" w:cs="Times New Roman"/>
          <w:color w:val="auto"/>
          <w:lang w:val="en-US" w:eastAsia="zh-CN"/>
        </w:rPr>
        <w:fldChar w:fldCharType="end"/>
      </w:r>
      <w:r>
        <w:rPr>
          <w:rFonts w:hint="default" w:ascii="Times New Roman" w:hAnsi="Times New Roman" w:cs="Times New Roman"/>
          <w:color w:val="auto"/>
          <w:lang w:val="en-US" w:eastAsia="zh-CN"/>
        </w:rPr>
        <w:t>-</w:t>
      </w: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SEQ 表 \* ARABIC \s 1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lang w:val="en-US" w:eastAsia="zh-CN"/>
        </w:rPr>
        <w:t>2</w:t>
      </w:r>
      <w:r>
        <w:rPr>
          <w:rFonts w:hint="default" w:ascii="Times New Roman" w:hAnsi="Times New Roman" w:cs="Times New Roman"/>
          <w:color w:val="auto"/>
          <w:lang w:val="en-US" w:eastAsia="zh-CN"/>
        </w:rPr>
        <w:fldChar w:fldCharType="end"/>
      </w:r>
      <w:r>
        <w:rPr>
          <w:rFonts w:hint="default" w:ascii="Times New Roman" w:hAnsi="Times New Roman" w:cs="Times New Roman"/>
          <w:color w:val="auto"/>
        </w:rPr>
        <w:t>，风向频率玫瑰图见图</w:t>
      </w:r>
      <w:r>
        <w:rPr>
          <w:rFonts w:hint="default" w:ascii="Times New Roman" w:hAnsi="Times New Roman" w:cs="Times New Roman"/>
          <w:color w:val="auto"/>
          <w:lang w:val="en-US" w:eastAsia="zh-CN"/>
        </w:rPr>
        <w:t xml:space="preserve"> 6-1</w:t>
      </w:r>
      <w:r>
        <w:rPr>
          <w:rFonts w:hint="default" w:ascii="Times New Roman" w:hAnsi="Times New Roman" w:cs="Times New Roman"/>
          <w:color w:val="auto"/>
        </w:rPr>
        <w:t>，表</w:t>
      </w:r>
      <w:r>
        <w:rPr>
          <w:rFonts w:hint="default" w:ascii="Times New Roman" w:hAnsi="Times New Roman" w:cs="Times New Roman"/>
          <w:color w:val="auto"/>
          <w:lang w:val="en-US" w:eastAsia="zh-CN"/>
        </w:rPr>
        <w:t xml:space="preserve"> 6</w:t>
      </w:r>
      <w:r>
        <w:rPr>
          <w:rFonts w:hint="default" w:ascii="Times New Roman" w:hAnsi="Times New Roman" w:cs="Times New Roman"/>
          <w:color w:val="auto"/>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是岳阳市气象站近20年风速统计，风速变化曲线见图</w:t>
      </w:r>
      <w:r>
        <w:rPr>
          <w:rFonts w:hint="default" w:ascii="Times New Roman" w:hAnsi="Times New Roman" w:cs="Times New Roman"/>
          <w:color w:val="auto"/>
          <w:lang w:val="en-US" w:eastAsia="zh-CN"/>
        </w:rPr>
        <w:t xml:space="preserve"> 6-2</w:t>
      </w:r>
      <w:r>
        <w:rPr>
          <w:rFonts w:hint="default" w:ascii="Times New Roman" w:hAnsi="Times New Roman" w:cs="Times New Roman"/>
          <w:color w:val="auto"/>
        </w:rPr>
        <w:t>。</w:t>
      </w:r>
    </w:p>
    <w:p>
      <w:pPr>
        <w:pStyle w:val="14"/>
        <w:bidi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岳阳市气象站全年及四季风向频率（%）分布</w:t>
      </w:r>
    </w:p>
    <w:tbl>
      <w:tblPr>
        <w:tblStyle w:val="24"/>
        <w:tblpPr w:leftFromText="180" w:rightFromText="180" w:vertAnchor="text" w:horzAnchor="page" w:tblpX="951" w:tblpY="186"/>
        <w:tblOverlap w:val="never"/>
        <w:tblW w:w="972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630"/>
        <w:gridCol w:w="420"/>
        <w:gridCol w:w="615"/>
        <w:gridCol w:w="465"/>
        <w:gridCol w:w="541"/>
        <w:gridCol w:w="389"/>
        <w:gridCol w:w="525"/>
        <w:gridCol w:w="480"/>
        <w:gridCol w:w="555"/>
        <w:gridCol w:w="480"/>
        <w:gridCol w:w="585"/>
        <w:gridCol w:w="525"/>
        <w:gridCol w:w="645"/>
        <w:gridCol w:w="525"/>
        <w:gridCol w:w="675"/>
        <w:gridCol w:w="555"/>
        <w:gridCol w:w="645"/>
        <w:gridCol w:w="46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680" w:hRule="exact"/>
        </w:trPr>
        <w:tc>
          <w:tcPr>
            <w:tcW w:w="63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时间</w:t>
            </w:r>
          </w:p>
        </w:tc>
        <w:tc>
          <w:tcPr>
            <w:tcW w:w="42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w:t>
            </w:r>
          </w:p>
        </w:tc>
        <w:tc>
          <w:tcPr>
            <w:tcW w:w="61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NNE</w:t>
            </w:r>
          </w:p>
        </w:tc>
        <w:tc>
          <w:tcPr>
            <w:tcW w:w="46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NE</w:t>
            </w:r>
          </w:p>
        </w:tc>
        <w:tc>
          <w:tcPr>
            <w:tcW w:w="54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ENE</w:t>
            </w:r>
          </w:p>
        </w:tc>
        <w:tc>
          <w:tcPr>
            <w:tcW w:w="38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w:t>
            </w:r>
          </w:p>
        </w:tc>
        <w:tc>
          <w:tcPr>
            <w:tcW w:w="52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ESE</w:t>
            </w:r>
          </w:p>
        </w:tc>
        <w:tc>
          <w:tcPr>
            <w:tcW w:w="4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SE</w:t>
            </w:r>
          </w:p>
        </w:tc>
        <w:tc>
          <w:tcPr>
            <w:tcW w:w="5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SSE</w:t>
            </w:r>
          </w:p>
        </w:tc>
        <w:tc>
          <w:tcPr>
            <w:tcW w:w="4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w:t>
            </w:r>
          </w:p>
        </w:tc>
        <w:tc>
          <w:tcPr>
            <w:tcW w:w="58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w:t>
            </w:r>
          </w:p>
        </w:tc>
        <w:tc>
          <w:tcPr>
            <w:tcW w:w="52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SW</w:t>
            </w:r>
          </w:p>
        </w:tc>
        <w:tc>
          <w:tcPr>
            <w:tcW w:w="64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WSW</w:t>
            </w:r>
          </w:p>
        </w:tc>
        <w:tc>
          <w:tcPr>
            <w:tcW w:w="52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SW</w:t>
            </w:r>
          </w:p>
        </w:tc>
        <w:tc>
          <w:tcPr>
            <w:tcW w:w="67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WSW</w:t>
            </w:r>
          </w:p>
        </w:tc>
        <w:tc>
          <w:tcPr>
            <w:tcW w:w="5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NW</w:t>
            </w:r>
          </w:p>
        </w:tc>
        <w:tc>
          <w:tcPr>
            <w:tcW w:w="64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NNW</w:t>
            </w:r>
          </w:p>
        </w:tc>
        <w:tc>
          <w:tcPr>
            <w:tcW w:w="46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454" w:hRule="exact"/>
        </w:trPr>
        <w:tc>
          <w:tcPr>
            <w:tcW w:w="63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春</w:t>
            </w:r>
          </w:p>
        </w:tc>
        <w:tc>
          <w:tcPr>
            <w:tcW w:w="42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61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46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54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38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52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4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5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4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58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52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64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52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67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5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64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46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454" w:hRule="exact"/>
        </w:trPr>
        <w:tc>
          <w:tcPr>
            <w:tcW w:w="63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夏</w:t>
            </w:r>
          </w:p>
        </w:tc>
        <w:tc>
          <w:tcPr>
            <w:tcW w:w="42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61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46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54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38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52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4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5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4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58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2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64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52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67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64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46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454" w:hRule="exact"/>
        </w:trPr>
        <w:tc>
          <w:tcPr>
            <w:tcW w:w="63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秋</w:t>
            </w:r>
          </w:p>
        </w:tc>
        <w:tc>
          <w:tcPr>
            <w:tcW w:w="42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61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46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w:t>
            </w:r>
          </w:p>
        </w:tc>
        <w:tc>
          <w:tcPr>
            <w:tcW w:w="54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38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52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4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5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4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8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52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64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52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67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64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46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454" w:hRule="exact"/>
        </w:trPr>
        <w:tc>
          <w:tcPr>
            <w:tcW w:w="63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冬</w:t>
            </w:r>
          </w:p>
        </w:tc>
        <w:tc>
          <w:tcPr>
            <w:tcW w:w="42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61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w:t>
            </w:r>
          </w:p>
        </w:tc>
        <w:tc>
          <w:tcPr>
            <w:tcW w:w="46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54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38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52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4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5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4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8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52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64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52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67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64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46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680" w:hRule="exact"/>
        </w:trPr>
        <w:tc>
          <w:tcPr>
            <w:tcW w:w="63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全年</w:t>
            </w:r>
          </w:p>
        </w:tc>
        <w:tc>
          <w:tcPr>
            <w:tcW w:w="42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61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w:t>
            </w:r>
          </w:p>
        </w:tc>
        <w:tc>
          <w:tcPr>
            <w:tcW w:w="46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54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38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52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4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5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4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58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52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64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52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67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5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64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46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r>
    </w:tbl>
    <w:p>
      <w:pPr>
        <w:pStyle w:val="39"/>
        <w:bidi w:val="0"/>
        <w:rPr>
          <w:rFonts w:hint="default" w:ascii="Times New Roman" w:hAnsi="Times New Roman" w:cs="Times New Roman"/>
          <w:color w:val="auto"/>
        </w:rPr>
      </w:pPr>
    </w:p>
    <w:tbl>
      <w:tblPr>
        <w:tblStyle w:val="24"/>
        <w:tblW w:w="9020" w:type="dxa"/>
        <w:jc w:val="center"/>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
      <w:tblGrid>
        <w:gridCol w:w="4510"/>
        <w:gridCol w:w="4510"/>
      </w:tblGrid>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22" w:hRule="atLeast"/>
          <w:jc w:val="center"/>
        </w:trPr>
        <w:tc>
          <w:tcPr>
            <w:tcW w:w="4510" w:type="dxa"/>
            <w:vAlign w:val="center"/>
          </w:tcPr>
          <w:p>
            <w:pPr>
              <w:pStyle w:val="39"/>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1979930" cy="1935480"/>
                  <wp:effectExtent l="0" t="0" r="127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8"/>
                          <a:stretch>
                            <a:fillRect/>
                          </a:stretch>
                        </pic:blipFill>
                        <pic:spPr>
                          <a:xfrm>
                            <a:off x="0" y="0"/>
                            <a:ext cx="1979930" cy="1935480"/>
                          </a:xfrm>
                          <a:prstGeom prst="rect">
                            <a:avLst/>
                          </a:prstGeom>
                          <a:noFill/>
                          <a:ln>
                            <a:noFill/>
                          </a:ln>
                        </pic:spPr>
                      </pic:pic>
                    </a:graphicData>
                  </a:graphic>
                </wp:inline>
              </w:drawing>
            </w:r>
          </w:p>
        </w:tc>
        <w:tc>
          <w:tcPr>
            <w:tcW w:w="4510" w:type="dxa"/>
            <w:vAlign w:val="center"/>
          </w:tcPr>
          <w:p>
            <w:pPr>
              <w:pStyle w:val="39"/>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1979930" cy="1880235"/>
                  <wp:effectExtent l="0" t="0" r="1270" b="571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49"/>
                          <a:stretch>
                            <a:fillRect/>
                          </a:stretch>
                        </pic:blipFill>
                        <pic:spPr>
                          <a:xfrm>
                            <a:off x="0" y="0"/>
                            <a:ext cx="1979930" cy="1880235"/>
                          </a:xfrm>
                          <a:prstGeom prst="rect">
                            <a:avLst/>
                          </a:prstGeom>
                          <a:noFill/>
                          <a:ln>
                            <a:noFill/>
                          </a:ln>
                        </pic:spPr>
                      </pic:pic>
                    </a:graphicData>
                  </a:graphic>
                </wp:inline>
              </w:drawing>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49" w:hRule="exact"/>
          <w:jc w:val="center"/>
        </w:trPr>
        <w:tc>
          <w:tcPr>
            <w:tcW w:w="4510" w:type="dxa"/>
            <w:vAlign w:val="center"/>
          </w:tcPr>
          <w:p>
            <w:pPr>
              <w:pStyle w:val="39"/>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春季，静风9%</w:t>
            </w:r>
          </w:p>
        </w:tc>
        <w:tc>
          <w:tcPr>
            <w:tcW w:w="4510" w:type="dxa"/>
            <w:vAlign w:val="center"/>
          </w:tcPr>
          <w:p>
            <w:pPr>
              <w:pStyle w:val="39"/>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夏季，静风9%</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07" w:hRule="atLeast"/>
          <w:jc w:val="center"/>
        </w:trPr>
        <w:tc>
          <w:tcPr>
            <w:tcW w:w="4510" w:type="dxa"/>
            <w:vAlign w:val="center"/>
          </w:tcPr>
          <w:p>
            <w:pPr>
              <w:pStyle w:val="39"/>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1979930" cy="1858010"/>
                  <wp:effectExtent l="0" t="0" r="1270" b="889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50"/>
                          <a:stretch>
                            <a:fillRect/>
                          </a:stretch>
                        </pic:blipFill>
                        <pic:spPr>
                          <a:xfrm>
                            <a:off x="0" y="0"/>
                            <a:ext cx="1979930" cy="1858010"/>
                          </a:xfrm>
                          <a:prstGeom prst="rect">
                            <a:avLst/>
                          </a:prstGeom>
                          <a:noFill/>
                          <a:ln>
                            <a:noFill/>
                          </a:ln>
                        </pic:spPr>
                      </pic:pic>
                    </a:graphicData>
                  </a:graphic>
                </wp:inline>
              </w:drawing>
            </w:r>
          </w:p>
        </w:tc>
        <w:tc>
          <w:tcPr>
            <w:tcW w:w="4510" w:type="dxa"/>
            <w:vAlign w:val="center"/>
          </w:tcPr>
          <w:p>
            <w:pPr>
              <w:pStyle w:val="39"/>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1979930" cy="1828800"/>
                  <wp:effectExtent l="0" t="0" r="127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51"/>
                          <a:stretch>
                            <a:fillRect/>
                          </a:stretch>
                        </pic:blipFill>
                        <pic:spPr>
                          <a:xfrm>
                            <a:off x="0" y="0"/>
                            <a:ext cx="1979930" cy="1828800"/>
                          </a:xfrm>
                          <a:prstGeom prst="rect">
                            <a:avLst/>
                          </a:prstGeom>
                          <a:noFill/>
                          <a:ln>
                            <a:noFill/>
                          </a:ln>
                        </pic:spPr>
                      </pic:pic>
                    </a:graphicData>
                  </a:graphic>
                </wp:inline>
              </w:drawing>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99" w:hRule="exact"/>
          <w:jc w:val="center"/>
        </w:trPr>
        <w:tc>
          <w:tcPr>
            <w:tcW w:w="4510" w:type="dxa"/>
            <w:vAlign w:val="center"/>
          </w:tcPr>
          <w:p>
            <w:pPr>
              <w:pStyle w:val="39"/>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秋季，静风9%</w:t>
            </w:r>
          </w:p>
        </w:tc>
        <w:tc>
          <w:tcPr>
            <w:tcW w:w="4510" w:type="dxa"/>
            <w:vAlign w:val="center"/>
          </w:tcPr>
          <w:p>
            <w:pPr>
              <w:pStyle w:val="39"/>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冬季，静风9%</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22" w:hRule="atLeast"/>
          <w:jc w:val="center"/>
        </w:trPr>
        <w:tc>
          <w:tcPr>
            <w:tcW w:w="4510" w:type="dxa"/>
            <w:vAlign w:val="center"/>
          </w:tcPr>
          <w:p>
            <w:pPr>
              <w:pStyle w:val="39"/>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1979930" cy="1858645"/>
                  <wp:effectExtent l="0" t="0" r="1270" b="825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52"/>
                          <a:stretch>
                            <a:fillRect/>
                          </a:stretch>
                        </pic:blipFill>
                        <pic:spPr>
                          <a:xfrm>
                            <a:off x="0" y="0"/>
                            <a:ext cx="1979930" cy="1858645"/>
                          </a:xfrm>
                          <a:prstGeom prst="rect">
                            <a:avLst/>
                          </a:prstGeom>
                          <a:noFill/>
                          <a:ln>
                            <a:noFill/>
                          </a:ln>
                        </pic:spPr>
                      </pic:pic>
                    </a:graphicData>
                  </a:graphic>
                </wp:inline>
              </w:drawing>
            </w:r>
          </w:p>
        </w:tc>
        <w:tc>
          <w:tcPr>
            <w:tcW w:w="4510" w:type="dxa"/>
            <w:vAlign w:val="center"/>
          </w:tcPr>
          <w:p>
            <w:pPr>
              <w:pStyle w:val="39"/>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1979930" cy="1891665"/>
                  <wp:effectExtent l="0" t="0" r="1270" b="1333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53"/>
                          <a:stretch>
                            <a:fillRect/>
                          </a:stretch>
                        </pic:blipFill>
                        <pic:spPr>
                          <a:xfrm>
                            <a:off x="0" y="0"/>
                            <a:ext cx="1979930" cy="1891665"/>
                          </a:xfrm>
                          <a:prstGeom prst="rect">
                            <a:avLst/>
                          </a:prstGeom>
                          <a:noFill/>
                          <a:ln>
                            <a:noFill/>
                          </a:ln>
                        </pic:spPr>
                      </pic:pic>
                    </a:graphicData>
                  </a:graphic>
                </wp:inline>
              </w:drawing>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14" w:hRule="exact"/>
          <w:jc w:val="center"/>
        </w:trPr>
        <w:tc>
          <w:tcPr>
            <w:tcW w:w="4510" w:type="dxa"/>
            <w:vAlign w:val="center"/>
          </w:tcPr>
          <w:p>
            <w:pPr>
              <w:pStyle w:val="39"/>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全年，静风9%</w:t>
            </w:r>
          </w:p>
        </w:tc>
        <w:tc>
          <w:tcPr>
            <w:tcW w:w="4510" w:type="dxa"/>
            <w:vAlign w:val="center"/>
          </w:tcPr>
          <w:p>
            <w:pPr>
              <w:pStyle w:val="39"/>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图例，%</w:t>
            </w:r>
          </w:p>
        </w:tc>
      </w:tr>
    </w:tbl>
    <w:p>
      <w:pPr>
        <w:pStyle w:val="14"/>
        <w:bidi w:val="0"/>
        <w:rPr>
          <w:rFonts w:hint="default" w:ascii="Times New Roman" w:hAnsi="Times New Roman" w:cs="Times New Roman"/>
          <w:color w:val="auto"/>
        </w:rPr>
      </w:pPr>
    </w:p>
    <w:p>
      <w:pPr>
        <w:pStyle w:val="14"/>
        <w:bidi w:val="0"/>
        <w:rPr>
          <w:rFonts w:hint="default" w:ascii="Times New Roman" w:hAnsi="Times New Roman" w:cs="Times New Roman"/>
          <w:color w:val="auto"/>
        </w:rPr>
      </w:pPr>
      <w:r>
        <w:rPr>
          <w:rFonts w:hint="default" w:ascii="Times New Roman" w:hAnsi="Times New Roman" w:cs="Times New Roman"/>
          <w:color w:val="auto"/>
        </w:rPr>
        <w:t xml:space="preserve">图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图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岳阳市风向频率玫瑰图</w:t>
      </w:r>
    </w:p>
    <w:p>
      <w:pPr>
        <w:pStyle w:val="39"/>
        <w:bidi w:val="0"/>
        <w:rPr>
          <w:rFonts w:hint="default" w:ascii="Times New Roman" w:hAnsi="Times New Roman" w:cs="Times New Roman"/>
          <w:color w:val="auto"/>
        </w:rPr>
      </w:pPr>
    </w:p>
    <w:p>
      <w:pPr>
        <w:pStyle w:val="14"/>
        <w:bidi w:val="0"/>
        <w:rPr>
          <w:rFonts w:hint="default" w:ascii="Times New Roman" w:hAnsi="Times New Roman" w:cs="Times New Roman"/>
          <w:color w:val="auto"/>
        </w:rPr>
      </w:pPr>
    </w:p>
    <w:p>
      <w:pPr>
        <w:pStyle w:val="14"/>
        <w:bidi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岳阳市气象站近20年风速统计  单位：m/s</w:t>
      </w:r>
    </w:p>
    <w:tbl>
      <w:tblPr>
        <w:tblStyle w:val="24"/>
        <w:tblW w:w="912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851"/>
        <w:gridCol w:w="592"/>
        <w:gridCol w:w="594"/>
        <w:gridCol w:w="593"/>
        <w:gridCol w:w="594"/>
        <w:gridCol w:w="594"/>
        <w:gridCol w:w="593"/>
        <w:gridCol w:w="594"/>
        <w:gridCol w:w="594"/>
        <w:gridCol w:w="593"/>
        <w:gridCol w:w="594"/>
        <w:gridCol w:w="787"/>
        <w:gridCol w:w="787"/>
        <w:gridCol w:w="76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510" w:hRule="exact"/>
          <w:jc w:val="center"/>
        </w:trPr>
        <w:tc>
          <w:tcPr>
            <w:tcW w:w="851"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时间</w:t>
            </w:r>
          </w:p>
        </w:tc>
        <w:tc>
          <w:tcPr>
            <w:tcW w:w="592"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一</w:t>
            </w:r>
          </w:p>
        </w:tc>
        <w:tc>
          <w:tcPr>
            <w:tcW w:w="594"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二</w:t>
            </w:r>
          </w:p>
        </w:tc>
        <w:tc>
          <w:tcPr>
            <w:tcW w:w="593"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三</w:t>
            </w:r>
          </w:p>
        </w:tc>
        <w:tc>
          <w:tcPr>
            <w:tcW w:w="594"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四</w:t>
            </w:r>
          </w:p>
        </w:tc>
        <w:tc>
          <w:tcPr>
            <w:tcW w:w="594"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五</w:t>
            </w:r>
          </w:p>
        </w:tc>
        <w:tc>
          <w:tcPr>
            <w:tcW w:w="593"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六</w:t>
            </w:r>
          </w:p>
        </w:tc>
        <w:tc>
          <w:tcPr>
            <w:tcW w:w="594"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七</w:t>
            </w:r>
          </w:p>
        </w:tc>
        <w:tc>
          <w:tcPr>
            <w:tcW w:w="594"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八</w:t>
            </w:r>
          </w:p>
        </w:tc>
        <w:tc>
          <w:tcPr>
            <w:tcW w:w="593"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九</w:t>
            </w:r>
          </w:p>
        </w:tc>
        <w:tc>
          <w:tcPr>
            <w:tcW w:w="594"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十</w:t>
            </w:r>
          </w:p>
        </w:tc>
        <w:tc>
          <w:tcPr>
            <w:tcW w:w="78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十一</w:t>
            </w:r>
          </w:p>
        </w:tc>
        <w:tc>
          <w:tcPr>
            <w:tcW w:w="78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十二</w:t>
            </w:r>
          </w:p>
        </w:tc>
        <w:tc>
          <w:tcPr>
            <w:tcW w:w="768"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全年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665" w:hRule="exact"/>
          <w:jc w:val="center"/>
        </w:trPr>
        <w:tc>
          <w:tcPr>
            <w:tcW w:w="851"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风速</w:t>
            </w:r>
          </w:p>
        </w:tc>
        <w:tc>
          <w:tcPr>
            <w:tcW w:w="592"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2.8</w:t>
            </w:r>
          </w:p>
        </w:tc>
        <w:tc>
          <w:tcPr>
            <w:tcW w:w="594"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2.9</w:t>
            </w:r>
          </w:p>
        </w:tc>
        <w:tc>
          <w:tcPr>
            <w:tcW w:w="593"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3.1</w:t>
            </w:r>
          </w:p>
        </w:tc>
        <w:tc>
          <w:tcPr>
            <w:tcW w:w="594"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3.1</w:t>
            </w:r>
          </w:p>
        </w:tc>
        <w:tc>
          <w:tcPr>
            <w:tcW w:w="594"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2.7</w:t>
            </w:r>
          </w:p>
        </w:tc>
        <w:tc>
          <w:tcPr>
            <w:tcW w:w="593"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2.8</w:t>
            </w:r>
          </w:p>
        </w:tc>
        <w:tc>
          <w:tcPr>
            <w:tcW w:w="594"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3.5</w:t>
            </w:r>
          </w:p>
        </w:tc>
        <w:tc>
          <w:tcPr>
            <w:tcW w:w="594"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2.9</w:t>
            </w:r>
          </w:p>
        </w:tc>
        <w:tc>
          <w:tcPr>
            <w:tcW w:w="593"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2.8</w:t>
            </w:r>
          </w:p>
        </w:tc>
        <w:tc>
          <w:tcPr>
            <w:tcW w:w="594"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2.6</w:t>
            </w:r>
          </w:p>
        </w:tc>
        <w:tc>
          <w:tcPr>
            <w:tcW w:w="78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2.8</w:t>
            </w:r>
          </w:p>
        </w:tc>
        <w:tc>
          <w:tcPr>
            <w:tcW w:w="78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2.8</w:t>
            </w:r>
          </w:p>
        </w:tc>
        <w:tc>
          <w:tcPr>
            <w:tcW w:w="768"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2.9</w:t>
            </w:r>
          </w:p>
        </w:tc>
      </w:tr>
    </w:tbl>
    <w:p>
      <w:pPr>
        <w:pStyle w:val="39"/>
        <w:bidi w:val="0"/>
        <w:ind w:left="0" w:leftChars="0" w:firstLine="0" w:firstLineChars="0"/>
        <w:jc w:val="center"/>
        <w:rPr>
          <w:rFonts w:hint="default" w:ascii="Times New Roman" w:hAnsi="Times New Roman" w:cs="Times New Roman"/>
          <w:color w:val="auto"/>
          <w:lang w:val="en-GB"/>
        </w:rPr>
      </w:pPr>
      <w:r>
        <w:rPr>
          <w:rFonts w:hint="default" w:ascii="Times New Roman" w:hAnsi="Times New Roman" w:cs="Times New Roman"/>
          <w:color w:val="auto"/>
        </w:rPr>
        <w:drawing>
          <wp:inline distT="0" distB="0" distL="114300" distR="114300">
            <wp:extent cx="5269230" cy="2032000"/>
            <wp:effectExtent l="0" t="0" r="7620" b="635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54"/>
                    <a:stretch>
                      <a:fillRect/>
                    </a:stretch>
                  </pic:blipFill>
                  <pic:spPr>
                    <a:xfrm>
                      <a:off x="0" y="0"/>
                      <a:ext cx="5269230" cy="2032000"/>
                    </a:xfrm>
                    <a:prstGeom prst="rect">
                      <a:avLst/>
                    </a:prstGeom>
                    <a:noFill/>
                    <a:ln>
                      <a:noFill/>
                    </a:ln>
                  </pic:spPr>
                </pic:pic>
              </a:graphicData>
            </a:graphic>
          </wp:inline>
        </w:drawing>
      </w:r>
    </w:p>
    <w:p>
      <w:pPr>
        <w:pStyle w:val="14"/>
        <w:bidi w:val="0"/>
        <w:rPr>
          <w:rFonts w:hint="default" w:ascii="Times New Roman" w:hAnsi="Times New Roman" w:cs="Times New Roman"/>
          <w:color w:val="auto"/>
        </w:rPr>
      </w:pPr>
      <w:r>
        <w:rPr>
          <w:rFonts w:hint="default" w:ascii="Times New Roman" w:hAnsi="Times New Roman" w:cs="Times New Roman"/>
          <w:color w:val="auto"/>
        </w:rPr>
        <w:t xml:space="preserve">图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图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风速变化曲线图</w:t>
      </w:r>
    </w:p>
    <w:p>
      <w:pPr>
        <w:pStyle w:val="39"/>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color w:val="auto"/>
        </w:rPr>
      </w:pPr>
      <w:r>
        <w:rPr>
          <w:rFonts w:hint="default" w:ascii="Times New Roman" w:hAnsi="Times New Roman" w:cs="Times New Roman"/>
          <w:color w:val="auto"/>
        </w:rPr>
        <w:t>从图表中可以看出：该区域常年主导风向为NNE，频率为18%，春季主导风向为NNE风，频率高达17%，夏季主导风向为SSE风，频率高达15%，秋季主导风向为NNE风，频率为20%，冬季主导风向为NNE，频率为22%，年平均风速为2.9m/s。</w:t>
      </w:r>
    </w:p>
    <w:bookmarkEnd w:id="478"/>
    <w:bookmarkEnd w:id="479"/>
    <w:bookmarkEnd w:id="480"/>
    <w:bookmarkEnd w:id="481"/>
    <w:bookmarkEnd w:id="482"/>
    <w:bookmarkEnd w:id="483"/>
    <w:bookmarkEnd w:id="484"/>
    <w:bookmarkEnd w:id="485"/>
    <w:bookmarkEnd w:id="486"/>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）大气环境影响分析</w:t>
      </w:r>
    </w:p>
    <w:p>
      <w:pPr>
        <w:pStyle w:val="39"/>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color w:val="auto"/>
          <w:u w:val="single"/>
        </w:rPr>
      </w:pPr>
      <w:r>
        <w:rPr>
          <w:rFonts w:hint="default" w:ascii="Times New Roman" w:hAnsi="Times New Roman" w:cs="Times New Roman"/>
          <w:color w:val="auto"/>
          <w:u w:val="single"/>
          <w:lang w:eastAsia="zh-CN"/>
        </w:rPr>
        <w:t>根据章节</w:t>
      </w:r>
      <w:r>
        <w:rPr>
          <w:rFonts w:hint="default" w:ascii="Times New Roman" w:hAnsi="Times New Roman" w:cs="Times New Roman"/>
          <w:color w:val="auto"/>
          <w:u w:val="single"/>
          <w:lang w:val="en-US" w:eastAsia="zh-CN"/>
        </w:rPr>
        <w:t>2.4.3.1</w:t>
      </w:r>
      <w:r>
        <w:rPr>
          <w:rFonts w:hint="default" w:ascii="Times New Roman" w:hAnsi="Times New Roman" w:cs="Times New Roman"/>
          <w:color w:val="auto"/>
          <w:u w:val="single"/>
        </w:rPr>
        <w:t>大气环境评价工作等级和评价范围</w:t>
      </w:r>
      <w:r>
        <w:rPr>
          <w:rFonts w:hint="default" w:ascii="Times New Roman" w:hAnsi="Times New Roman" w:cs="Times New Roman"/>
          <w:color w:val="auto"/>
          <w:u w:val="single"/>
          <w:lang w:eastAsia="zh-CN"/>
        </w:rPr>
        <w:t>的计算结果，</w:t>
      </w:r>
      <w:r>
        <w:rPr>
          <w:rFonts w:hint="default" w:ascii="Times New Roman" w:hAnsi="Times New Roman" w:cs="Times New Roman"/>
          <w:color w:val="auto"/>
          <w:u w:val="single"/>
        </w:rPr>
        <w:t>本项目污染物预测及评价工作定级详见下表。</w:t>
      </w:r>
    </w:p>
    <w:p>
      <w:pPr>
        <w:pStyle w:val="3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u w:val="single"/>
          <w:lang w:val="zh-CN"/>
        </w:rPr>
      </w:pPr>
      <w:r>
        <w:rPr>
          <w:rFonts w:hint="default" w:ascii="Times New Roman" w:hAnsi="Times New Roman" w:cs="Times New Roman"/>
          <w:color w:val="auto"/>
          <w:u w:val="single"/>
        </w:rPr>
        <w:t>表</w:t>
      </w:r>
      <w:r>
        <w:rPr>
          <w:rFonts w:hint="default" w:ascii="Times New Roman" w:hAnsi="Times New Roman" w:cs="Times New Roman"/>
          <w:color w:val="auto"/>
          <w:u w:val="single"/>
          <w:lang w:val="en-US" w:eastAsia="zh-CN"/>
        </w:rPr>
        <w:t xml:space="preserve">6-4 </w:t>
      </w:r>
      <w:r>
        <w:rPr>
          <w:rFonts w:hint="default" w:ascii="Times New Roman" w:hAnsi="Times New Roman" w:cs="Times New Roman"/>
          <w:color w:val="auto"/>
          <w:u w:val="single"/>
        </w:rPr>
        <w:t xml:space="preserve"> </w:t>
      </w:r>
      <w:r>
        <w:rPr>
          <w:rFonts w:hint="default" w:ascii="Times New Roman" w:hAnsi="Times New Roman" w:cs="Times New Roman"/>
          <w:color w:val="auto"/>
          <w:u w:val="single"/>
          <w:lang w:val="zh-CN"/>
        </w:rPr>
        <w:t>各污染物预测及评价工作定级表</w:t>
      </w:r>
    </w:p>
    <w:tbl>
      <w:tblPr>
        <w:tblStyle w:val="24"/>
        <w:tblW w:w="89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04"/>
        <w:gridCol w:w="885"/>
        <w:gridCol w:w="1377"/>
        <w:gridCol w:w="1105"/>
        <w:gridCol w:w="1196"/>
        <w:gridCol w:w="1437"/>
        <w:gridCol w:w="11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37" w:hRule="atLeast"/>
          <w:jc w:val="center"/>
        </w:trPr>
        <w:tc>
          <w:tcPr>
            <w:tcW w:w="1704" w:type="dxa"/>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污染源</w:t>
            </w:r>
          </w:p>
        </w:tc>
        <w:tc>
          <w:tcPr>
            <w:tcW w:w="885" w:type="dxa"/>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污染因子</w:t>
            </w:r>
          </w:p>
        </w:tc>
        <w:tc>
          <w:tcPr>
            <w:tcW w:w="1377" w:type="dxa"/>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最大地面浓度C（mg/m</w:t>
            </w:r>
            <w:r>
              <w:rPr>
                <w:rFonts w:hint="default" w:ascii="Times New Roman" w:hAnsi="Times New Roman" w:cs="Times New Roman"/>
                <w:color w:val="auto"/>
                <w:sz w:val="21"/>
                <w:szCs w:val="21"/>
                <w:u w:val="single"/>
                <w:vertAlign w:val="subscript"/>
              </w:rPr>
              <w:t>3</w:t>
            </w:r>
            <w:r>
              <w:rPr>
                <w:rFonts w:hint="default" w:ascii="Times New Roman" w:hAnsi="Times New Roman" w:cs="Times New Roman"/>
                <w:color w:val="auto"/>
                <w:sz w:val="21"/>
                <w:szCs w:val="21"/>
                <w:u w:val="single"/>
              </w:rPr>
              <w:t>）</w:t>
            </w:r>
          </w:p>
        </w:tc>
        <w:tc>
          <w:tcPr>
            <w:tcW w:w="1105" w:type="dxa"/>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最大地面浓度占标率Pi（%）</w:t>
            </w:r>
          </w:p>
        </w:tc>
        <w:tc>
          <w:tcPr>
            <w:tcW w:w="1196" w:type="dxa"/>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D10%出现的最远距离（m）</w:t>
            </w:r>
          </w:p>
        </w:tc>
        <w:tc>
          <w:tcPr>
            <w:tcW w:w="1437" w:type="dxa"/>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是否属于多源项目</w:t>
            </w:r>
          </w:p>
        </w:tc>
        <w:tc>
          <w:tcPr>
            <w:tcW w:w="1196" w:type="dxa"/>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评价等级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5" w:hRule="atLeast"/>
          <w:jc w:val="center"/>
        </w:trPr>
        <w:tc>
          <w:tcPr>
            <w:tcW w:w="1704" w:type="dxa"/>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val="en-US" w:eastAsia="zh-CN"/>
              </w:rPr>
              <w:t>无组织排放</w:t>
            </w:r>
          </w:p>
        </w:tc>
        <w:tc>
          <w:tcPr>
            <w:tcW w:w="885" w:type="dxa"/>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VOCs</w:t>
            </w:r>
          </w:p>
        </w:tc>
        <w:tc>
          <w:tcPr>
            <w:tcW w:w="1377" w:type="dxa"/>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lang w:val="en-US"/>
              </w:rPr>
            </w:pPr>
            <w:r>
              <w:rPr>
                <w:rFonts w:hint="default" w:ascii="Times New Roman" w:hAnsi="Times New Roman" w:cs="Times New Roman"/>
                <w:color w:val="auto"/>
                <w:sz w:val="21"/>
                <w:szCs w:val="21"/>
                <w:u w:val="single"/>
              </w:rPr>
              <w:t>0.00</w:t>
            </w:r>
            <w:r>
              <w:rPr>
                <w:rFonts w:hint="default" w:ascii="Times New Roman" w:hAnsi="Times New Roman" w:cs="Times New Roman"/>
                <w:color w:val="auto"/>
                <w:sz w:val="21"/>
                <w:szCs w:val="21"/>
                <w:u w:val="single"/>
                <w:lang w:val="en-US" w:eastAsia="zh-CN"/>
              </w:rPr>
              <w:t>003</w:t>
            </w:r>
          </w:p>
        </w:tc>
        <w:tc>
          <w:tcPr>
            <w:tcW w:w="1105" w:type="dxa"/>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0.0025</w:t>
            </w:r>
          </w:p>
        </w:tc>
        <w:tc>
          <w:tcPr>
            <w:tcW w:w="1196" w:type="dxa"/>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无</w:t>
            </w:r>
          </w:p>
        </w:tc>
        <w:tc>
          <w:tcPr>
            <w:tcW w:w="1437" w:type="dxa"/>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否</w:t>
            </w:r>
          </w:p>
        </w:tc>
        <w:tc>
          <w:tcPr>
            <w:tcW w:w="1196" w:type="dxa"/>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三级</w:t>
            </w:r>
          </w:p>
        </w:tc>
      </w:tr>
    </w:tbl>
    <w:p>
      <w:pPr>
        <w:pStyle w:val="39"/>
        <w:keepNext w:val="0"/>
        <w:keepLines w:val="0"/>
        <w:pageBreakBefore w:val="0"/>
        <w:widowControl w:val="0"/>
        <w:kinsoku/>
        <w:wordWrap/>
        <w:overflowPunct/>
        <w:topLinePunct w:val="0"/>
        <w:autoSpaceDE/>
        <w:autoSpaceDN/>
        <w:bidi w:val="0"/>
        <w:adjustRightInd w:val="0"/>
        <w:snapToGrid w:val="0"/>
        <w:ind w:leftChars="0"/>
        <w:textAlignment w:val="auto"/>
        <w:outlineLvl w:val="9"/>
        <w:rPr>
          <w:rFonts w:hint="default" w:ascii="Times New Roman" w:hAnsi="Times New Roman" w:cs="Times New Roman"/>
          <w:color w:val="auto"/>
          <w:u w:val="single"/>
        </w:rPr>
      </w:pPr>
    </w:p>
    <w:p>
      <w:pPr>
        <w:pStyle w:val="39"/>
        <w:keepNext w:val="0"/>
        <w:keepLines w:val="0"/>
        <w:pageBreakBefore w:val="0"/>
        <w:widowControl w:val="0"/>
        <w:kinsoku/>
        <w:wordWrap/>
        <w:overflowPunct/>
        <w:topLinePunct w:val="0"/>
        <w:autoSpaceDE/>
        <w:autoSpaceDN/>
        <w:bidi w:val="0"/>
        <w:adjustRightInd w:val="0"/>
        <w:snapToGrid w:val="0"/>
        <w:ind w:leftChars="0"/>
        <w:textAlignment w:val="auto"/>
        <w:outlineLvl w:val="9"/>
        <w:rPr>
          <w:rFonts w:hint="default" w:ascii="Times New Roman" w:hAnsi="Times New Roman" w:cs="Times New Roman"/>
          <w:color w:val="auto"/>
          <w:u w:val="single"/>
          <w:lang w:eastAsia="zh-CN"/>
        </w:rPr>
      </w:pPr>
      <w:r>
        <w:rPr>
          <w:rFonts w:hint="default" w:ascii="Times New Roman" w:hAnsi="Times New Roman" w:cs="Times New Roman"/>
          <w:color w:val="auto"/>
          <w:u w:val="single"/>
        </w:rPr>
        <w:t>由估算模式的计算结果可知，项目废气排放的污染因子</w:t>
      </w:r>
      <w:r>
        <w:rPr>
          <w:rFonts w:hint="default" w:ascii="Times New Roman" w:hAnsi="Times New Roman" w:cs="Times New Roman"/>
          <w:color w:val="auto"/>
          <w:u w:val="single"/>
          <w:lang w:val="en-US" w:eastAsia="zh-CN"/>
        </w:rPr>
        <w:t>VOCs</w:t>
      </w:r>
      <w:r>
        <w:rPr>
          <w:rFonts w:hint="default" w:ascii="Times New Roman" w:hAnsi="Times New Roman" w:cs="Times New Roman"/>
          <w:color w:val="auto"/>
          <w:u w:val="single"/>
        </w:rPr>
        <w:t>最大落地浓度为 0.00</w:t>
      </w:r>
      <w:r>
        <w:rPr>
          <w:rFonts w:hint="default" w:ascii="Times New Roman" w:hAnsi="Times New Roman" w:cs="Times New Roman"/>
          <w:color w:val="auto"/>
          <w:u w:val="single"/>
          <w:lang w:val="en-US" w:eastAsia="zh-CN"/>
        </w:rPr>
        <w:t>003</w:t>
      </w:r>
      <w:r>
        <w:rPr>
          <w:rFonts w:hint="default" w:ascii="Times New Roman" w:hAnsi="Times New Roman" w:cs="Times New Roman"/>
          <w:color w:val="auto"/>
          <w:u w:val="single"/>
        </w:rPr>
        <w:t>mg/m3，Pmax=</w:t>
      </w:r>
      <w:r>
        <w:rPr>
          <w:rFonts w:hint="default" w:ascii="Times New Roman" w:hAnsi="Times New Roman" w:cs="Times New Roman"/>
          <w:color w:val="auto"/>
          <w:u w:val="single"/>
          <w:lang w:val="en-US" w:eastAsia="zh-CN"/>
        </w:rPr>
        <w:t>0.0025</w:t>
      </w:r>
      <w:r>
        <w:rPr>
          <w:rFonts w:hint="default" w:ascii="Times New Roman" w:hAnsi="Times New Roman" w:cs="Times New Roman"/>
          <w:color w:val="auto"/>
          <w:u w:val="single"/>
        </w:rPr>
        <w:t>%＜</w:t>
      </w:r>
      <w:r>
        <w:rPr>
          <w:rFonts w:hint="default" w:ascii="Times New Roman" w:hAnsi="Times New Roman" w:cs="Times New Roman"/>
          <w:color w:val="auto"/>
          <w:u w:val="single"/>
          <w:lang w:val="en-US" w:eastAsia="zh-CN"/>
        </w:rPr>
        <w:t>1</w:t>
      </w:r>
      <w:r>
        <w:rPr>
          <w:rFonts w:hint="default" w:ascii="Times New Roman" w:hAnsi="Times New Roman" w:cs="Times New Roman"/>
          <w:color w:val="auto"/>
          <w:u w:val="single"/>
        </w:rPr>
        <w:t>%，因此本项目，大气评价等级为</w:t>
      </w:r>
      <w:r>
        <w:rPr>
          <w:rFonts w:hint="default" w:ascii="Times New Roman" w:hAnsi="Times New Roman" w:cs="Times New Roman"/>
          <w:color w:val="auto"/>
          <w:u w:val="single"/>
          <w:lang w:val="en-US" w:eastAsia="zh-CN"/>
        </w:rPr>
        <w:t>三</w:t>
      </w:r>
      <w:r>
        <w:rPr>
          <w:rFonts w:hint="default" w:ascii="Times New Roman" w:hAnsi="Times New Roman" w:cs="Times New Roman"/>
          <w:color w:val="auto"/>
          <w:u w:val="single"/>
        </w:rPr>
        <w:t>级</w:t>
      </w:r>
      <w:r>
        <w:rPr>
          <w:rFonts w:hint="default" w:ascii="Times New Roman" w:hAnsi="Times New Roman" w:cs="Times New Roman"/>
          <w:color w:val="auto"/>
          <w:u w:val="single"/>
          <w:lang w:eastAsia="zh-CN"/>
        </w:rPr>
        <w:t>。</w:t>
      </w:r>
    </w:p>
    <w:p>
      <w:pPr>
        <w:pStyle w:val="39"/>
        <w:keepNext w:val="0"/>
        <w:keepLines w:val="0"/>
        <w:pageBreakBefore w:val="0"/>
        <w:widowControl w:val="0"/>
        <w:shd w:val="clear"/>
        <w:kinsoku/>
        <w:wordWrap/>
        <w:overflowPunct/>
        <w:topLinePunct w:val="0"/>
        <w:autoSpaceDE/>
        <w:autoSpaceDN/>
        <w:bidi w:val="0"/>
        <w:adjustRightInd w:val="0"/>
        <w:snapToGrid w:val="0"/>
        <w:ind w:leftChars="0"/>
        <w:textAlignment w:val="auto"/>
        <w:outlineLvl w:val="9"/>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single"/>
          <w:lang w:eastAsia="zh-CN"/>
        </w:rPr>
        <w:t>《环境影响评价技术导则</w:t>
      </w:r>
      <w:r>
        <w:rPr>
          <w:rFonts w:hint="default" w:ascii="Times New Roman" w:hAnsi="Times New Roman" w:cs="Times New Roman"/>
          <w:color w:val="auto"/>
          <w:highlight w:val="none"/>
          <w:u w:val="single"/>
          <w:lang w:val="en-US" w:eastAsia="zh-CN"/>
        </w:rPr>
        <w:t xml:space="preserve"> 大气环境》（HJ2.2-2018）5.3.3.2节规定：对电力、钢铁、水泥、石化、化工、平板玻璃、有色等高耗能行业的多源项目或以使用高污染燃料为主的多源项目，并编制环境影响报告书的项目评价等级提高一级。本项目属于化工行业，但是属于单源项目。项目生产过程中的废气仅含有少量的环己烷，大气污染物为VOCs，污染物量少且排放源单一，废气通过企业管网导入</w:t>
      </w:r>
      <w:r>
        <w:rPr>
          <w:rFonts w:hint="default" w:ascii="Times New Roman" w:hAnsi="Times New Roman" w:cs="Times New Roman"/>
          <w:color w:val="auto"/>
          <w:highlight w:val="none"/>
          <w:lang w:eastAsia="zh-CN"/>
        </w:rPr>
        <w:t>巴陵石化</w:t>
      </w:r>
      <w:r>
        <w:rPr>
          <w:rFonts w:hint="default" w:ascii="Times New Roman" w:hAnsi="Times New Roman" w:cs="Times New Roman"/>
          <w:color w:val="auto"/>
          <w:highlight w:val="none"/>
          <w:u w:val="single"/>
          <w:lang w:val="en-US" w:eastAsia="zh-CN"/>
        </w:rPr>
        <w:t>放空总管，进入</w:t>
      </w:r>
      <w:r>
        <w:rPr>
          <w:rFonts w:hint="default" w:ascii="Times New Roman" w:hAnsi="Times New Roman" w:cs="Times New Roman"/>
          <w:color w:val="auto"/>
          <w:highlight w:val="none"/>
          <w:lang w:eastAsia="zh-CN"/>
        </w:rPr>
        <w:t>巴陵石化公司</w:t>
      </w:r>
      <w:r>
        <w:rPr>
          <w:rFonts w:hint="default" w:ascii="Times New Roman" w:hAnsi="Times New Roman" w:cs="Times New Roman"/>
          <w:color w:val="auto"/>
          <w:highlight w:val="none"/>
        </w:rPr>
        <w:t>火炬台燃烧处理</w:t>
      </w:r>
      <w:r>
        <w:rPr>
          <w:rFonts w:hint="default" w:ascii="Times New Roman" w:hAnsi="Times New Roman" w:cs="Times New Roman"/>
          <w:color w:val="auto"/>
          <w:highlight w:val="none"/>
          <w:lang w:eastAsia="zh-CN"/>
        </w:rPr>
        <w:t>，火炬台燃烧效率为</w:t>
      </w:r>
      <w:r>
        <w:rPr>
          <w:rFonts w:hint="default" w:ascii="Times New Roman" w:hAnsi="Times New Roman" w:cs="Times New Roman"/>
          <w:color w:val="auto"/>
          <w:highlight w:val="none"/>
          <w:lang w:val="en-US" w:eastAsia="zh-CN"/>
        </w:rPr>
        <w:t>95%。因而本项目排入大气的污染物极少。此外，本项目不属于</w:t>
      </w:r>
      <w:r>
        <w:rPr>
          <w:rFonts w:hint="default" w:ascii="Times New Roman" w:hAnsi="Times New Roman" w:cs="Times New Roman"/>
          <w:color w:val="auto"/>
          <w:highlight w:val="none"/>
          <w:u w:val="none"/>
          <w:lang w:val="en-US" w:eastAsia="zh-CN"/>
        </w:rPr>
        <w:t>以使用高污染燃料为主的多源项目。根据导则要求，本项目大气评价等级仍然为三级。</w:t>
      </w:r>
    </w:p>
    <w:p>
      <w:pPr>
        <w:pStyle w:val="39"/>
        <w:keepNext w:val="0"/>
        <w:keepLines w:val="0"/>
        <w:pageBreakBefore w:val="0"/>
        <w:widowControl w:val="0"/>
        <w:kinsoku/>
        <w:wordWrap/>
        <w:overflowPunct/>
        <w:topLinePunct w:val="0"/>
        <w:autoSpaceDE/>
        <w:autoSpaceDN/>
        <w:bidi w:val="0"/>
        <w:adjustRightInd w:val="0"/>
        <w:snapToGrid w:val="0"/>
        <w:spacing w:line="360" w:lineRule="auto"/>
        <w:ind w:leftChars="0"/>
        <w:textAlignment w:val="auto"/>
        <w:outlineLvl w:val="9"/>
        <w:rPr>
          <w:rFonts w:hint="default" w:ascii="Times New Roman" w:hAnsi="Times New Roman" w:cs="Times New Roman"/>
          <w:color w:val="auto"/>
          <w:u w:val="single"/>
        </w:rPr>
      </w:pPr>
      <w:r>
        <w:rPr>
          <w:rFonts w:hint="default" w:ascii="Times New Roman" w:hAnsi="Times New Roman" w:cs="Times New Roman"/>
          <w:color w:val="auto"/>
          <w:u w:val="single"/>
          <w:lang w:eastAsia="zh-CN"/>
        </w:rPr>
        <w:t>根据环境影响评价技术导则</w:t>
      </w:r>
      <w:r>
        <w:rPr>
          <w:rFonts w:hint="default" w:ascii="Times New Roman" w:hAnsi="Times New Roman" w:cs="Times New Roman"/>
          <w:color w:val="auto"/>
          <w:u w:val="single"/>
          <w:lang w:val="en-US" w:eastAsia="zh-CN"/>
        </w:rPr>
        <w:t xml:space="preserve"> 大气环境（HJ2.2-2018）规定，三级评价项目不需设置大气环境影响评价范围，只调查项目所在区域环境质量达标情况，只调查本项目新增污染源和拟被替代的污染源，不进行进一步预测与评价。</w:t>
      </w:r>
    </w:p>
    <w:p>
      <w:pPr>
        <w:pStyle w:val="3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outlineLvl w:val="9"/>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）污染物排放量核算</w:t>
      </w:r>
    </w:p>
    <w:p>
      <w:pPr>
        <w:pStyle w:val="39"/>
        <w:keepNext w:val="0"/>
        <w:keepLines w:val="0"/>
        <w:pageBreakBefore w:val="0"/>
        <w:widowControl w:val="0"/>
        <w:kinsoku/>
        <w:wordWrap/>
        <w:overflowPunct/>
        <w:topLinePunct w:val="0"/>
        <w:autoSpaceDE/>
        <w:autoSpaceDN/>
        <w:bidi w:val="0"/>
        <w:adjustRightInd w:val="0"/>
        <w:snapToGrid w:val="0"/>
        <w:spacing w:line="360" w:lineRule="auto"/>
        <w:ind w:leftChars="0"/>
        <w:textAlignment w:val="auto"/>
        <w:rPr>
          <w:rFonts w:hint="default" w:ascii="Times New Roman" w:hAnsi="Times New Roman" w:cs="Times New Roman"/>
          <w:color w:val="auto"/>
          <w:lang w:eastAsia="zh-CN"/>
        </w:rPr>
      </w:pPr>
      <w:r>
        <w:rPr>
          <w:rFonts w:hint="default" w:ascii="Times New Roman" w:hAnsi="Times New Roman" w:cs="Times New Roman"/>
          <w:color w:val="auto"/>
        </w:rPr>
        <w:t>根据工程分析，本项目营运期产生的有组织废气依托放空总管通向</w:t>
      </w:r>
      <w:r>
        <w:rPr>
          <w:rFonts w:hint="default" w:ascii="Times New Roman" w:hAnsi="Times New Roman" w:cs="Times New Roman"/>
          <w:color w:val="auto"/>
          <w:lang w:eastAsia="zh-CN"/>
        </w:rPr>
        <w:t>巴陵石化公司</w:t>
      </w:r>
      <w:r>
        <w:rPr>
          <w:rFonts w:hint="default" w:ascii="Times New Roman" w:hAnsi="Times New Roman" w:cs="Times New Roman"/>
          <w:color w:val="auto"/>
        </w:rPr>
        <w:t>火炬台一同燃烧处理，厂内无排气筒</w:t>
      </w:r>
      <w:r>
        <w:rPr>
          <w:rFonts w:hint="default" w:ascii="Times New Roman" w:hAnsi="Times New Roman" w:cs="Times New Roman"/>
          <w:color w:val="auto"/>
          <w:lang w:eastAsia="zh-CN"/>
        </w:rPr>
        <w:t>。</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在项目加氢催化剂异辛酸镍生产过程中，生产装置全部为密闭反应容器，其中包括密闭反应釜和原料储罐等，各个生产装置之间以密封管道连接，生产废气直接通入巴陵石化放空总管。但仍存在由于生产装置阀门、管线、塔体的跑、冒、滴、漏或安全阀超压释放逸散到大气中的无组织废气，根据建设单位</w:t>
      </w:r>
      <w:r>
        <w:rPr>
          <w:rFonts w:hint="default" w:ascii="Times New Roman" w:hAnsi="Times New Roman" w:cs="Times New Roman"/>
          <w:color w:val="auto"/>
          <w:lang w:eastAsia="zh-CN"/>
        </w:rPr>
        <w:t>试生产测算的数据</w:t>
      </w:r>
      <w:r>
        <w:rPr>
          <w:rFonts w:hint="default" w:ascii="Times New Roman" w:hAnsi="Times New Roman" w:cs="Times New Roman"/>
          <w:color w:val="auto"/>
        </w:rPr>
        <w:t>可知，催化剂正常生产过程中管道逸散的无组织废气控制在废气产生的1%以内，挥发性有机物无组织排放量一共约为0.036t/a。</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）大气环境防护距离</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rPr>
        <w:t>根据《环境影响评价技术导则 大气环境》（HJ2.2-2018）规定，对于项目厂界浓度满足大气污染物厂界浓度限值，厂界外大气污染物短期贡献浓度超过环境质量浓度限值的，可以自厂界向外设置一定区域的大气环境防护区域，以确保大气环境防护区域外的污染物贡献浓度满足环境质量标准。</w:t>
      </w:r>
      <w:r>
        <w:rPr>
          <w:rFonts w:hint="default" w:ascii="Times New Roman" w:hAnsi="Times New Roman" w:cs="Times New Roman"/>
          <w:color w:val="auto"/>
          <w:lang w:val="en-US" w:eastAsia="zh-CN"/>
        </w:rPr>
        <w:t xml:space="preserve"> </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u w:val="single"/>
        </w:rPr>
      </w:pPr>
      <w:r>
        <w:rPr>
          <w:rFonts w:hint="default" w:ascii="Times New Roman" w:hAnsi="Times New Roman" w:cs="Times New Roman"/>
          <w:color w:val="auto"/>
          <w:u w:val="single"/>
        </w:rPr>
        <w:t>本项目营运期产生的有组织废气依托放空总管通向</w:t>
      </w:r>
      <w:r>
        <w:rPr>
          <w:rFonts w:hint="default" w:ascii="Times New Roman" w:hAnsi="Times New Roman" w:cs="Times New Roman"/>
          <w:color w:val="auto"/>
          <w:u w:val="single"/>
          <w:lang w:eastAsia="zh-CN"/>
        </w:rPr>
        <w:t>巴陵石化公司</w:t>
      </w:r>
      <w:r>
        <w:rPr>
          <w:rFonts w:hint="default" w:ascii="Times New Roman" w:hAnsi="Times New Roman" w:cs="Times New Roman"/>
          <w:color w:val="auto"/>
          <w:u w:val="single"/>
        </w:rPr>
        <w:t>火炬台一同燃烧处理，</w:t>
      </w:r>
      <w:r>
        <w:rPr>
          <w:rFonts w:hint="default" w:ascii="Times New Roman" w:hAnsi="Times New Roman" w:cs="Times New Roman"/>
          <w:color w:val="auto"/>
          <w:u w:val="single"/>
          <w:lang w:eastAsia="zh-CN"/>
        </w:rPr>
        <w:t>厂内不设置有组织排放废气。</w:t>
      </w:r>
      <w:r>
        <w:rPr>
          <w:rFonts w:hint="default" w:ascii="Times New Roman" w:hAnsi="Times New Roman" w:cs="Times New Roman"/>
          <w:color w:val="auto"/>
          <w:highlight w:val="none"/>
          <w:u w:val="single"/>
        </w:rPr>
        <w:t>催化剂正常生产过程中管道逸散的无组织废气控制在废气产生的1%以内，挥发性有机物无组织排放量</w:t>
      </w:r>
      <w:r>
        <w:rPr>
          <w:rFonts w:hint="default" w:ascii="Times New Roman" w:hAnsi="Times New Roman" w:cs="Times New Roman"/>
          <w:color w:val="auto"/>
          <w:highlight w:val="none"/>
          <w:u w:val="single"/>
          <w:lang w:eastAsia="zh-CN"/>
        </w:rPr>
        <w:t>总共</w:t>
      </w:r>
      <w:r>
        <w:rPr>
          <w:rFonts w:hint="default" w:ascii="Times New Roman" w:hAnsi="Times New Roman" w:cs="Times New Roman"/>
          <w:color w:val="auto"/>
          <w:highlight w:val="none"/>
          <w:u w:val="single"/>
        </w:rPr>
        <w:t>为36</w:t>
      </w:r>
      <w:r>
        <w:rPr>
          <w:rFonts w:hint="default" w:ascii="Times New Roman" w:hAnsi="Times New Roman" w:cs="Times New Roman"/>
          <w:color w:val="auto"/>
          <w:highlight w:val="none"/>
          <w:u w:val="single"/>
          <w:lang w:val="en-US" w:eastAsia="zh-CN"/>
        </w:rPr>
        <w:t>kg</w:t>
      </w:r>
      <w:r>
        <w:rPr>
          <w:rFonts w:hint="default" w:ascii="Times New Roman" w:hAnsi="Times New Roman" w:cs="Times New Roman"/>
          <w:color w:val="auto"/>
          <w:highlight w:val="none"/>
          <w:u w:val="single"/>
        </w:rPr>
        <w:t>/a</w:t>
      </w:r>
      <w:r>
        <w:rPr>
          <w:rFonts w:hint="default" w:ascii="Times New Roman" w:hAnsi="Times New Roman" w:cs="Times New Roman"/>
          <w:color w:val="auto"/>
          <w:highlight w:val="none"/>
          <w:u w:val="single"/>
          <w:lang w:eastAsia="zh-CN"/>
        </w:rPr>
        <w:t>，数量甚微。</w:t>
      </w:r>
      <w:r>
        <w:rPr>
          <w:rFonts w:hint="default" w:ascii="Times New Roman" w:hAnsi="Times New Roman" w:cs="Times New Roman"/>
          <w:color w:val="auto"/>
          <w:u w:val="single"/>
          <w:lang w:eastAsia="zh-CN"/>
        </w:rPr>
        <w:t>可不</w:t>
      </w:r>
      <w:r>
        <w:rPr>
          <w:rFonts w:hint="default" w:ascii="Times New Roman" w:hAnsi="Times New Roman" w:cs="Times New Roman"/>
          <w:color w:val="auto"/>
          <w:u w:val="single"/>
        </w:rPr>
        <w:t>设置大气环境防护距离。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（6）大气环境影响评价结论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outlineLvl w:val="9"/>
        <w:rPr>
          <w:rFonts w:hint="default" w:ascii="Times New Roman" w:hAnsi="Times New Roman" w:cs="Times New Roman"/>
          <w:color w:val="auto"/>
          <w:kern w:val="0"/>
          <w:sz w:val="24"/>
          <w:szCs w:val="24"/>
          <w:u w:val="none"/>
          <w:lang w:val="en-US" w:eastAsia="zh-CN"/>
        </w:rPr>
      </w:pPr>
      <w:r>
        <w:rPr>
          <w:rFonts w:hint="default" w:ascii="Times New Roman" w:hAnsi="Times New Roman" w:cs="Times New Roman"/>
          <w:color w:val="auto"/>
          <w:kern w:val="0"/>
          <w:sz w:val="24"/>
          <w:szCs w:val="24"/>
          <w:u w:val="none"/>
          <w:lang w:val="en-US" w:eastAsia="zh-CN"/>
        </w:rPr>
        <w:t>项目大气环境影响评价等级为三级，根据工程分析及上述估算结果可知，项目周边主要为生产企业，加上所在地大气环境质量较好，因此项目产生的废气在采取措施后能实现稳定达标外排，对区域污染贡献很低，因此项目所在区域将不会对区域大气环境质量造成明显影响。</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487" w:name="_Toc4462"/>
      <w:r>
        <w:rPr>
          <w:rFonts w:hint="default" w:ascii="Times New Roman" w:hAnsi="Times New Roman" w:cs="Times New Roman"/>
          <w:color w:val="auto"/>
        </w:rPr>
        <w:t>地表水环境影响分析</w:t>
      </w:r>
      <w:bookmarkEnd w:id="487"/>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outlineLvl w:val="9"/>
        <w:rPr>
          <w:rFonts w:hint="default" w:ascii="Times New Roman" w:hAnsi="Times New Roman" w:cs="Times New Roman"/>
          <w:color w:val="auto"/>
          <w:kern w:val="0"/>
          <w:sz w:val="24"/>
          <w:szCs w:val="24"/>
          <w:u w:val="none"/>
          <w:lang w:val="en-US" w:eastAsia="zh-CN"/>
        </w:rPr>
      </w:pPr>
      <w:r>
        <w:rPr>
          <w:rFonts w:hint="default" w:ascii="Times New Roman" w:hAnsi="Times New Roman" w:cs="Times New Roman" w:eastAsiaTheme="minorEastAsia"/>
          <w:b w:val="0"/>
          <w:bCs w:val="0"/>
          <w:color w:val="auto"/>
          <w:kern w:val="0"/>
          <w:sz w:val="24"/>
          <w:szCs w:val="24"/>
          <w:u w:val="none"/>
          <w:lang w:val="en-US" w:eastAsia="zh-CN" w:bidi="ar-SA"/>
        </w:rPr>
        <w:t>根</w:t>
      </w:r>
      <w:r>
        <w:rPr>
          <w:rFonts w:hint="default" w:ascii="Times New Roman" w:hAnsi="Times New Roman" w:cs="Times New Roman"/>
          <w:color w:val="auto"/>
          <w:kern w:val="0"/>
          <w:sz w:val="24"/>
          <w:szCs w:val="24"/>
          <w:u w:val="none"/>
          <w:lang w:val="en-US" w:eastAsia="zh-CN"/>
        </w:rPr>
        <w:t>据《环境影响评价技术导则-地表水环境》（HJ2.3-2018），水污染影响型建设项目根据排放方式和废水排放量划分评价等级。</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outlineLvl w:val="9"/>
        <w:rPr>
          <w:rFonts w:hint="default" w:ascii="Times New Roman" w:hAnsi="Times New Roman" w:cs="Times New Roman"/>
          <w:b w:val="0"/>
          <w:bCs w:val="0"/>
          <w:color w:val="auto"/>
          <w:sz w:val="24"/>
          <w:szCs w:val="22"/>
          <w:u w:val="none" w:color="auto"/>
          <w:lang w:val="en-US" w:eastAsia="zh-CN"/>
        </w:rPr>
      </w:pPr>
      <w:r>
        <w:rPr>
          <w:rFonts w:hint="default" w:ascii="Times New Roman" w:hAnsi="Times New Roman" w:cs="Times New Roman"/>
          <w:color w:val="auto"/>
          <w:kern w:val="0"/>
          <w:sz w:val="24"/>
          <w:szCs w:val="24"/>
          <w:u w:val="none"/>
          <w:lang w:val="en-US" w:eastAsia="zh-CN"/>
        </w:rPr>
        <w:t>由工程分析可知，项目废水经预处理达到《污水综合排放标准（GB8978-1996）》中三级标准后由工</w:t>
      </w:r>
      <w:r>
        <w:rPr>
          <w:rFonts w:hint="default" w:ascii="Times New Roman" w:hAnsi="Times New Roman" w:cs="Times New Roman"/>
          <w:b w:val="0"/>
          <w:bCs w:val="0"/>
          <w:color w:val="auto"/>
          <w:sz w:val="24"/>
          <w:szCs w:val="22"/>
          <w:u w:val="none" w:color="auto"/>
          <w:lang w:val="en-US" w:eastAsia="zh-CN"/>
        </w:rPr>
        <w:t>业园污水管网接入巴陵石化污水处理厂</w:t>
      </w:r>
      <w:r>
        <w:rPr>
          <w:rFonts w:hint="eastAsia" w:ascii="Times New Roman" w:hAnsi="Times New Roman" w:cs="Times New Roman"/>
          <w:b w:val="0"/>
          <w:bCs w:val="0"/>
          <w:color w:val="auto"/>
          <w:sz w:val="24"/>
          <w:szCs w:val="22"/>
          <w:u w:val="none" w:color="auto"/>
          <w:lang w:val="en-US" w:eastAsia="zh-CN"/>
        </w:rPr>
        <w:t>处理</w:t>
      </w:r>
      <w:r>
        <w:rPr>
          <w:rFonts w:hint="default" w:ascii="Times New Roman" w:hAnsi="Times New Roman" w:cs="Times New Roman"/>
          <w:b w:val="0"/>
          <w:bCs w:val="0"/>
          <w:color w:val="auto"/>
          <w:sz w:val="24"/>
          <w:szCs w:val="22"/>
          <w:u w:val="none" w:color="auto"/>
          <w:lang w:val="en-US" w:eastAsia="zh-CN"/>
        </w:rPr>
        <w:t>达《城镇污水处理厂污染物排放标准（GB18918—2002）》一级A类标准，排入</w:t>
      </w:r>
      <w:r>
        <w:rPr>
          <w:rFonts w:hint="eastAsia" w:ascii="Times New Roman" w:hAnsi="Times New Roman" w:cs="Times New Roman"/>
          <w:b w:val="0"/>
          <w:bCs w:val="0"/>
          <w:color w:val="auto"/>
          <w:sz w:val="24"/>
          <w:szCs w:val="22"/>
          <w:u w:val="none" w:color="auto"/>
          <w:lang w:val="en-US" w:eastAsia="zh-CN"/>
        </w:rPr>
        <w:t>长江</w:t>
      </w:r>
      <w:r>
        <w:rPr>
          <w:rFonts w:hint="default" w:ascii="Times New Roman" w:hAnsi="Times New Roman" w:cs="Times New Roman"/>
          <w:b w:val="0"/>
          <w:bCs w:val="0"/>
          <w:color w:val="auto"/>
          <w:sz w:val="24"/>
          <w:szCs w:val="22"/>
          <w:u w:val="none" w:color="auto"/>
          <w:lang w:val="en-US" w:eastAsia="zh-CN"/>
        </w:rPr>
        <w:t>。生活污水排放方式为间接排放，因此本项目地表水评价等级为三级B。评价内容主要包括：（1）水污染控制和水环境影响措施有效性评价；（2）依托污水处理设施的环境可行性评价。</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）地表水环境影响</w:t>
      </w:r>
      <w:r>
        <w:rPr>
          <w:rFonts w:hint="default" w:ascii="Times New Roman" w:hAnsi="Times New Roman" w:cs="Times New Roman"/>
          <w:color w:val="auto"/>
          <w:lang w:val="en-US" w:eastAsia="zh-CN"/>
        </w:rPr>
        <w:t>评价等级确定</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本项目废</w:t>
      </w:r>
      <w:r>
        <w:rPr>
          <w:rFonts w:hint="default" w:ascii="Times New Roman" w:hAnsi="Times New Roman" w:cs="Times New Roman"/>
          <w:color w:val="auto"/>
          <w:highlight w:val="none"/>
        </w:rPr>
        <w:t>水经预处理后排入园区污水管进入巴陵石化污水处理厂，废水不直接排入外环境，属于间接排放</w:t>
      </w:r>
      <w:r>
        <w:rPr>
          <w:rFonts w:hint="default" w:ascii="Times New Roman" w:hAnsi="Times New Roman" w:eastAsia="宋体" w:cs="Times New Roman"/>
          <w:color w:val="auto"/>
          <w:highlight w:val="none"/>
        </w:rPr>
        <w:t>，根据《环境影响评价技术导则 地表水环境》(HJ2.3-2018)</w:t>
      </w:r>
      <w:r>
        <w:rPr>
          <w:rFonts w:hint="default" w:ascii="Times New Roman" w:hAnsi="Times New Roman" w:cs="Times New Roman"/>
          <w:color w:val="auto"/>
          <w:highlight w:val="none"/>
        </w:rPr>
        <w:t>第</w:t>
      </w:r>
      <w:r>
        <w:rPr>
          <w:rFonts w:hint="default" w:ascii="Times New Roman" w:hAnsi="Times New Roman" w:eastAsia="宋体" w:cs="Times New Roman"/>
          <w:color w:val="auto"/>
          <w:highlight w:val="none"/>
        </w:rPr>
        <w:t>5.2.2.2条，间接排放建设项目评价等级为三级B。</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highlight w:val="none"/>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）地表水环境影响</w:t>
      </w:r>
      <w:r>
        <w:rPr>
          <w:rFonts w:hint="default" w:ascii="Times New Roman" w:hAnsi="Times New Roman" w:cs="Times New Roman"/>
          <w:color w:val="auto"/>
          <w:lang w:val="en-US" w:eastAsia="zh-CN"/>
        </w:rPr>
        <w:t>评价范围</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评价范围：本项目不设地表水评价范围，主要评价项目依托巴陵石化污水处理厂的环境可行性。</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highlight w:val="none"/>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水污染控制和水环境影响减缓措施有效性分析</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highlight w:val="none"/>
        </w:rPr>
        <w:t>本项目废水污染源主要为工艺废水、设备清洗废水、地面清洗废水、生活污水及初期雨水。项</w:t>
      </w:r>
      <w:r>
        <w:rPr>
          <w:rFonts w:hint="default" w:ascii="Times New Roman" w:hAnsi="Times New Roman" w:cs="Times New Roman"/>
          <w:color w:val="auto"/>
        </w:rPr>
        <w:t>目区内排水实行雨污分流、清污分流制，清净下水和</w:t>
      </w:r>
      <w:r>
        <w:rPr>
          <w:color w:val="auto"/>
        </w:rPr>
        <w:t>后期的清洁</w:t>
      </w:r>
      <w:r>
        <w:rPr>
          <w:rFonts w:hint="default" w:ascii="Times New Roman" w:hAnsi="Times New Roman" w:cs="Times New Roman"/>
          <w:color w:val="auto"/>
        </w:rPr>
        <w:t>雨水排入</w:t>
      </w:r>
      <w:r>
        <w:rPr>
          <w:rFonts w:hint="default" w:ascii="Times New Roman" w:hAnsi="Times New Roman" w:cs="Times New Roman"/>
          <w:color w:val="auto"/>
          <w:lang w:eastAsia="zh-CN"/>
        </w:rPr>
        <w:t>巴陵石化公司</w:t>
      </w:r>
      <w:r>
        <w:rPr>
          <w:rFonts w:hint="default" w:ascii="Times New Roman" w:hAnsi="Times New Roman" w:cs="Times New Roman"/>
          <w:color w:val="auto"/>
        </w:rPr>
        <w:t>雨水管网系统（即明沟）最终排入</w:t>
      </w:r>
      <w:r>
        <w:rPr>
          <w:rFonts w:hint="eastAsia" w:cs="Times New Roman"/>
          <w:color w:val="auto"/>
          <w:lang w:eastAsia="zh-CN"/>
        </w:rPr>
        <w:t>长江</w:t>
      </w:r>
      <w:r>
        <w:rPr>
          <w:rFonts w:hint="default" w:ascii="Times New Roman" w:hAnsi="Times New Roman" w:cs="Times New Roman"/>
          <w:color w:val="auto"/>
        </w:rPr>
        <w:t>。</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lang w:eastAsia="zh-CN"/>
        </w:rPr>
        <w:t>项目</w:t>
      </w:r>
      <w:r>
        <w:rPr>
          <w:rFonts w:hint="default" w:ascii="Times New Roman" w:hAnsi="Times New Roman" w:cs="Times New Roman"/>
          <w:color w:val="auto"/>
        </w:rPr>
        <w:t>生产污水主要来</w:t>
      </w:r>
      <w:r>
        <w:rPr>
          <w:rFonts w:hint="default" w:ascii="Times New Roman" w:hAnsi="Times New Roman" w:cs="Times New Roman"/>
          <w:color w:val="auto"/>
          <w:lang w:val="en-US" w:eastAsia="zh-CN"/>
        </w:rPr>
        <w:t>是</w:t>
      </w:r>
      <w:r>
        <w:rPr>
          <w:rFonts w:hint="default" w:ascii="Times New Roman" w:hAnsi="Times New Roman" w:cs="Times New Roman"/>
          <w:color w:val="auto"/>
        </w:rPr>
        <w:t>工艺废水、设备清洗废水、地面清洗废水</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经车间预处理后由</w:t>
      </w:r>
      <w:r>
        <w:rPr>
          <w:rFonts w:hint="default" w:ascii="Times New Roman" w:hAnsi="Times New Roman" w:cs="Times New Roman"/>
          <w:color w:val="auto"/>
        </w:rPr>
        <w:t>厂区生产污水管网收集后排入巴陵石化供排水事业部污水处理厂集中统一处理达标后排至长江。办公楼及车间内生活污水经化粪池处理后排入厂区已有污水管网送巴陵石化供排水事业部污水处理厂集中统一处理达标后排至长江。</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highlight w:val="none"/>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依托污水处理设施的环境可行性分析</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巴陵石化公司污水处理厂当前</w:t>
      </w:r>
      <w:r>
        <w:rPr>
          <w:rFonts w:hint="default" w:ascii="Times New Roman" w:hAnsi="Times New Roman" w:cs="Times New Roman"/>
          <w:color w:val="auto"/>
        </w:rPr>
        <w:t>废水排放量为880m</w:t>
      </w:r>
      <w:r>
        <w:rPr>
          <w:rFonts w:hint="default" w:ascii="Times New Roman" w:hAnsi="Times New Roman" w:cs="Times New Roman"/>
          <w:color w:val="auto"/>
          <w:vertAlign w:val="superscript"/>
        </w:rPr>
        <w:t>3</w:t>
      </w:r>
      <w:r>
        <w:rPr>
          <w:rFonts w:hint="default" w:ascii="Times New Roman" w:hAnsi="Times New Roman" w:cs="Times New Roman"/>
          <w:color w:val="auto"/>
        </w:rPr>
        <w:t>/h（其中生化处理系统520m</w:t>
      </w:r>
      <w:r>
        <w:rPr>
          <w:rFonts w:hint="default" w:ascii="Times New Roman" w:hAnsi="Times New Roman" w:cs="Times New Roman"/>
          <w:color w:val="auto"/>
          <w:vertAlign w:val="superscript"/>
        </w:rPr>
        <w:t>3</w:t>
      </w:r>
      <w:r>
        <w:rPr>
          <w:rFonts w:hint="default" w:ascii="Times New Roman" w:hAnsi="Times New Roman" w:cs="Times New Roman"/>
          <w:color w:val="auto"/>
        </w:rPr>
        <w:t>/h），</w:t>
      </w:r>
      <w:r>
        <w:rPr>
          <w:rFonts w:hint="default" w:ascii="Times New Roman" w:hAnsi="Times New Roman" w:cs="Times New Roman"/>
          <w:color w:val="auto"/>
          <w:lang w:eastAsia="zh-CN"/>
        </w:rPr>
        <w:t>巴陵石化公司</w:t>
      </w:r>
      <w:r>
        <w:rPr>
          <w:rFonts w:hint="default" w:ascii="Times New Roman" w:hAnsi="Times New Roman" w:cs="Times New Roman"/>
          <w:color w:val="auto"/>
        </w:rPr>
        <w:t>设计排放量为1200m</w:t>
      </w:r>
      <w:r>
        <w:rPr>
          <w:rFonts w:hint="default" w:ascii="Times New Roman" w:hAnsi="Times New Roman" w:cs="Times New Roman"/>
          <w:color w:val="auto"/>
          <w:vertAlign w:val="superscript"/>
        </w:rPr>
        <w:t>3</w:t>
      </w:r>
      <w:r>
        <w:rPr>
          <w:rFonts w:hint="default" w:ascii="Times New Roman" w:hAnsi="Times New Roman" w:cs="Times New Roman"/>
          <w:color w:val="auto"/>
        </w:rPr>
        <w:t>/h（其中生化处理系统700m</w:t>
      </w:r>
      <w:r>
        <w:rPr>
          <w:rFonts w:hint="default" w:ascii="Times New Roman" w:hAnsi="Times New Roman" w:cs="Times New Roman"/>
          <w:color w:val="auto"/>
          <w:vertAlign w:val="superscript"/>
        </w:rPr>
        <w:t>3</w:t>
      </w:r>
      <w:r>
        <w:rPr>
          <w:rFonts w:hint="default" w:ascii="Times New Roman" w:hAnsi="Times New Roman" w:cs="Times New Roman"/>
          <w:color w:val="auto"/>
        </w:rPr>
        <w:t>/h），现污水处理厂还有340m</w:t>
      </w:r>
      <w:r>
        <w:rPr>
          <w:rFonts w:hint="default" w:ascii="Times New Roman" w:hAnsi="Times New Roman" w:cs="Times New Roman"/>
          <w:color w:val="auto"/>
          <w:vertAlign w:val="superscript"/>
        </w:rPr>
        <w:t>3</w:t>
      </w:r>
      <w:r>
        <w:rPr>
          <w:rFonts w:hint="default" w:ascii="Times New Roman" w:hAnsi="Times New Roman" w:cs="Times New Roman"/>
          <w:color w:val="auto"/>
        </w:rPr>
        <w:t>/h的余量（其中生化处理系统180m</w:t>
      </w:r>
      <w:r>
        <w:rPr>
          <w:rFonts w:hint="default" w:ascii="Times New Roman" w:hAnsi="Times New Roman" w:cs="Times New Roman"/>
          <w:color w:val="auto"/>
          <w:vertAlign w:val="superscript"/>
        </w:rPr>
        <w:t>3</w:t>
      </w:r>
      <w:r>
        <w:rPr>
          <w:rFonts w:hint="default" w:ascii="Times New Roman" w:hAnsi="Times New Roman" w:cs="Times New Roman"/>
          <w:color w:val="auto"/>
        </w:rPr>
        <w:t>/h）</w:t>
      </w:r>
      <w:r>
        <w:rPr>
          <w:rFonts w:hint="default" w:ascii="Times New Roman" w:hAnsi="Times New Roman" w:cs="Times New Roman"/>
          <w:color w:val="auto"/>
          <w:lang w:eastAsia="zh-CN"/>
        </w:rPr>
        <w:t>。</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本项目废水排放量折合成连</w:t>
      </w:r>
      <w:r>
        <w:rPr>
          <w:rFonts w:hint="default" w:ascii="Times New Roman" w:hAnsi="Times New Roman" w:cs="Times New Roman"/>
          <w:color w:val="auto"/>
          <w:highlight w:val="none"/>
        </w:rPr>
        <w:t>续排放为0.</w:t>
      </w:r>
      <w:r>
        <w:rPr>
          <w:rFonts w:hint="default" w:ascii="Times New Roman" w:hAnsi="Times New Roman" w:cs="Times New Roman"/>
          <w:color w:val="auto"/>
          <w:highlight w:val="none"/>
          <w:lang w:val="en-US" w:eastAsia="zh-CN"/>
        </w:rPr>
        <w:t>119</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/h，主要污染物为COD、SS、</w:t>
      </w:r>
      <w:r>
        <w:rPr>
          <w:rFonts w:hint="default" w:ascii="Times New Roman" w:hAnsi="Times New Roman" w:cs="Times New Roman"/>
          <w:color w:val="auto"/>
        </w:rPr>
        <w:t>石油类</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镍</w:t>
      </w:r>
      <w:r>
        <w:rPr>
          <w:rFonts w:hint="default" w:ascii="Times New Roman" w:hAnsi="Times New Roman" w:cs="Times New Roman"/>
          <w:color w:val="auto"/>
        </w:rPr>
        <w:t>，各类废水经场地内污水收集池收集后通过工业园污水管网排入</w:t>
      </w:r>
      <w:r>
        <w:rPr>
          <w:rFonts w:hint="default" w:ascii="Times New Roman" w:hAnsi="Times New Roman" w:cs="Times New Roman"/>
          <w:color w:val="auto"/>
          <w:lang w:val="en-US" w:eastAsia="zh-CN"/>
        </w:rPr>
        <w:t>巴陵石化公司</w:t>
      </w:r>
      <w:r>
        <w:rPr>
          <w:rFonts w:hint="default" w:ascii="Times New Roman" w:hAnsi="Times New Roman" w:cs="Times New Roman"/>
          <w:color w:val="auto"/>
        </w:rPr>
        <w:t>污水处理厂进行处理</w:t>
      </w:r>
      <w:r>
        <w:rPr>
          <w:rFonts w:hint="default" w:ascii="Times New Roman" w:hAnsi="Times New Roman" w:cs="Times New Roman"/>
          <w:color w:val="auto"/>
          <w:lang w:eastAsia="zh-CN"/>
        </w:rPr>
        <w:t>。</w:t>
      </w:r>
      <w:r>
        <w:rPr>
          <w:rFonts w:hint="default" w:ascii="Times New Roman" w:hAnsi="Times New Roman" w:cs="Times New Roman"/>
          <w:color w:val="auto"/>
        </w:rPr>
        <w:t>本项目废水中</w:t>
      </w:r>
      <w:r>
        <w:rPr>
          <w:rFonts w:hint="default" w:ascii="Times New Roman" w:hAnsi="Times New Roman" w:cs="Times New Roman"/>
          <w:color w:val="auto"/>
          <w:lang w:val="en-US" w:eastAsia="zh-CN"/>
        </w:rPr>
        <w:t>各类污染物</w:t>
      </w:r>
      <w:r>
        <w:rPr>
          <w:rFonts w:hint="default" w:ascii="Times New Roman" w:hAnsi="Times New Roman" w:cs="Times New Roman"/>
          <w:color w:val="auto"/>
        </w:rPr>
        <w:t>浓度均小于污水处理厂的设计进水标准，不会对其污水处理系统造成冲击。在目前长江道仁矶江段水质变化不大的情况下，项目废水排放对地表水的影响可维持在现有水平。</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因此，只要</w:t>
      </w:r>
      <w:r>
        <w:rPr>
          <w:rFonts w:hint="default" w:ascii="Times New Roman" w:hAnsi="Times New Roman" w:cs="Times New Roman"/>
          <w:color w:val="auto"/>
          <w:lang w:eastAsia="zh-CN"/>
        </w:rPr>
        <w:t>巴陵石化公司</w:t>
      </w:r>
      <w:r>
        <w:rPr>
          <w:rFonts w:hint="default" w:ascii="Times New Roman" w:hAnsi="Times New Roman" w:cs="Times New Roman"/>
          <w:color w:val="auto"/>
        </w:rPr>
        <w:t>污水处理厂正常运行，项目废水的排放不会对受纳水体长江道仁矶江段造成不利影响。</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）地表水环境影响</w:t>
      </w:r>
      <w:r>
        <w:rPr>
          <w:rFonts w:hint="default" w:ascii="Times New Roman" w:hAnsi="Times New Roman" w:cs="Times New Roman"/>
          <w:color w:val="auto"/>
          <w:lang w:val="en-US" w:eastAsia="zh-CN"/>
        </w:rPr>
        <w:t>评价结论</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本项目废水排放量折合成连续排放为0.119 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/h，主要污染物为COD、SS、石油类。</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根据前文分析，项目水污染控制和水环境影响减缓措施有效，且项目废水进入巴陵石化公司污水处理厂处理可行，因此项目地表水环境影响可接受。</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rPr>
      </w:pPr>
      <w:bookmarkStart w:id="488" w:name="_Toc14539"/>
      <w:bookmarkStart w:id="489" w:name="_Toc19508"/>
      <w:bookmarkStart w:id="490" w:name="_Toc3795"/>
      <w:bookmarkStart w:id="491" w:name="_Toc4155"/>
      <w:bookmarkStart w:id="492" w:name="_Toc12923"/>
      <w:bookmarkStart w:id="493" w:name="_Toc7169"/>
      <w:bookmarkStart w:id="494" w:name="_Toc23449"/>
      <w:bookmarkStart w:id="495" w:name="_Toc12540"/>
      <w:bookmarkStart w:id="496" w:name="_Toc10389"/>
      <w:r>
        <w:rPr>
          <w:rFonts w:hint="default" w:ascii="Times New Roman" w:hAnsi="Times New Roman" w:cs="Times New Roman"/>
          <w:color w:val="auto"/>
        </w:rPr>
        <w:t>地下水环境影响评价</w:t>
      </w:r>
      <w:bookmarkEnd w:id="488"/>
      <w:bookmarkEnd w:id="489"/>
      <w:bookmarkEnd w:id="490"/>
      <w:bookmarkEnd w:id="491"/>
      <w:bookmarkEnd w:id="492"/>
      <w:bookmarkEnd w:id="493"/>
      <w:bookmarkEnd w:id="494"/>
      <w:bookmarkEnd w:id="495"/>
      <w:bookmarkEnd w:id="496"/>
    </w:p>
    <w:p>
      <w:pPr>
        <w:pStyle w:val="7"/>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rPr>
      </w:pPr>
      <w:r>
        <w:rPr>
          <w:rFonts w:hint="default" w:ascii="Times New Roman" w:hAnsi="Times New Roman" w:cs="Times New Roman"/>
          <w:color w:val="auto"/>
        </w:rPr>
        <w:t>环境水质地质</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（1）区域地质构造、地貌特征及地层构成</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项目所在区域属于幕阜山余脉向汉江平原过渡地带，境内群峰起伏，矮丘遍布，河港纵横，湖泊众多，整个地势由东南至西北呈阶梯状向长江倾斜。地表组成物质65%为变质岩，其余为砂质岩，土壤组成以第四纪红色粘土和第四纪全新河、湖沉积物为主。</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根据</w:t>
      </w:r>
      <w:r>
        <w:rPr>
          <w:rFonts w:hint="default" w:ascii="Times New Roman" w:hAnsi="Times New Roman" w:cs="Times New Roman"/>
          <w:color w:val="auto"/>
          <w:lang w:eastAsia="zh-CN"/>
        </w:rPr>
        <w:t>巴陵石化公司</w:t>
      </w:r>
      <w:r>
        <w:rPr>
          <w:rFonts w:hint="default" w:ascii="Times New Roman" w:hAnsi="Times New Roman" w:cs="Times New Roman"/>
          <w:color w:val="auto"/>
        </w:rPr>
        <w:t>多年建厂及扩建改造的实际勘察，查明在钻探所见深度范围内，场地地层自上而下分布为：①填土，②-1粉质粘土（软可塑），②-2粉质粘土（硬可塑），③-1强风化板岩，④-2中风化板岩。现分述如下：</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①填土（Q4m1）：灰黄色、褐色等，松散；稍湿；中风化板岩碎块为主要成分，碎块粒径自2</w:t>
      </w:r>
      <w:r>
        <w:rPr>
          <w:rFonts w:hint="default" w:ascii="Times New Roman" w:hAnsi="Times New Roman" w:cs="Times New Roman"/>
          <w:color w:val="auto"/>
          <w:lang w:eastAsia="zh-CN"/>
        </w:rPr>
        <w:t>~</w:t>
      </w:r>
      <w:r>
        <w:rPr>
          <w:rFonts w:hint="default" w:ascii="Times New Roman" w:hAnsi="Times New Roman" w:cs="Times New Roman"/>
          <w:color w:val="auto"/>
        </w:rPr>
        <w:t>30cm不等，粘性土填充，未经压实。该层主要分布于中部狭长的山沟部分位置，该层分布不均匀，勘探时场地层厚0.80</w:t>
      </w:r>
      <w:r>
        <w:rPr>
          <w:rFonts w:hint="default" w:ascii="Times New Roman" w:hAnsi="Times New Roman" w:cs="Times New Roman"/>
          <w:color w:val="auto"/>
          <w:lang w:eastAsia="zh-CN"/>
        </w:rPr>
        <w:t>~</w:t>
      </w:r>
      <w:r>
        <w:rPr>
          <w:rFonts w:hint="default" w:ascii="Times New Roman" w:hAnsi="Times New Roman" w:cs="Times New Roman"/>
          <w:color w:val="auto"/>
        </w:rPr>
        <w:t>6.00m，平均厚度3.39m，层底标高70.79</w:t>
      </w:r>
      <w:r>
        <w:rPr>
          <w:rFonts w:hint="default" w:ascii="Times New Roman" w:hAnsi="Times New Roman" w:cs="Times New Roman"/>
          <w:color w:val="auto"/>
          <w:lang w:eastAsia="zh-CN"/>
        </w:rPr>
        <w:t>~</w:t>
      </w:r>
      <w:r>
        <w:rPr>
          <w:rFonts w:hint="default" w:ascii="Times New Roman" w:hAnsi="Times New Roman" w:cs="Times New Roman"/>
          <w:color w:val="auto"/>
        </w:rPr>
        <w:t>89.36m。</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②-1粉质粘土（Q41）：灰褐色；软可塑；粉质粘土为主要成分，粘性较强，干强度较高，无摇振反应，切面光滑，淤积成因。该层主要分布于中部狭长的山沟部分地段，该层分布不均匀，勘探时场地层厚1.60</w:t>
      </w:r>
      <w:r>
        <w:rPr>
          <w:rFonts w:hint="default" w:ascii="Times New Roman" w:hAnsi="Times New Roman" w:cs="Times New Roman"/>
          <w:color w:val="auto"/>
          <w:lang w:eastAsia="zh-CN"/>
        </w:rPr>
        <w:t>~</w:t>
      </w:r>
      <w:r>
        <w:rPr>
          <w:rFonts w:hint="default" w:ascii="Times New Roman" w:hAnsi="Times New Roman" w:cs="Times New Roman"/>
          <w:color w:val="auto"/>
        </w:rPr>
        <w:t>3.70m，平均厚度2.83m，层底标高69.42</w:t>
      </w:r>
      <w:r>
        <w:rPr>
          <w:rFonts w:hint="default" w:ascii="Times New Roman" w:hAnsi="Times New Roman" w:cs="Times New Roman"/>
          <w:color w:val="auto"/>
          <w:lang w:eastAsia="zh-CN"/>
        </w:rPr>
        <w:t>~</w:t>
      </w:r>
      <w:r>
        <w:rPr>
          <w:rFonts w:hint="default" w:ascii="Times New Roman" w:hAnsi="Times New Roman" w:cs="Times New Roman"/>
          <w:color w:val="auto"/>
        </w:rPr>
        <w:t>77.72m。</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②-2粉质粘土（Q1e1）：黄褐色；硬可塑；粉质粘土为主要成分，粘性一般，韧性一般，干强度较高，无摇振反应，切面光滑，残积成因。该层分布于场地绝大部分区域，仅中部狭长的山沟部分地段未揭露此层，勘探时场地层厚0.50</w:t>
      </w:r>
      <w:r>
        <w:rPr>
          <w:rFonts w:hint="default" w:ascii="Times New Roman" w:hAnsi="Times New Roman" w:cs="Times New Roman"/>
          <w:color w:val="auto"/>
          <w:lang w:eastAsia="zh-CN"/>
        </w:rPr>
        <w:t>~</w:t>
      </w:r>
      <w:r>
        <w:rPr>
          <w:rFonts w:hint="default" w:ascii="Times New Roman" w:hAnsi="Times New Roman" w:cs="Times New Roman"/>
          <w:color w:val="auto"/>
        </w:rPr>
        <w:t>4.00m，平均厚度1.2m，层底标高69.51</w:t>
      </w:r>
      <w:r>
        <w:rPr>
          <w:rFonts w:hint="default" w:ascii="Times New Roman" w:hAnsi="Times New Roman" w:cs="Times New Roman"/>
          <w:color w:val="auto"/>
          <w:lang w:eastAsia="zh-CN"/>
        </w:rPr>
        <w:t>~</w:t>
      </w:r>
      <w:r>
        <w:rPr>
          <w:rFonts w:hint="default" w:ascii="Times New Roman" w:hAnsi="Times New Roman" w:cs="Times New Roman"/>
          <w:color w:val="auto"/>
        </w:rPr>
        <w:t>109.95m。</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③-1强风化板岩（Pt2）：黄褐色；泥质成分，板状构造，变余泥质结构。岩体破碎，部分已风化成土状，原岩结构可见，干钻难以钻进，岩石基本质量指标RQD很差，属极软岩，岩石基本等级为Ⅴ类。该层全场地分布，层位不稳定，勘探时场地层厚1.00</w:t>
      </w:r>
      <w:r>
        <w:rPr>
          <w:rFonts w:hint="default" w:ascii="Times New Roman" w:hAnsi="Times New Roman" w:cs="Times New Roman"/>
          <w:color w:val="auto"/>
          <w:lang w:eastAsia="zh-CN"/>
        </w:rPr>
        <w:t>~</w:t>
      </w:r>
      <w:r>
        <w:rPr>
          <w:rFonts w:hint="default" w:ascii="Times New Roman" w:hAnsi="Times New Roman" w:cs="Times New Roman"/>
          <w:color w:val="auto"/>
        </w:rPr>
        <w:t>4.50m，平均厚度2.96m，层底标高65.29</w:t>
      </w:r>
      <w:r>
        <w:rPr>
          <w:rFonts w:hint="default" w:ascii="Times New Roman" w:hAnsi="Times New Roman" w:cs="Times New Roman"/>
          <w:color w:val="auto"/>
          <w:lang w:eastAsia="zh-CN"/>
        </w:rPr>
        <w:t>~</w:t>
      </w:r>
      <w:r>
        <w:rPr>
          <w:rFonts w:hint="default" w:ascii="Times New Roman" w:hAnsi="Times New Roman" w:cs="Times New Roman"/>
          <w:color w:val="auto"/>
        </w:rPr>
        <w:t>107.15m。</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④-2中风化板岩（Pt2）：黄绿色、灰黄色；泥质成分，板状构造，变余泥质结构岩体破碎，风化节理发育，岩性较硬，岩石基本质量指标RQD较差，钻进时钻机摇动剧烈，岩芯呈短柱状或破碎状。岩石基本等级为Ⅴ类该层全场地分布。该次钻探未钻透此层。</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（2）地下水类型、埋深、补给和排泄条件</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highlight w:val="none"/>
        </w:rPr>
      </w:pPr>
      <w:r>
        <w:rPr>
          <w:rFonts w:hint="default" w:ascii="Times New Roman" w:hAnsi="Times New Roman" w:cs="Times New Roman"/>
          <w:color w:val="auto"/>
        </w:rPr>
        <w:t>根据湖南省水文地质图可知云溪地区富水程度弱，为淡水分布，含水岩组类型主要为：碎屑岩类孔隙裂隙含水岩组和变质岩类裂隙含水岩组，具体情</w:t>
      </w:r>
      <w:r>
        <w:rPr>
          <w:rFonts w:hint="default" w:ascii="Times New Roman" w:hAnsi="Times New Roman" w:cs="Times New Roman"/>
          <w:color w:val="auto"/>
          <w:highlight w:val="none"/>
        </w:rPr>
        <w:t>况见附图</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项目所在地深度范围内有一层地下水，属上层滞水类型，主要赋存于填土和粉质粘土中，主要为大气降水和地表滞水补给，仅在山沟中钻孔见到地下水，实测稳定水位埋深为3.0</w:t>
      </w:r>
      <w:r>
        <w:rPr>
          <w:rFonts w:hint="default" w:ascii="Times New Roman" w:hAnsi="Times New Roman" w:cs="Times New Roman"/>
          <w:color w:val="auto"/>
          <w:lang w:eastAsia="zh-CN"/>
        </w:rPr>
        <w:t>~</w:t>
      </w:r>
      <w:r>
        <w:rPr>
          <w:rFonts w:hint="default" w:ascii="Times New Roman" w:hAnsi="Times New Roman" w:cs="Times New Roman"/>
          <w:color w:val="auto"/>
        </w:rPr>
        <w:t>5.80m，相当于海拔71.32</w:t>
      </w:r>
      <w:r>
        <w:rPr>
          <w:rFonts w:hint="default" w:ascii="Times New Roman" w:hAnsi="Times New Roman" w:cs="Times New Roman"/>
          <w:color w:val="auto"/>
          <w:lang w:eastAsia="zh-CN"/>
        </w:rPr>
        <w:t>~</w:t>
      </w:r>
      <w:r>
        <w:rPr>
          <w:rFonts w:hint="default" w:ascii="Times New Roman" w:hAnsi="Times New Roman" w:cs="Times New Roman"/>
          <w:color w:val="auto"/>
        </w:rPr>
        <w:t>85.55m。由于场地底层主要为弱透水的粉质粘土和板岩，故地下水不发育。根据临近场地《水质分析报告表》中的水质分析结果和工程经验，按《岩土工程勘察规范》（GB50021-2001）有关水质评价标准判定，该区域水质对混凝土具有弱腐蚀性。</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天然情况下，区域地下水渗流场水力坡度平缓，一般在0.1‰左右，地下水流向长江。本区域深层地下水开发时间长，大量开采始于上世纪50年代，近些年通过地表水的充分开发利用以及节水工程，地下水开采总量逐渐减少。</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区域地下水的补给主要来自大气降水和地表水的渗漏。在通常情况下，地下水补给地表水，而在洪水期间则地表水补给地下水。区域内地下水主要以泉、地表径流、垂直蒸发以及人工开采等形式排泄，地下水流向为从东北流向西南。项目所处地表组成物质65%为变质岩，其余为砂质岩，地下水以HCO</w:t>
      </w:r>
      <w:r>
        <w:rPr>
          <w:rFonts w:hint="default" w:ascii="Times New Roman" w:hAnsi="Times New Roman" w:cs="Times New Roman"/>
          <w:color w:val="auto"/>
          <w:vertAlign w:val="subscript"/>
        </w:rPr>
        <w:t>3</w:t>
      </w:r>
      <w:r>
        <w:rPr>
          <w:rFonts w:hint="default" w:ascii="Times New Roman" w:hAnsi="Times New Roman" w:cs="Times New Roman"/>
          <w:color w:val="auto"/>
        </w:rPr>
        <w:t>-Ca·Mg型水为主，地下水补给主要依靠大气降水和河水，本地区附近1km范围内无地下水饮用水源地等地下水敏感区和保护目标。地层岩性主要以填土、粉质粘土、风化板岩为主，颗粒较细，渗透系数在10</w:t>
      </w:r>
      <w:r>
        <w:rPr>
          <w:rFonts w:hint="default" w:ascii="Times New Roman" w:hAnsi="Times New Roman" w:cs="Times New Roman"/>
          <w:color w:val="auto"/>
          <w:vertAlign w:val="superscript"/>
        </w:rPr>
        <w:t>-5</w:t>
      </w:r>
      <w:r>
        <w:rPr>
          <w:rFonts w:hint="default" w:ascii="Times New Roman" w:hAnsi="Times New Roman" w:cs="Times New Roman"/>
          <w:color w:val="auto"/>
        </w:rPr>
        <w:t>cm/s</w:t>
      </w:r>
      <w:r>
        <w:rPr>
          <w:rFonts w:hint="default" w:ascii="Times New Roman" w:hAnsi="Times New Roman" w:cs="Times New Roman"/>
          <w:color w:val="auto"/>
          <w:lang w:eastAsia="zh-CN"/>
        </w:rPr>
        <w:t>~</w:t>
      </w:r>
      <w:r>
        <w:rPr>
          <w:rFonts w:hint="default" w:ascii="Times New Roman" w:hAnsi="Times New Roman" w:cs="Times New Roman"/>
          <w:color w:val="auto"/>
        </w:rPr>
        <w:t>10</w:t>
      </w:r>
      <w:r>
        <w:rPr>
          <w:rFonts w:hint="default" w:ascii="Times New Roman" w:hAnsi="Times New Roman" w:cs="Times New Roman"/>
          <w:color w:val="auto"/>
          <w:vertAlign w:val="superscript"/>
        </w:rPr>
        <w:t>-7</w:t>
      </w:r>
      <w:r>
        <w:rPr>
          <w:rFonts w:hint="default" w:ascii="Times New Roman" w:hAnsi="Times New Roman" w:cs="Times New Roman"/>
          <w:color w:val="auto"/>
        </w:rPr>
        <w:t>cm/s之间，透水性能较弱，隔污能力较强。本项目所在区域地层天然防渗性能良好，水流垂向和横向迁移能力较弱。</w:t>
      </w:r>
    </w:p>
    <w:p>
      <w:pPr>
        <w:pStyle w:val="7"/>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rPr>
      </w:pPr>
      <w:r>
        <w:rPr>
          <w:rFonts w:hint="default" w:ascii="Times New Roman" w:hAnsi="Times New Roman" w:cs="Times New Roman"/>
          <w:color w:val="auto"/>
        </w:rPr>
        <w:t>地下水影响分析</w:t>
      </w:r>
    </w:p>
    <w:p>
      <w:pPr>
        <w:pStyle w:val="3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本次地下水环境影响评价的模拟范围即为评价范围面积约8km</w:t>
      </w:r>
      <w:r>
        <w:rPr>
          <w:rFonts w:hint="eastAsia" w:cs="Times New Roman"/>
          <w:color w:val="auto"/>
          <w:vertAlign w:val="superscript"/>
          <w:lang w:val="en-US" w:eastAsia="zh-CN"/>
        </w:rPr>
        <w:t>2</w:t>
      </w:r>
      <w:r>
        <w:rPr>
          <w:rFonts w:hint="default" w:ascii="Times New Roman" w:hAnsi="Times New Roman" w:cs="Times New Roman"/>
          <w:color w:val="auto"/>
          <w:lang w:val="en-US" w:eastAsia="zh-CN"/>
        </w:rPr>
        <w:t xml:space="preserve">区域。 </w:t>
      </w:r>
    </w:p>
    <w:p>
      <w:pPr>
        <w:pStyle w:val="3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本项目排水遵循雨污分流原则，后期雨水排入园区雨水管道，初期雨水经初期雨水收集池收集后与工艺废水一同进入</w:t>
      </w:r>
      <w:r>
        <w:rPr>
          <w:rFonts w:hint="default" w:ascii="Times New Roman" w:hAnsi="Times New Roman" w:cs="Times New Roman"/>
          <w:color w:val="auto"/>
        </w:rPr>
        <w:t>巴陵石化供排水事业部污水处理厂集中统一处理</w:t>
      </w:r>
      <w:r>
        <w:rPr>
          <w:rFonts w:hint="eastAsia" w:cs="Times New Roman"/>
          <w:color w:val="auto"/>
          <w:lang w:val="en-US" w:eastAsia="zh-CN"/>
        </w:rPr>
        <w:t>。</w:t>
      </w:r>
      <w:r>
        <w:rPr>
          <w:rFonts w:hint="default" w:ascii="Times New Roman" w:hAnsi="Times New Roman" w:cs="Times New Roman"/>
          <w:color w:val="auto"/>
          <w:lang w:val="en-US" w:eastAsia="zh-CN"/>
        </w:rPr>
        <w:t>生活污水经化粪池处理后，</w:t>
      </w:r>
      <w:r>
        <w:rPr>
          <w:rFonts w:hint="default" w:ascii="Times New Roman" w:hAnsi="Times New Roman" w:cs="Times New Roman"/>
          <w:color w:val="auto"/>
        </w:rPr>
        <w:t>排入厂区已有污水管网送巴陵石化供排水事业部污水处理厂集中统一处理达标后排至长江</w:t>
      </w:r>
      <w:r>
        <w:rPr>
          <w:rFonts w:hint="default" w:ascii="Times New Roman" w:hAnsi="Times New Roman" w:cs="Times New Roman"/>
          <w:color w:val="auto"/>
          <w:lang w:val="en-US" w:eastAsia="zh-CN"/>
        </w:rPr>
        <w:t>。项目厂区地面均采用水泥硬化措施；储存危化品堆场均进行了防渗漏处理；排水管均采用钢筋混凝土排水管，水泥砂浆抹口，工业园企业采用市政供水系统，不饮用园区地下水。</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 xml:space="preserve">1、正常状况地下水影响分析 </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正常状况下，本项目废水通过管道排入巴陵石化供排水事业部污水处理厂集中统一处理，不会对地下水环境造成污染。本项目拟对生产装置区、排水管沟、废水预处理设施等进行防渗，工程防渗满足《石油化工工程防渗技术规范》(GB/T 50934-2013)等要求，因此在正常状况下项目不会造成地下水环境的污染。根据《环境影响评价技术导则 地下水环境》(HJ610-2016)9.4.2条，已依据GB16889、GB18597、GB18598、GB18599、GB/T50934设计地下水污染防渗措施的建设项目，可不进行正常状况情景下的预测。因此，本评价地下水环境影响主要考虑非正常状况下的影响。</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2、</w:t>
      </w:r>
      <w:r>
        <w:rPr>
          <w:rFonts w:hint="default" w:ascii="Times New Roman" w:hAnsi="Times New Roman" w:cs="Times New Roman"/>
          <w:color w:val="auto"/>
          <w:u w:val="single"/>
          <w:lang w:val="en-US" w:eastAsia="zh-CN"/>
        </w:rPr>
        <w:t>非正常状况下地下水环境影响分析</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 xml:space="preserve"> (1)、预测范围</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本项目地下水环境影响预测范围与调查评价范围一致面积约8km2。</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 xml:space="preserve"> (</w:t>
      </w:r>
      <w:r>
        <w:rPr>
          <w:rFonts w:hint="eastAsia" w:ascii="Times New Roman" w:hAnsi="Times New Roman" w:cs="Times New Roman"/>
          <w:color w:val="auto"/>
          <w:u w:val="single"/>
          <w:lang w:val="en-US" w:eastAsia="zh-CN"/>
        </w:rPr>
        <w:t>2</w:t>
      </w:r>
      <w:r>
        <w:rPr>
          <w:rFonts w:hint="default" w:ascii="Times New Roman" w:hAnsi="Times New Roman" w:cs="Times New Roman"/>
          <w:color w:val="auto"/>
          <w:u w:val="single"/>
          <w:lang w:val="en-US" w:eastAsia="zh-CN"/>
        </w:rPr>
        <w:t>)、评价预测时段</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根据《环境影响评价技术导则 地下水环境》(HJ 610-2016) 的规定，拟建项目的 评价预测时段可以分为以下三个关键时段：污染发生后100d、污染发生后365d和污染发生后1000d</w:t>
      </w:r>
      <w:r>
        <w:rPr>
          <w:rFonts w:hint="eastAsia" w:ascii="Times New Roman" w:hAnsi="Times New Roman" w:cs="Times New Roman"/>
          <w:color w:val="auto"/>
          <w:u w:val="single"/>
          <w:lang w:val="en-US" w:eastAsia="zh-CN"/>
        </w:rPr>
        <w:t>。</w:t>
      </w:r>
      <w:r>
        <w:rPr>
          <w:rFonts w:hint="default" w:ascii="Times New Roman" w:hAnsi="Times New Roman" w:cs="Times New Roman"/>
          <w:color w:val="auto"/>
          <w:u w:val="single"/>
          <w:lang w:val="en-US" w:eastAsia="zh-CN"/>
        </w:rPr>
        <w:t xml:space="preserve"> </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w:t>
      </w:r>
      <w:r>
        <w:rPr>
          <w:rFonts w:hint="eastAsia" w:ascii="Times New Roman" w:hAnsi="Times New Roman" w:cs="Times New Roman"/>
          <w:color w:val="auto"/>
          <w:u w:val="single"/>
          <w:lang w:val="en-US" w:eastAsia="zh-CN"/>
        </w:rPr>
        <w:t>3</w:t>
      </w:r>
      <w:r>
        <w:rPr>
          <w:rFonts w:hint="default" w:ascii="Times New Roman" w:hAnsi="Times New Roman" w:cs="Times New Roman"/>
          <w:color w:val="auto"/>
          <w:u w:val="single"/>
          <w:lang w:val="en-US" w:eastAsia="zh-CN"/>
        </w:rPr>
        <w:t>)、预测因子</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根据项目实际建设情况，本评价对地下水影响主要考虑污水处理系统沉淀池发生破损渗漏情况下的排放，因此本评价主要针对污水处理系统沉淀池中废水渗漏进行预测，选取 CODMn、石油类</w:t>
      </w:r>
      <w:r>
        <w:rPr>
          <w:rFonts w:hint="eastAsia" w:ascii="Times New Roman" w:hAnsi="Times New Roman" w:cs="Times New Roman"/>
          <w:color w:val="auto"/>
          <w:u w:val="single"/>
          <w:lang w:val="en-US" w:eastAsia="zh-CN"/>
        </w:rPr>
        <w:t>、</w:t>
      </w:r>
      <w:r>
        <w:rPr>
          <w:rFonts w:hint="default" w:ascii="Times New Roman" w:hAnsi="Times New Roman" w:cs="Times New Roman"/>
          <w:color w:val="auto"/>
          <w:u w:val="single"/>
          <w:lang w:val="en-US" w:eastAsia="zh-CN"/>
        </w:rPr>
        <w:t>镍作为主要预测因子。</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(4)</w:t>
      </w:r>
      <w:r>
        <w:rPr>
          <w:rFonts w:hint="eastAsia" w:ascii="Times New Roman" w:hAnsi="Times New Roman" w:cs="Times New Roman"/>
          <w:color w:val="auto"/>
          <w:u w:val="single"/>
          <w:lang w:val="en-US" w:eastAsia="zh-CN"/>
        </w:rPr>
        <w:t xml:space="preserve">、预测源强 </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根据《给水排水构筑物工程施工及验收规范》</w:t>
      </w:r>
      <w:r>
        <w:rPr>
          <w:rFonts w:hint="default" w:ascii="Times New Roman" w:hAnsi="Times New Roman" w:cs="Times New Roman"/>
          <w:color w:val="auto"/>
          <w:u w:val="single"/>
          <w:lang w:val="en-US" w:eastAsia="zh-CN"/>
        </w:rPr>
        <w:t>(GB50141-2008</w:t>
      </w:r>
      <w:r>
        <w:rPr>
          <w:rFonts w:hint="eastAsia" w:ascii="Times New Roman" w:hAnsi="Times New Roman" w:cs="Times New Roman"/>
          <w:color w:val="auto"/>
          <w:u w:val="single"/>
          <w:lang w:val="en-US" w:eastAsia="zh-CN"/>
        </w:rPr>
        <w:t>）</w:t>
      </w:r>
      <w:r>
        <w:rPr>
          <w:rFonts w:hint="default" w:ascii="Times New Roman" w:hAnsi="Times New Roman" w:cs="Times New Roman"/>
          <w:color w:val="auto"/>
          <w:u w:val="single"/>
          <w:lang w:val="en-US" w:eastAsia="zh-CN"/>
        </w:rPr>
        <w:t>9.2.6</w:t>
      </w:r>
      <w:r>
        <w:rPr>
          <w:rFonts w:hint="eastAsia" w:ascii="Times New Roman" w:hAnsi="Times New Roman" w:cs="Times New Roman"/>
          <w:color w:val="auto"/>
          <w:u w:val="single"/>
          <w:lang w:val="en-US" w:eastAsia="zh-CN"/>
        </w:rPr>
        <w:t>条，正常情况下钢筋混凝土结构水池渗水量不得超过</w:t>
      </w:r>
      <w:r>
        <w:rPr>
          <w:rFonts w:hint="default" w:ascii="Times New Roman" w:hAnsi="Times New Roman" w:cs="Times New Roman"/>
          <w:color w:val="auto"/>
          <w:u w:val="single"/>
          <w:lang w:val="en-US" w:eastAsia="zh-CN"/>
        </w:rPr>
        <w:t>2 L/ (m</w:t>
      </w:r>
      <w:r>
        <w:rPr>
          <w:rFonts w:hint="default" w:ascii="Times New Roman" w:hAnsi="Times New Roman" w:cs="Times New Roman"/>
          <w:color w:val="auto"/>
          <w:u w:val="single"/>
          <w:vertAlign w:val="superscript"/>
          <w:lang w:val="en-US" w:eastAsia="zh-CN"/>
        </w:rPr>
        <w:t>2</w:t>
      </w:r>
      <w:r>
        <w:rPr>
          <w:rFonts w:hint="default" w:ascii="Times New Roman" w:hAnsi="Times New Roman" w:cs="Times New Roman"/>
          <w:color w:val="auto"/>
          <w:u w:val="single"/>
          <w:lang w:val="en-US" w:eastAsia="zh-CN"/>
        </w:rPr>
        <w:t>·d)</w:t>
      </w:r>
      <w:r>
        <w:rPr>
          <w:rFonts w:hint="eastAsia" w:ascii="Times New Roman" w:hAnsi="Times New Roman" w:cs="Times New Roman"/>
          <w:color w:val="auto"/>
          <w:u w:val="single"/>
          <w:lang w:val="en-US" w:eastAsia="zh-CN"/>
        </w:rPr>
        <w:t>，即废水渗透强度为</w:t>
      </w:r>
      <w:r>
        <w:rPr>
          <w:rFonts w:hint="default" w:ascii="Times New Roman" w:hAnsi="Times New Roman" w:cs="Times New Roman"/>
          <w:color w:val="auto"/>
          <w:u w:val="single"/>
          <w:lang w:val="en-US" w:eastAsia="zh-CN"/>
        </w:rPr>
        <w:t>20L/(m</w:t>
      </w:r>
      <w:r>
        <w:rPr>
          <w:rFonts w:hint="default" w:ascii="Times New Roman" w:hAnsi="Times New Roman" w:cs="Times New Roman"/>
          <w:color w:val="auto"/>
          <w:u w:val="single"/>
          <w:vertAlign w:val="superscript"/>
          <w:lang w:val="en-US" w:eastAsia="zh-CN"/>
        </w:rPr>
        <w:t>2</w:t>
      </w:r>
      <w:r>
        <w:rPr>
          <w:rFonts w:hint="default" w:ascii="Times New Roman" w:hAnsi="Times New Roman" w:cs="Times New Roman"/>
          <w:color w:val="auto"/>
          <w:u w:val="single"/>
          <w:lang w:val="en-US" w:eastAsia="zh-CN"/>
        </w:rPr>
        <w:t>·d)</w:t>
      </w:r>
      <w:r>
        <w:rPr>
          <w:rFonts w:hint="eastAsia" w:ascii="Times New Roman" w:hAnsi="Times New Roman" w:cs="Times New Roman"/>
          <w:color w:val="auto"/>
          <w:u w:val="single"/>
          <w:lang w:val="en-US" w:eastAsia="zh-CN"/>
        </w:rPr>
        <w:t>。 本项目</w:t>
      </w:r>
      <w:r>
        <w:rPr>
          <w:rFonts w:hint="eastAsia" w:cs="Times New Roman"/>
          <w:color w:val="auto"/>
          <w:u w:val="single"/>
          <w:lang w:val="en-US" w:eastAsia="zh-CN"/>
        </w:rPr>
        <w:t>沉淀池总</w:t>
      </w:r>
      <w:r>
        <w:rPr>
          <w:rFonts w:hint="eastAsia" w:ascii="Times New Roman" w:hAnsi="Times New Roman" w:cs="Times New Roman"/>
          <w:color w:val="auto"/>
          <w:u w:val="single"/>
          <w:lang w:val="en-US" w:eastAsia="zh-CN"/>
        </w:rPr>
        <w:t>尺寸为</w:t>
      </w:r>
      <w:r>
        <w:rPr>
          <w:rFonts w:hint="default" w:ascii="Times New Roman" w:hAnsi="Times New Roman" w:cs="Times New Roman"/>
          <w:color w:val="auto"/>
          <w:u w:val="single"/>
          <w:lang w:val="en-US" w:eastAsia="zh-CN"/>
        </w:rPr>
        <w:t>长9m宽5m深1.5m，65m</w:t>
      </w:r>
      <w:r>
        <w:rPr>
          <w:rFonts w:hint="default" w:ascii="Times New Roman" w:hAnsi="Times New Roman" w:cs="Times New Roman"/>
          <w:color w:val="auto"/>
          <w:u w:val="single"/>
          <w:vertAlign w:val="superscript"/>
          <w:lang w:val="en-US" w:eastAsia="zh-CN"/>
        </w:rPr>
        <w:t>3</w:t>
      </w:r>
      <w:r>
        <w:rPr>
          <w:rFonts w:hint="eastAsia" w:ascii="Times New Roman" w:hAnsi="Times New Roman" w:cs="Times New Roman"/>
          <w:color w:val="auto"/>
          <w:u w:val="single"/>
          <w:lang w:val="en-US" w:eastAsia="zh-CN"/>
        </w:rPr>
        <w:t>，本次预测非正常状况假设为</w:t>
      </w:r>
      <w:r>
        <w:rPr>
          <w:rFonts w:hint="eastAsia" w:cs="Times New Roman"/>
          <w:color w:val="auto"/>
          <w:u w:val="single"/>
          <w:lang w:val="en-US" w:eastAsia="zh-CN"/>
        </w:rPr>
        <w:t>沉淀</w:t>
      </w:r>
      <w:r>
        <w:rPr>
          <w:rFonts w:hint="eastAsia" w:ascii="Times New Roman" w:hAnsi="Times New Roman" w:cs="Times New Roman"/>
          <w:color w:val="auto"/>
          <w:u w:val="single"/>
          <w:lang w:val="en-US" w:eastAsia="zh-CN"/>
        </w:rPr>
        <w:t>池底出现总长</w:t>
      </w:r>
      <w:r>
        <w:rPr>
          <w:rFonts w:hint="eastAsia" w:cs="Times New Roman"/>
          <w:color w:val="auto"/>
          <w:u w:val="single"/>
          <w:lang w:val="en-US" w:eastAsia="zh-CN"/>
        </w:rPr>
        <w:t>9</w:t>
      </w:r>
      <w:r>
        <w:rPr>
          <w:rFonts w:hint="default" w:ascii="Times New Roman" w:hAnsi="Times New Roman" w:cs="Times New Roman"/>
          <w:color w:val="auto"/>
          <w:u w:val="single"/>
          <w:lang w:val="en-US" w:eastAsia="zh-CN"/>
        </w:rPr>
        <w:t>m</w:t>
      </w:r>
      <w:r>
        <w:rPr>
          <w:rFonts w:hint="eastAsia" w:ascii="Times New Roman" w:hAnsi="Times New Roman" w:cs="Times New Roman"/>
          <w:color w:val="auto"/>
          <w:u w:val="single"/>
          <w:lang w:val="en-US" w:eastAsia="zh-CN"/>
        </w:rPr>
        <w:t>、宽</w:t>
      </w:r>
      <w:r>
        <w:rPr>
          <w:rFonts w:hint="eastAsia" w:cs="Times New Roman"/>
          <w:color w:val="auto"/>
          <w:u w:val="single"/>
          <w:lang w:val="en-US" w:eastAsia="zh-CN"/>
        </w:rPr>
        <w:t>5</w:t>
      </w:r>
      <w:r>
        <w:rPr>
          <w:rFonts w:hint="default" w:ascii="Times New Roman" w:hAnsi="Times New Roman" w:cs="Times New Roman"/>
          <w:color w:val="auto"/>
          <w:u w:val="single"/>
          <w:lang w:val="en-US" w:eastAsia="zh-CN"/>
        </w:rPr>
        <w:t>cm</w:t>
      </w:r>
      <w:r>
        <w:rPr>
          <w:rFonts w:hint="eastAsia" w:ascii="Times New Roman" w:hAnsi="Times New Roman" w:cs="Times New Roman"/>
          <w:color w:val="auto"/>
          <w:u w:val="single"/>
          <w:lang w:val="en-US" w:eastAsia="zh-CN"/>
        </w:rPr>
        <w:t>的裂缝，总渗漏面积为约</w:t>
      </w:r>
      <w:r>
        <w:rPr>
          <w:rFonts w:hint="eastAsia" w:cs="Times New Roman"/>
          <w:color w:val="auto"/>
          <w:u w:val="single"/>
          <w:lang w:val="en-US" w:eastAsia="zh-CN"/>
        </w:rPr>
        <w:t>0.225</w:t>
      </w:r>
      <w:r>
        <w:rPr>
          <w:rFonts w:hint="default" w:ascii="Times New Roman" w:hAnsi="Times New Roman" w:cs="Times New Roman"/>
          <w:color w:val="auto"/>
          <w:u w:val="single"/>
          <w:lang w:val="en-US" w:eastAsia="zh-CN"/>
        </w:rPr>
        <w:t>m</w:t>
      </w:r>
      <w:r>
        <w:rPr>
          <w:rFonts w:hint="default" w:ascii="Times New Roman" w:hAnsi="Times New Roman" w:cs="Times New Roman"/>
          <w:color w:val="auto"/>
          <w:u w:val="single"/>
          <w:vertAlign w:val="superscript"/>
          <w:lang w:val="en-US" w:eastAsia="zh-CN"/>
        </w:rPr>
        <w:t>2</w:t>
      </w:r>
      <w:r>
        <w:rPr>
          <w:rFonts w:hint="eastAsia" w:ascii="Times New Roman" w:hAnsi="Times New Roman" w:cs="Times New Roman"/>
          <w:color w:val="auto"/>
          <w:u w:val="single"/>
          <w:lang w:val="en-US" w:eastAsia="zh-CN"/>
        </w:rPr>
        <w:t>，则非正常状况下调节池的污水渗漏量为</w:t>
      </w:r>
      <w:r>
        <w:rPr>
          <w:rFonts w:hint="eastAsia" w:cs="Times New Roman"/>
          <w:color w:val="auto"/>
          <w:u w:val="single"/>
          <w:lang w:val="en-US" w:eastAsia="zh-CN"/>
        </w:rPr>
        <w:t>0.009</w:t>
      </w:r>
      <w:r>
        <w:rPr>
          <w:rFonts w:hint="default" w:ascii="Times New Roman" w:hAnsi="Times New Roman" w:cs="Times New Roman"/>
          <w:color w:val="auto"/>
          <w:u w:val="single"/>
          <w:lang w:val="en-US" w:eastAsia="zh-CN"/>
        </w:rPr>
        <w:t>m</w:t>
      </w:r>
      <w:r>
        <w:rPr>
          <w:rFonts w:hint="default" w:ascii="Times New Roman" w:hAnsi="Times New Roman" w:cs="Times New Roman"/>
          <w:color w:val="auto"/>
          <w:u w:val="single"/>
          <w:vertAlign w:val="superscript"/>
          <w:lang w:val="en-US" w:eastAsia="zh-CN"/>
        </w:rPr>
        <w:t>3</w:t>
      </w:r>
      <w:r>
        <w:rPr>
          <w:rFonts w:hint="default" w:ascii="Times New Roman" w:hAnsi="Times New Roman" w:cs="Times New Roman"/>
          <w:color w:val="auto"/>
          <w:u w:val="single"/>
          <w:lang w:val="en-US" w:eastAsia="zh-CN"/>
        </w:rPr>
        <w:t>/d</w:t>
      </w:r>
      <w:r>
        <w:rPr>
          <w:rFonts w:hint="eastAsia" w:ascii="Times New Roman" w:hAnsi="Times New Roman" w:cs="Times New Roman"/>
          <w:color w:val="auto"/>
          <w:u w:val="single"/>
          <w:lang w:val="en-US" w:eastAsia="zh-CN"/>
        </w:rPr>
        <w:t xml:space="preserve">。调节池泄漏事故发生后需立即采取措施控制泄漏，因此泄漏量按 </w:t>
      </w:r>
      <w:r>
        <w:rPr>
          <w:rFonts w:hint="default" w:ascii="Times New Roman" w:hAnsi="Times New Roman" w:cs="Times New Roman"/>
          <w:color w:val="auto"/>
          <w:u w:val="single"/>
          <w:lang w:val="en-US" w:eastAsia="zh-CN"/>
        </w:rPr>
        <w:t>0.00</w:t>
      </w:r>
      <w:r>
        <w:rPr>
          <w:rFonts w:hint="eastAsia" w:cs="Times New Roman"/>
          <w:color w:val="auto"/>
          <w:u w:val="single"/>
          <w:lang w:val="en-US" w:eastAsia="zh-CN"/>
        </w:rPr>
        <w:t>9</w:t>
      </w:r>
      <w:r>
        <w:rPr>
          <w:rFonts w:hint="default" w:ascii="Times New Roman" w:hAnsi="Times New Roman" w:cs="Times New Roman"/>
          <w:color w:val="auto"/>
          <w:u w:val="single"/>
          <w:lang w:val="en-US" w:eastAsia="zh-CN"/>
        </w:rPr>
        <w:t>m</w:t>
      </w:r>
      <w:r>
        <w:rPr>
          <w:rFonts w:hint="default" w:ascii="Times New Roman" w:hAnsi="Times New Roman" w:cs="Times New Roman"/>
          <w:color w:val="auto"/>
          <w:u w:val="single"/>
          <w:vertAlign w:val="superscript"/>
          <w:lang w:val="en-US" w:eastAsia="zh-CN"/>
        </w:rPr>
        <w:t>3</w:t>
      </w:r>
      <w:r>
        <w:rPr>
          <w:rFonts w:hint="eastAsia" w:ascii="Times New Roman" w:hAnsi="Times New Roman" w:cs="Times New Roman"/>
          <w:color w:val="auto"/>
          <w:u w:val="single"/>
          <w:lang w:val="en-US" w:eastAsia="zh-CN"/>
        </w:rPr>
        <w:t>计，污水处理系统沉淀池中废水的</w:t>
      </w:r>
      <w:r>
        <w:rPr>
          <w:rFonts w:hint="default" w:ascii="Times New Roman" w:hAnsi="Times New Roman" w:cs="Times New Roman"/>
          <w:color w:val="auto"/>
          <w:u w:val="single"/>
          <w:lang w:val="en-US" w:eastAsia="zh-CN"/>
        </w:rPr>
        <w:t>COD</w:t>
      </w:r>
      <w:r>
        <w:rPr>
          <w:rFonts w:hint="eastAsia" w:ascii="Times New Roman" w:hAnsi="Times New Roman" w:cs="Times New Roman"/>
          <w:color w:val="auto"/>
          <w:u w:val="single"/>
          <w:lang w:val="en-US" w:eastAsia="zh-CN"/>
        </w:rPr>
        <w:t>浓度按最大进水浓度</w:t>
      </w:r>
      <w:r>
        <w:rPr>
          <w:rFonts w:hint="eastAsia" w:cs="Times New Roman"/>
          <w:color w:val="auto"/>
          <w:u w:val="single"/>
          <w:lang w:val="en-US" w:eastAsia="zh-CN"/>
        </w:rPr>
        <w:t>400</w:t>
      </w:r>
      <w:r>
        <w:rPr>
          <w:rFonts w:hint="default" w:ascii="Times New Roman" w:hAnsi="Times New Roman" w:cs="Times New Roman"/>
          <w:color w:val="auto"/>
          <w:u w:val="single"/>
          <w:lang w:val="en-US" w:eastAsia="zh-CN"/>
        </w:rPr>
        <w:t>mg/L</w:t>
      </w:r>
      <w:r>
        <w:rPr>
          <w:rFonts w:hint="eastAsia" w:ascii="Times New Roman" w:hAnsi="Times New Roman" w:cs="Times New Roman"/>
          <w:color w:val="auto"/>
          <w:u w:val="single"/>
          <w:lang w:val="en-US" w:eastAsia="zh-CN"/>
        </w:rPr>
        <w:t>，则非正常状况下</w:t>
      </w:r>
      <w:r>
        <w:rPr>
          <w:rFonts w:hint="default" w:ascii="Times New Roman" w:hAnsi="Times New Roman" w:cs="Times New Roman"/>
          <w:color w:val="auto"/>
          <w:u w:val="single"/>
          <w:lang w:val="en-US" w:eastAsia="zh-CN"/>
        </w:rPr>
        <w:t>COD</w:t>
      </w:r>
      <w:r>
        <w:rPr>
          <w:rFonts w:hint="eastAsia" w:ascii="Times New Roman" w:hAnsi="Times New Roman" w:cs="Times New Roman"/>
          <w:color w:val="auto"/>
          <w:u w:val="single"/>
          <w:lang w:val="en-US" w:eastAsia="zh-CN"/>
        </w:rPr>
        <w:t>的渗入量为</w:t>
      </w:r>
      <w:r>
        <w:rPr>
          <w:rFonts w:hint="eastAsia" w:cs="Times New Roman"/>
          <w:color w:val="auto"/>
          <w:u w:val="single"/>
          <w:lang w:val="en-US" w:eastAsia="zh-CN"/>
        </w:rPr>
        <w:t>3.6</w:t>
      </w:r>
      <w:r>
        <w:rPr>
          <w:rFonts w:hint="default" w:ascii="Times New Roman" w:hAnsi="Times New Roman" w:cs="Times New Roman"/>
          <w:color w:val="auto"/>
          <w:u w:val="single"/>
          <w:lang w:val="en-US" w:eastAsia="zh-CN"/>
        </w:rPr>
        <w:t>g/d</w:t>
      </w:r>
      <w:r>
        <w:rPr>
          <w:rFonts w:hint="eastAsia" w:ascii="Times New Roman" w:hAnsi="Times New Roman" w:cs="Times New Roman"/>
          <w:color w:val="auto"/>
          <w:u w:val="single"/>
          <w:lang w:val="en-US" w:eastAsia="zh-CN"/>
        </w:rPr>
        <w:t>，</w:t>
      </w:r>
      <w:r>
        <w:rPr>
          <w:rFonts w:hint="default" w:ascii="Times New Roman" w:hAnsi="Times New Roman" w:cs="Times New Roman"/>
          <w:color w:val="auto"/>
          <w:u w:val="single"/>
          <w:lang w:val="en-US" w:eastAsia="zh-CN"/>
        </w:rPr>
        <w:t>石油类</w:t>
      </w:r>
      <w:r>
        <w:rPr>
          <w:rFonts w:hint="eastAsia" w:ascii="Times New Roman" w:hAnsi="Times New Roman" w:cs="Times New Roman"/>
          <w:color w:val="auto"/>
          <w:u w:val="single"/>
          <w:lang w:val="en-US" w:eastAsia="zh-CN"/>
        </w:rPr>
        <w:t>浓度按最大进水浓度</w:t>
      </w:r>
      <w:r>
        <w:rPr>
          <w:rFonts w:hint="eastAsia" w:cs="Times New Roman"/>
          <w:color w:val="auto"/>
          <w:u w:val="single"/>
          <w:lang w:val="en-US" w:eastAsia="zh-CN"/>
        </w:rPr>
        <w:t>0.5</w:t>
      </w:r>
      <w:r>
        <w:rPr>
          <w:rFonts w:hint="default" w:ascii="Times New Roman" w:hAnsi="Times New Roman" w:cs="Times New Roman"/>
          <w:color w:val="auto"/>
          <w:u w:val="single"/>
          <w:lang w:val="en-US" w:eastAsia="zh-CN"/>
        </w:rPr>
        <w:t>mg/L</w:t>
      </w:r>
      <w:r>
        <w:rPr>
          <w:rFonts w:hint="eastAsia" w:cs="Times New Roman"/>
          <w:color w:val="auto"/>
          <w:u w:val="single"/>
          <w:lang w:val="en-US" w:eastAsia="zh-CN"/>
        </w:rPr>
        <w:t>，</w:t>
      </w:r>
      <w:r>
        <w:rPr>
          <w:rFonts w:hint="eastAsia" w:ascii="Times New Roman" w:hAnsi="Times New Roman" w:cs="Times New Roman"/>
          <w:color w:val="auto"/>
          <w:u w:val="single"/>
          <w:lang w:val="en-US" w:eastAsia="zh-CN"/>
        </w:rPr>
        <w:t>则非正常状况下</w:t>
      </w:r>
      <w:r>
        <w:rPr>
          <w:rFonts w:hint="default" w:ascii="Times New Roman" w:hAnsi="Times New Roman" w:cs="Times New Roman"/>
          <w:color w:val="auto"/>
          <w:u w:val="single"/>
          <w:lang w:val="en-US" w:eastAsia="zh-CN"/>
        </w:rPr>
        <w:t>石油类</w:t>
      </w:r>
      <w:r>
        <w:rPr>
          <w:rFonts w:hint="eastAsia" w:ascii="Times New Roman" w:hAnsi="Times New Roman" w:cs="Times New Roman"/>
          <w:color w:val="auto"/>
          <w:u w:val="single"/>
          <w:lang w:val="en-US" w:eastAsia="zh-CN"/>
        </w:rPr>
        <w:t>的渗入量为</w:t>
      </w:r>
      <w:r>
        <w:rPr>
          <w:rFonts w:hint="eastAsia" w:cs="Times New Roman"/>
          <w:color w:val="auto"/>
          <w:u w:val="single"/>
          <w:lang w:val="en-US" w:eastAsia="zh-CN"/>
        </w:rPr>
        <w:t>0.0045</w:t>
      </w:r>
      <w:r>
        <w:rPr>
          <w:rFonts w:hint="default" w:ascii="Times New Roman" w:hAnsi="Times New Roman" w:cs="Times New Roman"/>
          <w:color w:val="auto"/>
          <w:u w:val="single"/>
          <w:lang w:val="en-US" w:eastAsia="zh-CN"/>
        </w:rPr>
        <w:t>g/d</w:t>
      </w:r>
      <w:r>
        <w:rPr>
          <w:rFonts w:hint="eastAsia" w:ascii="Times New Roman" w:hAnsi="Times New Roman" w:cs="Times New Roman"/>
          <w:color w:val="auto"/>
          <w:u w:val="single"/>
          <w:lang w:val="en-US" w:eastAsia="zh-CN"/>
        </w:rPr>
        <w:t>。</w:t>
      </w:r>
      <w:r>
        <w:rPr>
          <w:rFonts w:hint="default" w:ascii="Times New Roman" w:hAnsi="Times New Roman" w:cs="Times New Roman"/>
          <w:color w:val="auto"/>
          <w:u w:val="single"/>
          <w:lang w:val="en-US" w:eastAsia="zh-CN"/>
        </w:rPr>
        <w:t>镍</w:t>
      </w:r>
      <w:r>
        <w:rPr>
          <w:rFonts w:hint="eastAsia" w:ascii="Times New Roman" w:hAnsi="Times New Roman" w:cs="Times New Roman"/>
          <w:color w:val="auto"/>
          <w:u w:val="single"/>
          <w:lang w:val="en-US" w:eastAsia="zh-CN"/>
        </w:rPr>
        <w:t>浓度按最大进水浓度</w:t>
      </w:r>
      <w:r>
        <w:rPr>
          <w:rFonts w:hint="eastAsia" w:cs="Times New Roman"/>
          <w:color w:val="auto"/>
          <w:u w:val="single"/>
          <w:lang w:val="en-US" w:eastAsia="zh-CN"/>
        </w:rPr>
        <w:t>5</w:t>
      </w:r>
      <w:r>
        <w:rPr>
          <w:rFonts w:hint="default" w:ascii="Times New Roman" w:hAnsi="Times New Roman" w:cs="Times New Roman"/>
          <w:color w:val="auto"/>
          <w:u w:val="single"/>
          <w:lang w:val="en-US" w:eastAsia="zh-CN"/>
        </w:rPr>
        <w:t>mg/L</w:t>
      </w:r>
      <w:r>
        <w:rPr>
          <w:rFonts w:hint="eastAsia" w:ascii="Times New Roman" w:hAnsi="Times New Roman" w:cs="Times New Roman"/>
          <w:color w:val="auto"/>
          <w:u w:val="single"/>
          <w:lang w:val="en-US" w:eastAsia="zh-CN"/>
        </w:rPr>
        <w:t>，则非正常状况下</w:t>
      </w:r>
      <w:r>
        <w:rPr>
          <w:rFonts w:hint="default" w:ascii="Times New Roman" w:hAnsi="Times New Roman" w:cs="Times New Roman"/>
          <w:color w:val="auto"/>
          <w:u w:val="single"/>
          <w:lang w:val="en-US" w:eastAsia="zh-CN"/>
        </w:rPr>
        <w:t>镍</w:t>
      </w:r>
      <w:r>
        <w:rPr>
          <w:rFonts w:hint="eastAsia" w:ascii="Times New Roman" w:hAnsi="Times New Roman" w:cs="Times New Roman"/>
          <w:color w:val="auto"/>
          <w:u w:val="single"/>
          <w:lang w:val="en-US" w:eastAsia="zh-CN"/>
        </w:rPr>
        <w:t>的渗入量为</w:t>
      </w:r>
      <w:r>
        <w:rPr>
          <w:rFonts w:hint="eastAsia" w:cs="Times New Roman"/>
          <w:color w:val="auto"/>
          <w:u w:val="single"/>
          <w:lang w:val="en-US" w:eastAsia="zh-CN"/>
        </w:rPr>
        <w:t>0.045</w:t>
      </w:r>
      <w:r>
        <w:rPr>
          <w:rFonts w:hint="default" w:ascii="Times New Roman" w:hAnsi="Times New Roman" w:cs="Times New Roman"/>
          <w:color w:val="auto"/>
          <w:u w:val="single"/>
          <w:lang w:val="en-US" w:eastAsia="zh-CN"/>
        </w:rPr>
        <w:t>g/d</w:t>
      </w:r>
      <w:r>
        <w:rPr>
          <w:rFonts w:hint="eastAsia" w:ascii="Times New Roman" w:hAnsi="Times New Roman" w:cs="Times New Roman"/>
          <w:color w:val="auto"/>
          <w:u w:val="single"/>
          <w:lang w:val="en-US" w:eastAsia="zh-CN"/>
        </w:rPr>
        <w:t xml:space="preserve">。 </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(5)</w:t>
      </w:r>
      <w:r>
        <w:rPr>
          <w:rFonts w:hint="eastAsia" w:ascii="Times New Roman" w:hAnsi="Times New Roman" w:cs="Times New Roman"/>
          <w:color w:val="auto"/>
          <w:u w:val="single"/>
          <w:lang w:val="en-US" w:eastAsia="zh-CN"/>
        </w:rPr>
        <w:t xml:space="preserve">、预测模式选取 </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污水处理系统沉淀池防渗层发生破损的情况下废水的泄漏可概化为示踪剂连续</w:t>
      </w:r>
      <w:r>
        <w:rPr>
          <w:rFonts w:hint="default" w:ascii="Times New Roman" w:hAnsi="Times New Roman" w:cs="Times New Roman"/>
          <w:color w:val="auto"/>
          <w:u w:val="single"/>
          <w:lang w:val="en-US" w:eastAsia="zh-CN"/>
        </w:rPr>
        <w:t>(</w:t>
      </w:r>
      <w:r>
        <w:rPr>
          <w:rFonts w:hint="eastAsia" w:ascii="Times New Roman" w:hAnsi="Times New Roman" w:cs="Times New Roman"/>
          <w:color w:val="auto"/>
          <w:u w:val="single"/>
          <w:lang w:val="en-US" w:eastAsia="zh-CN"/>
        </w:rPr>
        <w:t>事故时</w:t>
      </w:r>
      <w:r>
        <w:rPr>
          <w:rFonts w:hint="default" w:ascii="Times New Roman" w:hAnsi="Times New Roman" w:cs="Times New Roman"/>
          <w:color w:val="auto"/>
          <w:u w:val="single"/>
          <w:lang w:val="en-US" w:eastAsia="zh-CN"/>
        </w:rPr>
        <w:t>)</w:t>
      </w:r>
      <w:r>
        <w:rPr>
          <w:rFonts w:hint="eastAsia" w:ascii="Times New Roman" w:hAnsi="Times New Roman" w:cs="Times New Roman"/>
          <w:color w:val="auto"/>
          <w:u w:val="single"/>
          <w:lang w:val="en-US" w:eastAsia="zh-CN"/>
        </w:rPr>
        <w:t>注入的一维稳定流动二维水动力弥散问题。本评价地下水环境影响预测采用一维稳定流动二维水动力弥散问题模型，因此按 照导则采用连续注入示踪剂</w:t>
      </w:r>
      <w:r>
        <w:rPr>
          <w:rFonts w:hint="default" w:ascii="Times New Roman" w:hAnsi="Times New Roman" w:cs="Times New Roman"/>
          <w:color w:val="auto"/>
          <w:u w:val="single"/>
          <w:lang w:val="en-US" w:eastAsia="zh-CN"/>
        </w:rPr>
        <w:t>—</w:t>
      </w:r>
      <w:r>
        <w:rPr>
          <w:rFonts w:hint="eastAsia" w:ascii="Times New Roman" w:hAnsi="Times New Roman" w:cs="Times New Roman"/>
          <w:color w:val="auto"/>
          <w:u w:val="single"/>
          <w:lang w:val="en-US" w:eastAsia="zh-CN"/>
        </w:rPr>
        <w:t>平面连续点源</w:t>
      </w:r>
      <w:r>
        <w:rPr>
          <w:rFonts w:hint="default" w:ascii="Times New Roman" w:hAnsi="Times New Roman" w:cs="Times New Roman"/>
          <w:color w:val="auto"/>
          <w:u w:val="single"/>
          <w:lang w:val="en-US" w:eastAsia="zh-CN"/>
        </w:rPr>
        <w:t>(D.1.2.2.2)</w:t>
      </w:r>
      <w:r>
        <w:rPr>
          <w:rFonts w:hint="eastAsia" w:ascii="Times New Roman" w:hAnsi="Times New Roman" w:cs="Times New Roman"/>
          <w:color w:val="auto"/>
          <w:u w:val="single"/>
          <w:lang w:val="en-US" w:eastAsia="zh-CN"/>
        </w:rPr>
        <w:t xml:space="preserve">数学模型： </w:t>
      </w:r>
    </w:p>
    <w:p>
      <w:pPr>
        <w:pStyle w:val="39"/>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drawing>
          <wp:inline distT="0" distB="0" distL="114300" distR="114300">
            <wp:extent cx="4509135" cy="1260475"/>
            <wp:effectExtent l="0" t="0" r="5715" b="15875"/>
            <wp:docPr id="54" name="图片 54" descr="1615816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615816420(1)"/>
                    <pic:cNvPicPr>
                      <a:picLocks noChangeAspect="1"/>
                    </pic:cNvPicPr>
                  </pic:nvPicPr>
                  <pic:blipFill>
                    <a:blip r:embed="rId55"/>
                    <a:stretch>
                      <a:fillRect/>
                    </a:stretch>
                  </pic:blipFill>
                  <pic:spPr>
                    <a:xfrm>
                      <a:off x="0" y="0"/>
                      <a:ext cx="4509135" cy="1260475"/>
                    </a:xfrm>
                    <a:prstGeom prst="rect">
                      <a:avLst/>
                    </a:prstGeom>
                  </pic:spPr>
                </pic:pic>
              </a:graphicData>
            </a:graphic>
          </wp:inline>
        </w:drawing>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式中：</w:t>
      </w:r>
      <w:r>
        <w:rPr>
          <w:rFonts w:hint="default" w:ascii="Times New Roman" w:hAnsi="Times New Roman" w:cs="Times New Roman"/>
          <w:color w:val="auto"/>
          <w:u w:val="single"/>
          <w:lang w:val="en-US" w:eastAsia="zh-CN"/>
        </w:rPr>
        <w:t>x</w:t>
      </w:r>
      <w:r>
        <w:rPr>
          <w:rFonts w:hint="eastAsia" w:ascii="Times New Roman" w:hAnsi="Times New Roman" w:cs="Times New Roman"/>
          <w:color w:val="auto"/>
          <w:u w:val="single"/>
          <w:lang w:val="en-US" w:eastAsia="zh-CN"/>
        </w:rPr>
        <w:t>，</w:t>
      </w:r>
      <w:r>
        <w:rPr>
          <w:rFonts w:hint="default" w:ascii="Times New Roman" w:hAnsi="Times New Roman" w:cs="Times New Roman"/>
          <w:color w:val="auto"/>
          <w:u w:val="single"/>
          <w:lang w:val="en-US" w:eastAsia="zh-CN"/>
        </w:rPr>
        <w:t>y—</w:t>
      </w:r>
      <w:r>
        <w:rPr>
          <w:rFonts w:hint="eastAsia" w:ascii="Times New Roman" w:hAnsi="Times New Roman" w:cs="Times New Roman"/>
          <w:color w:val="auto"/>
          <w:u w:val="single"/>
          <w:lang w:val="en-US" w:eastAsia="zh-CN"/>
        </w:rPr>
        <w:t xml:space="preserve">计算点处的位置坐标； </w:t>
      </w:r>
    </w:p>
    <w:p>
      <w:pPr>
        <w:pStyle w:val="39"/>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t—</w:t>
      </w:r>
      <w:r>
        <w:rPr>
          <w:rFonts w:hint="eastAsia" w:ascii="Times New Roman" w:hAnsi="Times New Roman" w:cs="Times New Roman"/>
          <w:color w:val="auto"/>
          <w:u w:val="single"/>
          <w:lang w:val="en-US" w:eastAsia="zh-CN"/>
        </w:rPr>
        <w:t>时间，</w:t>
      </w:r>
      <w:r>
        <w:rPr>
          <w:rFonts w:hint="default" w:ascii="Times New Roman" w:hAnsi="Times New Roman" w:cs="Times New Roman"/>
          <w:color w:val="auto"/>
          <w:u w:val="single"/>
          <w:lang w:val="en-US" w:eastAsia="zh-CN"/>
        </w:rPr>
        <w:t>d</w:t>
      </w:r>
      <w:r>
        <w:rPr>
          <w:rFonts w:hint="eastAsia" w:ascii="Times New Roman" w:hAnsi="Times New Roman" w:cs="Times New Roman"/>
          <w:color w:val="auto"/>
          <w:u w:val="single"/>
          <w:lang w:val="en-US" w:eastAsia="zh-CN"/>
        </w:rPr>
        <w:t xml:space="preserve">； </w:t>
      </w:r>
    </w:p>
    <w:p>
      <w:pPr>
        <w:pStyle w:val="39"/>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C(x</w:t>
      </w:r>
      <w:r>
        <w:rPr>
          <w:rFonts w:hint="eastAsia" w:ascii="Times New Roman" w:hAnsi="Times New Roman" w:cs="Times New Roman"/>
          <w:color w:val="auto"/>
          <w:u w:val="single"/>
          <w:lang w:val="en-US" w:eastAsia="zh-CN"/>
        </w:rPr>
        <w:t>，</w:t>
      </w:r>
      <w:r>
        <w:rPr>
          <w:rFonts w:hint="default" w:ascii="Times New Roman" w:hAnsi="Times New Roman" w:cs="Times New Roman"/>
          <w:color w:val="auto"/>
          <w:u w:val="single"/>
          <w:lang w:val="en-US" w:eastAsia="zh-CN"/>
        </w:rPr>
        <w:t>y</w:t>
      </w:r>
      <w:r>
        <w:rPr>
          <w:rFonts w:hint="eastAsia" w:ascii="Times New Roman" w:hAnsi="Times New Roman" w:cs="Times New Roman"/>
          <w:color w:val="auto"/>
          <w:u w:val="single"/>
          <w:lang w:val="en-US" w:eastAsia="zh-CN"/>
        </w:rPr>
        <w:t>，</w:t>
      </w:r>
      <w:r>
        <w:rPr>
          <w:rFonts w:hint="default" w:ascii="Times New Roman" w:hAnsi="Times New Roman" w:cs="Times New Roman"/>
          <w:color w:val="auto"/>
          <w:u w:val="single"/>
          <w:lang w:val="en-US" w:eastAsia="zh-CN"/>
        </w:rPr>
        <w:t xml:space="preserve">t)—t </w:t>
      </w:r>
      <w:r>
        <w:rPr>
          <w:rFonts w:hint="eastAsia" w:ascii="Times New Roman" w:hAnsi="Times New Roman" w:cs="Times New Roman"/>
          <w:color w:val="auto"/>
          <w:u w:val="single"/>
          <w:lang w:val="en-US" w:eastAsia="zh-CN"/>
        </w:rPr>
        <w:t xml:space="preserve">时刻点 </w:t>
      </w:r>
      <w:r>
        <w:rPr>
          <w:rFonts w:hint="default" w:ascii="Times New Roman" w:hAnsi="Times New Roman" w:cs="Times New Roman"/>
          <w:color w:val="auto"/>
          <w:u w:val="single"/>
          <w:lang w:val="en-US" w:eastAsia="zh-CN"/>
        </w:rPr>
        <w:t>x</w:t>
      </w:r>
      <w:r>
        <w:rPr>
          <w:rFonts w:hint="eastAsia" w:ascii="Times New Roman" w:hAnsi="Times New Roman" w:cs="Times New Roman"/>
          <w:color w:val="auto"/>
          <w:u w:val="single"/>
          <w:lang w:val="en-US" w:eastAsia="zh-CN"/>
        </w:rPr>
        <w:t>，</w:t>
      </w:r>
      <w:r>
        <w:rPr>
          <w:rFonts w:hint="default" w:ascii="Times New Roman" w:hAnsi="Times New Roman" w:cs="Times New Roman"/>
          <w:color w:val="auto"/>
          <w:u w:val="single"/>
          <w:lang w:val="en-US" w:eastAsia="zh-CN"/>
        </w:rPr>
        <w:t xml:space="preserve">y </w:t>
      </w:r>
      <w:r>
        <w:rPr>
          <w:rFonts w:hint="eastAsia" w:ascii="Times New Roman" w:hAnsi="Times New Roman" w:cs="Times New Roman"/>
          <w:color w:val="auto"/>
          <w:u w:val="single"/>
          <w:lang w:val="en-US" w:eastAsia="zh-CN"/>
        </w:rPr>
        <w:t>处的示踪剂浓度，</w:t>
      </w:r>
      <w:r>
        <w:rPr>
          <w:rFonts w:hint="default" w:ascii="Times New Roman" w:hAnsi="Times New Roman" w:cs="Times New Roman"/>
          <w:color w:val="auto"/>
          <w:u w:val="single"/>
          <w:lang w:val="en-US" w:eastAsia="zh-CN"/>
        </w:rPr>
        <w:t>g/L</w:t>
      </w:r>
      <w:r>
        <w:rPr>
          <w:rFonts w:hint="eastAsia" w:ascii="Times New Roman" w:hAnsi="Times New Roman" w:cs="Times New Roman"/>
          <w:color w:val="auto"/>
          <w:u w:val="single"/>
          <w:lang w:val="en-US" w:eastAsia="zh-CN"/>
        </w:rPr>
        <w:t xml:space="preserve">； </w:t>
      </w:r>
    </w:p>
    <w:p>
      <w:pPr>
        <w:pStyle w:val="39"/>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M—</w:t>
      </w:r>
      <w:r>
        <w:rPr>
          <w:rFonts w:hint="eastAsia" w:ascii="Times New Roman" w:hAnsi="Times New Roman" w:cs="Times New Roman"/>
          <w:color w:val="auto"/>
          <w:u w:val="single"/>
          <w:lang w:val="en-US" w:eastAsia="zh-CN"/>
        </w:rPr>
        <w:t>承压含水层的厚度，</w:t>
      </w:r>
      <w:r>
        <w:rPr>
          <w:rFonts w:hint="default" w:ascii="Times New Roman" w:hAnsi="Times New Roman" w:cs="Times New Roman"/>
          <w:color w:val="auto"/>
          <w:u w:val="single"/>
          <w:lang w:val="en-US" w:eastAsia="zh-CN"/>
        </w:rPr>
        <w:t>m</w:t>
      </w:r>
      <w:r>
        <w:rPr>
          <w:rFonts w:hint="eastAsia" w:ascii="Times New Roman" w:hAnsi="Times New Roman" w:cs="Times New Roman"/>
          <w:color w:val="auto"/>
          <w:u w:val="single"/>
          <w:lang w:val="en-US" w:eastAsia="zh-CN"/>
        </w:rPr>
        <w:t xml:space="preserve">； </w:t>
      </w:r>
    </w:p>
    <w:p>
      <w:pPr>
        <w:pStyle w:val="39"/>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m</w:t>
      </w:r>
      <w:r>
        <w:rPr>
          <w:rFonts w:hint="default" w:ascii="Times New Roman" w:hAnsi="Times New Roman" w:cs="Times New Roman"/>
          <w:color w:val="auto"/>
          <w:u w:val="single"/>
          <w:vertAlign w:val="subscript"/>
          <w:lang w:val="en-US" w:eastAsia="zh-CN"/>
        </w:rPr>
        <w:t>t</w:t>
      </w:r>
      <w:r>
        <w:rPr>
          <w:rFonts w:hint="default" w:ascii="Times New Roman" w:hAnsi="Times New Roman" w:cs="Times New Roman"/>
          <w:color w:val="auto"/>
          <w:u w:val="single"/>
          <w:lang w:val="en-US" w:eastAsia="zh-CN"/>
        </w:rPr>
        <w:t>—</w:t>
      </w:r>
      <w:r>
        <w:rPr>
          <w:rFonts w:hint="eastAsia" w:ascii="Times New Roman" w:hAnsi="Times New Roman" w:cs="Times New Roman"/>
          <w:color w:val="auto"/>
          <w:u w:val="single"/>
          <w:lang w:val="en-US" w:eastAsia="zh-CN"/>
        </w:rPr>
        <w:t>单位时间注入示踪剂的质量，</w:t>
      </w:r>
      <w:r>
        <w:rPr>
          <w:rFonts w:hint="default" w:ascii="Times New Roman" w:hAnsi="Times New Roman" w:cs="Times New Roman"/>
          <w:color w:val="auto"/>
          <w:u w:val="single"/>
          <w:lang w:val="en-US" w:eastAsia="zh-CN"/>
        </w:rPr>
        <w:t>kg/d</w:t>
      </w:r>
      <w:r>
        <w:rPr>
          <w:rFonts w:hint="eastAsia" w:ascii="Times New Roman" w:hAnsi="Times New Roman" w:cs="Times New Roman"/>
          <w:color w:val="auto"/>
          <w:u w:val="single"/>
          <w:lang w:val="en-US" w:eastAsia="zh-CN"/>
        </w:rPr>
        <w:t xml:space="preserve">； </w:t>
      </w:r>
    </w:p>
    <w:p>
      <w:pPr>
        <w:pStyle w:val="39"/>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u—</w:t>
      </w:r>
      <w:r>
        <w:rPr>
          <w:rFonts w:hint="eastAsia" w:ascii="Times New Roman" w:hAnsi="Times New Roman" w:cs="Times New Roman"/>
          <w:color w:val="auto"/>
          <w:u w:val="single"/>
          <w:lang w:val="en-US" w:eastAsia="zh-CN"/>
        </w:rPr>
        <w:t>水流速度，</w:t>
      </w:r>
      <w:r>
        <w:rPr>
          <w:rFonts w:hint="default" w:ascii="Times New Roman" w:hAnsi="Times New Roman" w:cs="Times New Roman"/>
          <w:color w:val="auto"/>
          <w:u w:val="single"/>
          <w:lang w:val="en-US" w:eastAsia="zh-CN"/>
        </w:rPr>
        <w:t>m/d</w:t>
      </w:r>
      <w:r>
        <w:rPr>
          <w:rFonts w:hint="eastAsia" w:ascii="Times New Roman" w:hAnsi="Times New Roman" w:cs="Times New Roman"/>
          <w:color w:val="auto"/>
          <w:u w:val="single"/>
          <w:lang w:val="en-US" w:eastAsia="zh-CN"/>
        </w:rPr>
        <w:t xml:space="preserve">； </w:t>
      </w:r>
    </w:p>
    <w:p>
      <w:pPr>
        <w:pStyle w:val="39"/>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ne—</w:t>
      </w:r>
      <w:r>
        <w:rPr>
          <w:rFonts w:hint="eastAsia" w:ascii="Times New Roman" w:hAnsi="Times New Roman" w:cs="Times New Roman"/>
          <w:color w:val="auto"/>
          <w:u w:val="single"/>
          <w:lang w:val="en-US" w:eastAsia="zh-CN"/>
        </w:rPr>
        <w:t xml:space="preserve">有效孔隙度，无量纲； </w:t>
      </w:r>
    </w:p>
    <w:p>
      <w:pPr>
        <w:pStyle w:val="39"/>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D</w:t>
      </w:r>
      <w:r>
        <w:rPr>
          <w:rFonts w:hint="default" w:ascii="Times New Roman" w:hAnsi="Times New Roman" w:cs="Times New Roman"/>
          <w:color w:val="auto"/>
          <w:u w:val="single"/>
          <w:vertAlign w:val="subscript"/>
          <w:lang w:val="en-US" w:eastAsia="zh-CN"/>
        </w:rPr>
        <w:t>L</w:t>
      </w:r>
      <w:r>
        <w:rPr>
          <w:rFonts w:hint="default" w:ascii="Times New Roman" w:hAnsi="Times New Roman" w:cs="Times New Roman"/>
          <w:color w:val="auto"/>
          <w:u w:val="single"/>
          <w:lang w:val="en-US" w:eastAsia="zh-CN"/>
        </w:rPr>
        <w:t>—</w:t>
      </w:r>
      <w:r>
        <w:rPr>
          <w:rFonts w:hint="eastAsia" w:ascii="Times New Roman" w:hAnsi="Times New Roman" w:cs="Times New Roman"/>
          <w:color w:val="auto"/>
          <w:u w:val="single"/>
          <w:lang w:val="en-US" w:eastAsia="zh-CN"/>
        </w:rPr>
        <w:t>纵向弥散系数，</w:t>
      </w:r>
      <w:r>
        <w:rPr>
          <w:rFonts w:hint="default" w:ascii="Times New Roman" w:hAnsi="Times New Roman" w:cs="Times New Roman"/>
          <w:color w:val="auto"/>
          <w:u w:val="single"/>
          <w:lang w:val="en-US" w:eastAsia="zh-CN"/>
        </w:rPr>
        <w:t>m</w:t>
      </w:r>
      <w:r>
        <w:rPr>
          <w:rFonts w:hint="default" w:ascii="Times New Roman" w:hAnsi="Times New Roman" w:cs="Times New Roman"/>
          <w:color w:val="auto"/>
          <w:u w:val="single"/>
          <w:vertAlign w:val="superscript"/>
          <w:lang w:val="en-US" w:eastAsia="zh-CN"/>
        </w:rPr>
        <w:t>2</w:t>
      </w:r>
      <w:r>
        <w:rPr>
          <w:rFonts w:hint="default" w:ascii="Times New Roman" w:hAnsi="Times New Roman" w:cs="Times New Roman"/>
          <w:color w:val="auto"/>
          <w:u w:val="single"/>
          <w:lang w:val="en-US" w:eastAsia="zh-CN"/>
        </w:rPr>
        <w:t>/d</w:t>
      </w:r>
      <w:r>
        <w:rPr>
          <w:rFonts w:hint="eastAsia" w:ascii="Times New Roman" w:hAnsi="Times New Roman" w:cs="Times New Roman"/>
          <w:color w:val="auto"/>
          <w:u w:val="single"/>
          <w:lang w:val="en-US" w:eastAsia="zh-CN"/>
        </w:rPr>
        <w:t xml:space="preserve">； </w:t>
      </w:r>
    </w:p>
    <w:p>
      <w:pPr>
        <w:pStyle w:val="39"/>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D</w:t>
      </w:r>
      <w:r>
        <w:rPr>
          <w:rFonts w:hint="default" w:ascii="Times New Roman" w:hAnsi="Times New Roman" w:cs="Times New Roman"/>
          <w:color w:val="auto"/>
          <w:u w:val="single"/>
          <w:vertAlign w:val="subscript"/>
          <w:lang w:val="en-US" w:eastAsia="zh-CN"/>
        </w:rPr>
        <w:t>T</w:t>
      </w:r>
      <w:r>
        <w:rPr>
          <w:rFonts w:hint="default" w:ascii="Times New Roman" w:hAnsi="Times New Roman" w:cs="Times New Roman"/>
          <w:color w:val="auto"/>
          <w:u w:val="single"/>
          <w:lang w:val="en-US" w:eastAsia="zh-CN"/>
        </w:rPr>
        <w:t>—</w:t>
      </w:r>
      <w:r>
        <w:rPr>
          <w:rFonts w:hint="eastAsia" w:ascii="Times New Roman" w:hAnsi="Times New Roman" w:cs="Times New Roman"/>
          <w:color w:val="auto"/>
          <w:u w:val="single"/>
          <w:lang w:val="en-US" w:eastAsia="zh-CN"/>
        </w:rPr>
        <w:t>横向</w:t>
      </w:r>
      <w:r>
        <w:rPr>
          <w:rFonts w:hint="default" w:ascii="Times New Roman" w:hAnsi="Times New Roman" w:cs="Times New Roman"/>
          <w:color w:val="auto"/>
          <w:u w:val="single"/>
          <w:lang w:val="en-US" w:eastAsia="zh-CN"/>
        </w:rPr>
        <w:t>y</w:t>
      </w:r>
      <w:r>
        <w:rPr>
          <w:rFonts w:hint="eastAsia" w:ascii="Times New Roman" w:hAnsi="Times New Roman" w:cs="Times New Roman"/>
          <w:color w:val="auto"/>
          <w:u w:val="single"/>
          <w:lang w:val="en-US" w:eastAsia="zh-CN"/>
        </w:rPr>
        <w:t>方向的弥散系数，</w:t>
      </w:r>
      <w:r>
        <w:rPr>
          <w:rFonts w:hint="default" w:ascii="Times New Roman" w:hAnsi="Times New Roman" w:cs="Times New Roman"/>
          <w:color w:val="auto"/>
          <w:u w:val="single"/>
          <w:lang w:val="en-US" w:eastAsia="zh-CN"/>
        </w:rPr>
        <w:t>m</w:t>
      </w:r>
      <w:r>
        <w:rPr>
          <w:rFonts w:hint="default" w:ascii="Times New Roman" w:hAnsi="Times New Roman" w:cs="Times New Roman"/>
          <w:color w:val="auto"/>
          <w:u w:val="single"/>
          <w:vertAlign w:val="superscript"/>
          <w:lang w:val="en-US" w:eastAsia="zh-CN"/>
        </w:rPr>
        <w:t>2</w:t>
      </w:r>
      <w:r>
        <w:rPr>
          <w:rFonts w:hint="default" w:ascii="Times New Roman" w:hAnsi="Times New Roman" w:cs="Times New Roman"/>
          <w:color w:val="auto"/>
          <w:u w:val="single"/>
          <w:lang w:val="en-US" w:eastAsia="zh-CN"/>
        </w:rPr>
        <w:t>/d</w:t>
      </w:r>
      <w:r>
        <w:rPr>
          <w:rFonts w:hint="eastAsia" w:ascii="Times New Roman" w:hAnsi="Times New Roman" w:cs="Times New Roman"/>
          <w:color w:val="auto"/>
          <w:u w:val="single"/>
          <w:lang w:val="en-US" w:eastAsia="zh-CN"/>
        </w:rPr>
        <w:t xml:space="preserve">； </w:t>
      </w:r>
    </w:p>
    <w:p>
      <w:pPr>
        <w:pStyle w:val="39"/>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π—</w:t>
      </w:r>
      <w:r>
        <w:rPr>
          <w:rFonts w:hint="eastAsia" w:ascii="Times New Roman" w:hAnsi="Times New Roman" w:cs="Times New Roman"/>
          <w:color w:val="auto"/>
          <w:u w:val="single"/>
          <w:lang w:val="en-US" w:eastAsia="zh-CN"/>
        </w:rPr>
        <w:t xml:space="preserve">圆周率； </w:t>
      </w:r>
    </w:p>
    <w:p>
      <w:pPr>
        <w:pStyle w:val="39"/>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K0</w:t>
      </w:r>
      <w:r>
        <w:rPr>
          <w:rFonts w:hint="eastAsia" w:ascii="Times New Roman" w:hAnsi="Times New Roman" w:cs="Times New Roman"/>
          <w:color w:val="auto"/>
          <w:u w:val="single"/>
          <w:lang w:val="en-US" w:eastAsia="zh-CN"/>
        </w:rPr>
        <w:t>（</w:t>
      </w:r>
      <w:r>
        <w:rPr>
          <w:rFonts w:hint="default" w:ascii="Times New Roman" w:hAnsi="Times New Roman" w:cs="Times New Roman"/>
          <w:color w:val="auto"/>
          <w:u w:val="single"/>
          <w:vertAlign w:val="baseline"/>
          <w:lang w:val="en-US" w:eastAsia="zh-CN"/>
        </w:rPr>
        <w:t>β</w:t>
      </w:r>
      <w:r>
        <w:rPr>
          <w:rFonts w:hint="eastAsia" w:ascii="Times New Roman" w:hAnsi="Times New Roman" w:cs="Times New Roman"/>
          <w:color w:val="auto"/>
          <w:u w:val="single"/>
          <w:lang w:val="en-US" w:eastAsia="zh-CN"/>
        </w:rPr>
        <w:t>）</w:t>
      </w:r>
      <w:r>
        <w:rPr>
          <w:rFonts w:hint="default" w:ascii="Times New Roman" w:hAnsi="Times New Roman" w:cs="Times New Roman"/>
          <w:color w:val="auto"/>
          <w:u w:val="single"/>
          <w:lang w:val="en-US" w:eastAsia="zh-CN"/>
        </w:rPr>
        <w:t xml:space="preserve">—第二类零阶修正贝塞尔函数； </w:t>
      </w:r>
    </w:p>
    <w:p>
      <w:pPr>
        <w:pStyle w:val="39"/>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W（u</w:t>
      </w:r>
      <w:r>
        <w:rPr>
          <w:rFonts w:hint="default" w:ascii="Times New Roman" w:hAnsi="Times New Roman" w:cs="Times New Roman"/>
          <w:color w:val="auto"/>
          <w:u w:val="single"/>
          <w:vertAlign w:val="superscript"/>
          <w:lang w:val="en-US" w:eastAsia="zh-CN"/>
        </w:rPr>
        <w:t>2</w:t>
      </w:r>
      <w:r>
        <w:rPr>
          <w:rFonts w:hint="default" w:ascii="Times New Roman" w:hAnsi="Times New Roman" w:cs="Times New Roman"/>
          <w:color w:val="auto"/>
          <w:u w:val="single"/>
          <w:vertAlign w:val="baseline"/>
          <w:lang w:val="en-US" w:eastAsia="zh-CN"/>
        </w:rPr>
        <w:t>t/4D</w:t>
      </w:r>
      <w:r>
        <w:rPr>
          <w:rFonts w:hint="default" w:ascii="Times New Roman" w:hAnsi="Times New Roman" w:cs="Times New Roman"/>
          <w:color w:val="auto"/>
          <w:u w:val="single"/>
          <w:vertAlign w:val="subscript"/>
          <w:lang w:val="en-US" w:eastAsia="zh-CN"/>
        </w:rPr>
        <w:t>L</w:t>
      </w:r>
      <w:r>
        <w:rPr>
          <w:rFonts w:hint="default" w:ascii="Times New Roman" w:hAnsi="Times New Roman" w:cs="Times New Roman"/>
          <w:color w:val="auto"/>
          <w:u w:val="single"/>
          <w:vertAlign w:val="baseline"/>
          <w:lang w:val="en-US" w:eastAsia="zh-CN"/>
        </w:rPr>
        <w:t>β</w:t>
      </w:r>
      <w:r>
        <w:rPr>
          <w:rFonts w:hint="default" w:ascii="Times New Roman" w:hAnsi="Times New Roman" w:cs="Times New Roman"/>
          <w:color w:val="auto"/>
          <w:u w:val="single"/>
          <w:lang w:val="en-US" w:eastAsia="zh-CN"/>
        </w:rPr>
        <w:t>）—</w:t>
      </w:r>
      <w:r>
        <w:rPr>
          <w:rFonts w:hint="eastAsia" w:ascii="Times New Roman" w:hAnsi="Times New Roman" w:cs="Times New Roman"/>
          <w:color w:val="auto"/>
          <w:u w:val="single"/>
          <w:lang w:val="en-US" w:eastAsia="zh-CN"/>
        </w:rPr>
        <w:t>第一类越流系统井函数。</w:t>
      </w:r>
    </w:p>
    <w:p>
      <w:pPr>
        <w:pStyle w:val="39"/>
        <w:keepNext w:val="0"/>
        <w:keepLines w:val="0"/>
        <w:pageBreakBefore w:val="0"/>
        <w:widowControl w:val="0"/>
        <w:kinsoku/>
        <w:wordWrap/>
        <w:overflowPunct/>
        <w:topLinePunct w:val="0"/>
        <w:autoSpaceDE/>
        <w:autoSpaceDN/>
        <w:bidi w:val="0"/>
        <w:adjustRightInd w:val="0"/>
        <w:snapToGrid w:val="0"/>
        <w:ind w:firstLine="720" w:firstLineChars="300"/>
        <w:textAlignment w:val="auto"/>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(6)</w:t>
      </w:r>
      <w:r>
        <w:rPr>
          <w:rFonts w:hint="eastAsia" w:ascii="Times New Roman" w:hAnsi="Times New Roman" w:cs="Times New Roman"/>
          <w:color w:val="auto"/>
          <w:u w:val="single"/>
          <w:lang w:val="en-US" w:eastAsia="zh-CN"/>
        </w:rPr>
        <w:t xml:space="preserve">、预测参数选取 </w:t>
      </w:r>
    </w:p>
    <w:p>
      <w:pPr>
        <w:pStyle w:val="39"/>
        <w:keepNext w:val="0"/>
        <w:keepLines w:val="0"/>
        <w:pageBreakBefore w:val="0"/>
        <w:widowControl w:val="0"/>
        <w:kinsoku/>
        <w:wordWrap/>
        <w:overflowPunct/>
        <w:topLinePunct w:val="0"/>
        <w:autoSpaceDE/>
        <w:autoSpaceDN/>
        <w:bidi w:val="0"/>
        <w:adjustRightInd w:val="0"/>
        <w:snapToGrid w:val="0"/>
        <w:ind w:firstLine="720" w:firstLineChars="300"/>
        <w:textAlignment w:val="auto"/>
        <w:rPr>
          <w:rFonts w:hint="default"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 xml:space="preserve">①注入的示踪剂质量 </w:t>
      </w:r>
    </w:p>
    <w:p>
      <w:pPr>
        <w:pStyle w:val="39"/>
        <w:keepNext w:val="0"/>
        <w:keepLines w:val="0"/>
        <w:pageBreakBefore w:val="0"/>
        <w:widowControl w:val="0"/>
        <w:kinsoku/>
        <w:wordWrap/>
        <w:overflowPunct/>
        <w:topLinePunct w:val="0"/>
        <w:autoSpaceDE/>
        <w:autoSpaceDN/>
        <w:bidi w:val="0"/>
        <w:adjustRightInd w:val="0"/>
        <w:snapToGrid w:val="0"/>
        <w:ind w:firstLine="720" w:firstLineChars="300"/>
        <w:textAlignment w:val="auto"/>
        <w:rPr>
          <w:rFonts w:hint="default"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非正常状况下</w:t>
      </w:r>
      <w:r>
        <w:rPr>
          <w:rFonts w:hint="default" w:ascii="Times New Roman" w:hAnsi="Times New Roman" w:cs="Times New Roman"/>
          <w:color w:val="auto"/>
          <w:u w:val="single"/>
          <w:lang w:val="en-US" w:eastAsia="zh-CN"/>
        </w:rPr>
        <w:t>CODMn</w:t>
      </w:r>
      <w:r>
        <w:rPr>
          <w:rFonts w:hint="eastAsia" w:ascii="Times New Roman" w:hAnsi="Times New Roman" w:cs="Times New Roman"/>
          <w:color w:val="auto"/>
          <w:u w:val="single"/>
          <w:lang w:val="en-US" w:eastAsia="zh-CN"/>
        </w:rPr>
        <w:t>的渗入量为</w:t>
      </w:r>
      <w:r>
        <w:rPr>
          <w:rFonts w:hint="eastAsia" w:cs="Times New Roman"/>
          <w:color w:val="auto"/>
          <w:u w:val="single"/>
          <w:lang w:val="en-US" w:eastAsia="zh-CN"/>
        </w:rPr>
        <w:t>3.6</w:t>
      </w:r>
      <w:r>
        <w:rPr>
          <w:rFonts w:hint="default" w:ascii="Times New Roman" w:hAnsi="Times New Roman" w:cs="Times New Roman"/>
          <w:color w:val="auto"/>
          <w:u w:val="single"/>
          <w:lang w:val="en-US" w:eastAsia="zh-CN"/>
        </w:rPr>
        <w:t>g/d</w:t>
      </w:r>
      <w:r>
        <w:rPr>
          <w:rFonts w:hint="eastAsia" w:ascii="Times New Roman" w:hAnsi="Times New Roman" w:cs="Times New Roman"/>
          <w:color w:val="auto"/>
          <w:u w:val="single"/>
          <w:lang w:val="en-US" w:eastAsia="zh-CN"/>
        </w:rPr>
        <w:t>，</w:t>
      </w:r>
      <w:r>
        <w:rPr>
          <w:rFonts w:hint="default" w:ascii="Times New Roman" w:hAnsi="Times New Roman" w:cs="Times New Roman"/>
          <w:color w:val="auto"/>
          <w:u w:val="single"/>
          <w:lang w:val="en-US" w:eastAsia="zh-CN"/>
        </w:rPr>
        <w:t>石油类</w:t>
      </w:r>
      <w:r>
        <w:rPr>
          <w:rFonts w:hint="eastAsia" w:ascii="Times New Roman" w:hAnsi="Times New Roman" w:cs="Times New Roman"/>
          <w:color w:val="auto"/>
          <w:u w:val="single"/>
          <w:lang w:val="en-US" w:eastAsia="zh-CN"/>
        </w:rPr>
        <w:t>的渗入量为</w:t>
      </w:r>
      <w:r>
        <w:rPr>
          <w:rFonts w:hint="eastAsia" w:cs="Times New Roman"/>
          <w:color w:val="auto"/>
          <w:u w:val="single"/>
          <w:lang w:val="en-US" w:eastAsia="zh-CN"/>
        </w:rPr>
        <w:t>0.0045</w:t>
      </w:r>
      <w:r>
        <w:rPr>
          <w:rFonts w:hint="default" w:ascii="Times New Roman" w:hAnsi="Times New Roman" w:cs="Times New Roman"/>
          <w:color w:val="auto"/>
          <w:u w:val="single"/>
          <w:lang w:val="en-US" w:eastAsia="zh-CN"/>
        </w:rPr>
        <w:t>g/d</w:t>
      </w:r>
      <w:r>
        <w:rPr>
          <w:rFonts w:hint="eastAsia" w:ascii="Times New Roman" w:hAnsi="Times New Roman" w:cs="Times New Roman"/>
          <w:color w:val="auto"/>
          <w:u w:val="single"/>
          <w:lang w:val="en-US" w:eastAsia="zh-CN"/>
        </w:rPr>
        <w:t>。</w:t>
      </w:r>
      <w:r>
        <w:rPr>
          <w:rFonts w:hint="default" w:ascii="Times New Roman" w:hAnsi="Times New Roman" w:cs="Times New Roman"/>
          <w:color w:val="auto"/>
          <w:u w:val="single"/>
          <w:lang w:val="en-US" w:eastAsia="zh-CN"/>
        </w:rPr>
        <w:t>镍</w:t>
      </w:r>
      <w:r>
        <w:rPr>
          <w:rFonts w:hint="eastAsia" w:ascii="Times New Roman" w:hAnsi="Times New Roman" w:cs="Times New Roman"/>
          <w:color w:val="auto"/>
          <w:u w:val="single"/>
          <w:lang w:val="en-US" w:eastAsia="zh-CN"/>
        </w:rPr>
        <w:t>渗入量为</w:t>
      </w:r>
      <w:r>
        <w:rPr>
          <w:rFonts w:hint="eastAsia" w:cs="Times New Roman"/>
          <w:color w:val="auto"/>
          <w:u w:val="single"/>
          <w:lang w:val="en-US" w:eastAsia="zh-CN"/>
        </w:rPr>
        <w:t>0.045</w:t>
      </w:r>
      <w:r>
        <w:rPr>
          <w:rFonts w:hint="default" w:ascii="Times New Roman" w:hAnsi="Times New Roman" w:cs="Times New Roman"/>
          <w:color w:val="auto"/>
          <w:u w:val="single"/>
          <w:lang w:val="en-US" w:eastAsia="zh-CN"/>
        </w:rPr>
        <w:t>g/d</w:t>
      </w:r>
      <w:r>
        <w:rPr>
          <w:rFonts w:hint="eastAsia" w:ascii="Times New Roman" w:hAnsi="Times New Roman" w:cs="Times New Roman"/>
          <w:color w:val="auto"/>
          <w:u w:val="single"/>
          <w:lang w:val="en-US" w:eastAsia="zh-CN"/>
        </w:rPr>
        <w:t>。</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 xml:space="preserve">②含水层厚度 </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场地内地下水类型主要为上层滞水，上层滞水主要赋存于人工填土和第四系上全新统湖沼沉积淤泥质粘土层中，主要受大气降水和地表径流补给，以蒸发及侧向径流为主要排泄途经，根据岩土工程勘察报告可知，其厚度合计约</w:t>
      </w:r>
      <w:r>
        <w:rPr>
          <w:rFonts w:hint="default" w:ascii="Times New Roman" w:hAnsi="Times New Roman" w:cs="Times New Roman"/>
          <w:color w:val="auto"/>
          <w:u w:val="single"/>
          <w:lang w:val="en-US" w:eastAsia="zh-CN"/>
        </w:rPr>
        <w:t>4.0m</w:t>
      </w:r>
      <w:r>
        <w:rPr>
          <w:rFonts w:hint="eastAsia" w:ascii="Times New Roman" w:hAnsi="Times New Roman" w:cs="Times New Roman"/>
          <w:color w:val="auto"/>
          <w:u w:val="single"/>
          <w:lang w:val="en-US" w:eastAsia="zh-CN"/>
        </w:rPr>
        <w:t xml:space="preserve">。 </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 xml:space="preserve">③有效孔隙度 </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根据项目区岩土工程勘察报告可知，孔隙度平均值</w:t>
      </w:r>
      <w:r>
        <w:rPr>
          <w:rFonts w:hint="default" w:ascii="Times New Roman" w:hAnsi="Times New Roman" w:cs="Times New Roman"/>
          <w:color w:val="auto"/>
          <w:u w:val="single"/>
          <w:lang w:val="en-US" w:eastAsia="zh-CN"/>
        </w:rPr>
        <w:t>e=0.96</w:t>
      </w:r>
      <w:r>
        <w:rPr>
          <w:rFonts w:hint="eastAsia" w:ascii="Times New Roman" w:hAnsi="Times New Roman" w:cs="Times New Roman"/>
          <w:color w:val="auto"/>
          <w:u w:val="single"/>
          <w:lang w:val="en-US" w:eastAsia="zh-CN"/>
        </w:rPr>
        <w:t xml:space="preserve">，根据公式 </w:t>
      </w:r>
      <w:r>
        <w:rPr>
          <w:rFonts w:hint="default" w:ascii="Times New Roman" w:hAnsi="Times New Roman" w:cs="Times New Roman"/>
          <w:color w:val="auto"/>
          <w:u w:val="single"/>
          <w:lang w:val="en-US" w:eastAsia="zh-CN"/>
        </w:rPr>
        <w:t>e=n/(1-n)</w:t>
      </w:r>
      <w:r>
        <w:rPr>
          <w:rFonts w:hint="eastAsia" w:ascii="Times New Roman" w:hAnsi="Times New Roman" w:cs="Times New Roman"/>
          <w:color w:val="auto"/>
          <w:u w:val="single"/>
          <w:lang w:val="en-US" w:eastAsia="zh-CN"/>
        </w:rPr>
        <w:t>，计算得出，场区含水层有效孔隙度</w:t>
      </w:r>
      <w:r>
        <w:rPr>
          <w:rFonts w:hint="default" w:ascii="Times New Roman" w:hAnsi="Times New Roman" w:cs="Times New Roman"/>
          <w:color w:val="auto"/>
          <w:u w:val="single"/>
          <w:lang w:val="en-US" w:eastAsia="zh-CN"/>
        </w:rPr>
        <w:t>n=0.49</w:t>
      </w:r>
      <w:r>
        <w:rPr>
          <w:rFonts w:hint="eastAsia" w:ascii="Times New Roman" w:hAnsi="Times New Roman" w:cs="Times New Roman"/>
          <w:color w:val="auto"/>
          <w:u w:val="single"/>
          <w:lang w:val="en-US" w:eastAsia="zh-CN"/>
        </w:rPr>
        <w:t xml:space="preserve">。 </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 xml:space="preserve">④地下水流速 </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根据相关的地质资料了解到项目区岩层的渗透系数约为</w:t>
      </w:r>
      <w:r>
        <w:rPr>
          <w:rFonts w:hint="default" w:ascii="Times New Roman" w:hAnsi="Times New Roman" w:cs="Times New Roman"/>
          <w:color w:val="auto"/>
          <w:u w:val="single"/>
          <w:lang w:val="en-US" w:eastAsia="zh-CN"/>
        </w:rPr>
        <w:t>5.79×10</w:t>
      </w:r>
      <w:r>
        <w:rPr>
          <w:rFonts w:hint="default" w:ascii="Times New Roman" w:hAnsi="Times New Roman" w:cs="Times New Roman"/>
          <w:color w:val="auto"/>
          <w:u w:val="single"/>
          <w:vertAlign w:val="superscript"/>
          <w:lang w:val="en-US" w:eastAsia="zh-CN"/>
        </w:rPr>
        <w:t>-4</w:t>
      </w:r>
      <w:r>
        <w:rPr>
          <w:rFonts w:hint="default" w:ascii="Times New Roman" w:hAnsi="Times New Roman" w:cs="Times New Roman"/>
          <w:color w:val="auto"/>
          <w:u w:val="single"/>
          <w:lang w:val="en-US" w:eastAsia="zh-CN"/>
        </w:rPr>
        <w:t>cm/s(</w:t>
      </w:r>
      <w:r>
        <w:rPr>
          <w:rFonts w:hint="eastAsia" w:ascii="Times New Roman" w:hAnsi="Times New Roman" w:cs="Times New Roman"/>
          <w:color w:val="auto"/>
          <w:u w:val="single"/>
          <w:lang w:val="en-US" w:eastAsia="zh-CN"/>
        </w:rPr>
        <w:t>即</w:t>
      </w:r>
      <w:r>
        <w:rPr>
          <w:rFonts w:hint="default" w:ascii="Times New Roman" w:hAnsi="Times New Roman" w:cs="Times New Roman"/>
          <w:color w:val="auto"/>
          <w:u w:val="single"/>
          <w:lang w:val="en-US" w:eastAsia="zh-CN"/>
        </w:rPr>
        <w:t>0.5m/d)</w:t>
      </w:r>
      <w:r>
        <w:rPr>
          <w:rFonts w:hint="eastAsia" w:ascii="Times New Roman" w:hAnsi="Times New Roman" w:cs="Times New Roman"/>
          <w:color w:val="auto"/>
          <w:u w:val="single"/>
          <w:lang w:val="en-US" w:eastAsia="zh-CN"/>
        </w:rPr>
        <w:t>。场区附近水力坡度约为</w:t>
      </w:r>
      <w:r>
        <w:rPr>
          <w:rFonts w:hint="default" w:ascii="Times New Roman" w:hAnsi="Times New Roman" w:cs="Times New Roman"/>
          <w:color w:val="auto"/>
          <w:u w:val="single"/>
          <w:lang w:val="en-US" w:eastAsia="zh-CN"/>
        </w:rPr>
        <w:t>1.2×10</w:t>
      </w:r>
      <w:r>
        <w:rPr>
          <w:rFonts w:hint="default" w:ascii="Times New Roman" w:hAnsi="Times New Roman" w:cs="Times New Roman"/>
          <w:color w:val="auto"/>
          <w:u w:val="single"/>
          <w:vertAlign w:val="superscript"/>
          <w:lang w:val="en-US" w:eastAsia="zh-CN"/>
        </w:rPr>
        <w:t>-4</w:t>
      </w:r>
      <w:r>
        <w:rPr>
          <w:rFonts w:hint="eastAsia" w:ascii="Times New Roman" w:hAnsi="Times New Roman" w:cs="Times New Roman"/>
          <w:color w:val="auto"/>
          <w:u w:val="single"/>
          <w:lang w:val="en-US" w:eastAsia="zh-CN"/>
        </w:rPr>
        <w:t>，因此，地下水的渗透流速：</w:t>
      </w:r>
      <w:r>
        <w:rPr>
          <w:rFonts w:hint="default" w:ascii="Times New Roman" w:hAnsi="Times New Roman" w:cs="Times New Roman"/>
          <w:color w:val="auto"/>
          <w:u w:val="single"/>
          <w:lang w:val="en-US" w:eastAsia="zh-CN"/>
        </w:rPr>
        <w:t>V=KI=0.5m/d×0.00012=0.6×10</w:t>
      </w:r>
      <w:r>
        <w:rPr>
          <w:rFonts w:hint="default" w:ascii="Times New Roman" w:hAnsi="Times New Roman" w:cs="Times New Roman"/>
          <w:color w:val="auto"/>
          <w:u w:val="single"/>
          <w:vertAlign w:val="superscript"/>
          <w:lang w:val="en-US" w:eastAsia="zh-CN"/>
        </w:rPr>
        <w:t>-4</w:t>
      </w:r>
      <w:r>
        <w:rPr>
          <w:rFonts w:hint="default" w:ascii="Times New Roman" w:hAnsi="Times New Roman" w:cs="Times New Roman"/>
          <w:color w:val="auto"/>
          <w:u w:val="single"/>
          <w:lang w:val="en-US" w:eastAsia="zh-CN"/>
        </w:rPr>
        <w:t>m/d</w:t>
      </w:r>
      <w:r>
        <w:rPr>
          <w:rFonts w:hint="eastAsia" w:ascii="Times New Roman" w:hAnsi="Times New Roman" w:cs="Times New Roman"/>
          <w:color w:val="auto"/>
          <w:u w:val="single"/>
          <w:lang w:val="en-US" w:eastAsia="zh-CN"/>
        </w:rPr>
        <w:t>，平均实际流速：</w:t>
      </w:r>
      <w:r>
        <w:rPr>
          <w:rFonts w:hint="default" w:ascii="Times New Roman" w:hAnsi="Times New Roman" w:cs="Times New Roman"/>
          <w:color w:val="auto"/>
          <w:u w:val="single"/>
          <w:lang w:val="en-US" w:eastAsia="zh-CN"/>
        </w:rPr>
        <w:t>u=V/n=1.2×10</w:t>
      </w:r>
      <w:r>
        <w:rPr>
          <w:rFonts w:hint="default" w:ascii="Times New Roman" w:hAnsi="Times New Roman" w:cs="Times New Roman"/>
          <w:color w:val="auto"/>
          <w:u w:val="single"/>
          <w:vertAlign w:val="superscript"/>
          <w:lang w:val="en-US" w:eastAsia="zh-CN"/>
        </w:rPr>
        <w:t>-4</w:t>
      </w:r>
      <w:r>
        <w:rPr>
          <w:rFonts w:hint="default" w:ascii="Times New Roman" w:hAnsi="Times New Roman" w:cs="Times New Roman"/>
          <w:color w:val="auto"/>
          <w:u w:val="single"/>
          <w:lang w:val="en-US" w:eastAsia="zh-CN"/>
        </w:rPr>
        <w:t>m/d</w:t>
      </w:r>
      <w:r>
        <w:rPr>
          <w:rFonts w:hint="eastAsia" w:ascii="Times New Roman" w:hAnsi="Times New Roman" w:cs="Times New Roman"/>
          <w:color w:val="auto"/>
          <w:u w:val="single"/>
          <w:lang w:val="en-US" w:eastAsia="zh-CN"/>
        </w:rPr>
        <w:t xml:space="preserve">。 </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 xml:space="preserve">⑤弥散系数 </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弥散度是地下水动力弥散理论中用来描述空隙介质弥散特征的一个重要参数，具有尺度效应性质，它反映了含水层介质空间结构的非均质性，本次评价结合工作区的实际条件参照《地下水弥散系数的测定》</w:t>
      </w:r>
      <w:r>
        <w:rPr>
          <w:rFonts w:hint="default" w:ascii="Times New Roman" w:hAnsi="Times New Roman" w:cs="Times New Roman"/>
          <w:color w:val="auto"/>
          <w:u w:val="single"/>
          <w:lang w:val="en-US" w:eastAsia="zh-CN"/>
        </w:rPr>
        <w:t>(</w:t>
      </w:r>
      <w:r>
        <w:rPr>
          <w:rFonts w:hint="eastAsia" w:ascii="Times New Roman" w:hAnsi="Times New Roman" w:cs="Times New Roman"/>
          <w:color w:val="auto"/>
          <w:u w:val="single"/>
          <w:lang w:val="en-US" w:eastAsia="zh-CN"/>
        </w:rPr>
        <w:t>宋树林等</w:t>
      </w:r>
      <w:r>
        <w:rPr>
          <w:rFonts w:hint="default" w:ascii="Times New Roman" w:hAnsi="Times New Roman" w:cs="Times New Roman"/>
          <w:color w:val="auto"/>
          <w:u w:val="single"/>
          <w:lang w:val="en-US" w:eastAsia="zh-CN"/>
        </w:rPr>
        <w:t>)</w:t>
      </w:r>
      <w:r>
        <w:rPr>
          <w:rFonts w:hint="eastAsia" w:ascii="Times New Roman" w:hAnsi="Times New Roman" w:cs="Times New Roman"/>
          <w:color w:val="auto"/>
          <w:u w:val="single"/>
          <w:lang w:val="en-US" w:eastAsia="zh-CN"/>
        </w:rPr>
        <w:t>中不同类型土壤的纵向弥散系数资料，详情见下表。</w:t>
      </w:r>
    </w:p>
    <w:p>
      <w:pPr>
        <w:pStyle w:val="3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u w:val="single"/>
          <w:lang w:val="en-US" w:eastAsia="zh-CN"/>
        </w:rPr>
      </w:pPr>
    </w:p>
    <w:p>
      <w:pPr>
        <w:pStyle w:val="3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u w:val="single"/>
          <w:lang w:val="en-US" w:eastAsia="zh-CN"/>
        </w:rPr>
      </w:pPr>
      <w:r>
        <w:rPr>
          <w:rFonts w:hint="default" w:ascii="Times New Roman" w:hAnsi="Times New Roman" w:cs="Times New Roman"/>
          <w:b/>
          <w:bCs/>
          <w:color w:val="auto"/>
          <w:sz w:val="21"/>
          <w:szCs w:val="21"/>
          <w:u w:val="single"/>
          <w:lang w:val="en-US" w:eastAsia="zh-CN"/>
        </w:rPr>
        <w:t>表</w:t>
      </w:r>
      <w:r>
        <w:rPr>
          <w:rFonts w:hint="eastAsia" w:cs="Times New Roman"/>
          <w:b/>
          <w:bCs/>
          <w:color w:val="auto"/>
          <w:sz w:val="21"/>
          <w:szCs w:val="21"/>
          <w:u w:val="single"/>
          <w:lang w:val="en-US" w:eastAsia="zh-CN"/>
        </w:rPr>
        <w:t xml:space="preserve">6-5 </w:t>
      </w:r>
      <w:r>
        <w:rPr>
          <w:rFonts w:hint="eastAsia" w:ascii="Times New Roman" w:hAnsi="Times New Roman" w:cs="Times New Roman"/>
          <w:b/>
          <w:bCs/>
          <w:color w:val="auto"/>
          <w:sz w:val="21"/>
          <w:szCs w:val="21"/>
          <w:u w:val="single"/>
          <w:lang w:val="en-US" w:eastAsia="zh-CN"/>
        </w:rPr>
        <w:t>各类土质纵向弥散系数经验值</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60"/>
        <w:gridCol w:w="2960"/>
        <w:gridCol w:w="2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2960" w:type="dxa"/>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土壤类型</w:t>
            </w:r>
          </w:p>
        </w:tc>
        <w:tc>
          <w:tcPr>
            <w:tcW w:w="29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kern w:val="0"/>
                <w:sz w:val="21"/>
                <w:szCs w:val="21"/>
                <w:u w:val="none"/>
                <w:lang w:val="en-US" w:eastAsia="zh-CN" w:bidi="ar"/>
              </w:rPr>
              <w:t>纵向弥散系数(m</w:t>
            </w:r>
            <w:r>
              <w:rPr>
                <w:rFonts w:hint="default" w:ascii="Times New Roman" w:hAnsi="Times New Roman" w:eastAsia="宋体" w:cs="Times New Roman"/>
                <w:b w:val="0"/>
                <w:bCs w:val="0"/>
                <w:color w:val="auto"/>
                <w:kern w:val="0"/>
                <w:sz w:val="21"/>
                <w:szCs w:val="21"/>
                <w:u w:val="none"/>
                <w:vertAlign w:val="superscript"/>
                <w:lang w:val="en-US" w:eastAsia="zh-CN" w:bidi="ar"/>
              </w:rPr>
              <w:t>2</w:t>
            </w:r>
            <w:r>
              <w:rPr>
                <w:rFonts w:hint="default" w:ascii="Times New Roman" w:hAnsi="Times New Roman" w:eastAsia="宋体" w:cs="Times New Roman"/>
                <w:b w:val="0"/>
                <w:bCs w:val="0"/>
                <w:color w:val="auto"/>
                <w:kern w:val="0"/>
                <w:sz w:val="21"/>
                <w:szCs w:val="21"/>
                <w:u w:val="none"/>
                <w:lang w:val="en-US" w:eastAsia="zh-CN" w:bidi="ar"/>
              </w:rPr>
              <w:t>/d)</w:t>
            </w:r>
          </w:p>
        </w:tc>
        <w:tc>
          <w:tcPr>
            <w:tcW w:w="296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kern w:val="0"/>
                <w:sz w:val="21"/>
                <w:szCs w:val="21"/>
                <w:u w:val="none"/>
                <w:lang w:val="en-US" w:eastAsia="zh-CN" w:bidi="ar"/>
              </w:rPr>
              <w:t>横向弥散系数(m</w:t>
            </w:r>
            <w:r>
              <w:rPr>
                <w:rFonts w:hint="default" w:ascii="Times New Roman" w:hAnsi="Times New Roman" w:eastAsia="宋体" w:cs="Times New Roman"/>
                <w:b w:val="0"/>
                <w:bCs w:val="0"/>
                <w:color w:val="auto"/>
                <w:kern w:val="0"/>
                <w:sz w:val="21"/>
                <w:szCs w:val="21"/>
                <w:u w:val="none"/>
                <w:vertAlign w:val="superscript"/>
                <w:lang w:val="en-US" w:eastAsia="zh-CN" w:bidi="ar"/>
              </w:rPr>
              <w:t>2</w:t>
            </w:r>
            <w:r>
              <w:rPr>
                <w:rFonts w:hint="default" w:ascii="Times New Roman" w:hAnsi="Times New Roman" w:eastAsia="宋体" w:cs="Times New Roman"/>
                <w:b w:val="0"/>
                <w:bCs w:val="0"/>
                <w:color w:val="auto"/>
                <w:kern w:val="0"/>
                <w:sz w:val="21"/>
                <w:szCs w:val="21"/>
                <w:u w:val="none"/>
                <w:lang w:val="en-US" w:eastAsia="zh-CN"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2960" w:type="dxa"/>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细沙</w:t>
            </w:r>
          </w:p>
        </w:tc>
        <w:tc>
          <w:tcPr>
            <w:tcW w:w="2960" w:type="dxa"/>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0.05-0.5</w:t>
            </w:r>
          </w:p>
        </w:tc>
        <w:tc>
          <w:tcPr>
            <w:tcW w:w="2960" w:type="dxa"/>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0.005-0.01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3" w:hRule="atLeast"/>
          <w:jc w:val="center"/>
        </w:trPr>
        <w:tc>
          <w:tcPr>
            <w:tcW w:w="2960" w:type="dxa"/>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中粗砂</w:t>
            </w:r>
          </w:p>
        </w:tc>
        <w:tc>
          <w:tcPr>
            <w:tcW w:w="2960" w:type="dxa"/>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0.2-1</w:t>
            </w:r>
          </w:p>
        </w:tc>
        <w:tc>
          <w:tcPr>
            <w:tcW w:w="2960" w:type="dxa"/>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0.05-0.1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2960" w:type="dxa"/>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lang w:val="en-US" w:eastAsia="zh-CN"/>
              </w:rPr>
              <w:t>砂砾</w:t>
            </w:r>
          </w:p>
        </w:tc>
        <w:tc>
          <w:tcPr>
            <w:tcW w:w="2960" w:type="dxa"/>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1-5</w:t>
            </w:r>
          </w:p>
        </w:tc>
        <w:tc>
          <w:tcPr>
            <w:tcW w:w="2960" w:type="dxa"/>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0.2-0.1</w:t>
            </w:r>
          </w:p>
        </w:tc>
      </w:tr>
    </w:tbl>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本项目所在区域土壤类型参考细砂，确定该区域纵向弥散系数</w:t>
      </w:r>
      <w:r>
        <w:rPr>
          <w:rFonts w:hint="default" w:ascii="Times New Roman" w:hAnsi="Times New Roman" w:cs="Times New Roman"/>
          <w:color w:val="auto"/>
          <w:u w:val="single"/>
          <w:lang w:val="en-US" w:eastAsia="zh-CN"/>
        </w:rPr>
        <w:t>D</w:t>
      </w:r>
      <w:r>
        <w:rPr>
          <w:rFonts w:hint="default" w:ascii="Times New Roman" w:hAnsi="Times New Roman" w:cs="Times New Roman"/>
          <w:color w:val="auto"/>
          <w:u w:val="single"/>
          <w:vertAlign w:val="subscript"/>
          <w:lang w:val="en-US" w:eastAsia="zh-CN"/>
        </w:rPr>
        <w:t>L</w:t>
      </w:r>
      <w:r>
        <w:rPr>
          <w:rFonts w:hint="eastAsia" w:ascii="Times New Roman" w:hAnsi="Times New Roman" w:cs="Times New Roman"/>
          <w:color w:val="auto"/>
          <w:u w:val="single"/>
          <w:lang w:val="en-US" w:eastAsia="zh-CN"/>
        </w:rPr>
        <w:t>为</w:t>
      </w:r>
      <w:r>
        <w:rPr>
          <w:rFonts w:hint="default" w:ascii="Times New Roman" w:hAnsi="Times New Roman" w:cs="Times New Roman"/>
          <w:color w:val="auto"/>
          <w:u w:val="single"/>
          <w:lang w:val="en-US" w:eastAsia="zh-CN"/>
        </w:rPr>
        <w:t>0.5m</w:t>
      </w:r>
      <w:r>
        <w:rPr>
          <w:rFonts w:hint="default" w:ascii="Times New Roman" w:hAnsi="Times New Roman" w:cs="Times New Roman"/>
          <w:color w:val="auto"/>
          <w:u w:val="single"/>
          <w:vertAlign w:val="superscript"/>
          <w:lang w:val="en-US" w:eastAsia="zh-CN"/>
        </w:rPr>
        <w:t>2</w:t>
      </w:r>
      <w:r>
        <w:rPr>
          <w:rFonts w:hint="default" w:ascii="Times New Roman" w:hAnsi="Times New Roman" w:cs="Times New Roman"/>
          <w:color w:val="auto"/>
          <w:u w:val="single"/>
          <w:lang w:val="en-US" w:eastAsia="zh-CN"/>
        </w:rPr>
        <w:t>/d</w:t>
      </w:r>
      <w:r>
        <w:rPr>
          <w:rFonts w:hint="eastAsia" w:ascii="Times New Roman" w:hAnsi="Times New Roman" w:cs="Times New Roman"/>
          <w:color w:val="auto"/>
          <w:u w:val="single"/>
          <w:lang w:val="en-US" w:eastAsia="zh-CN"/>
        </w:rPr>
        <w:t>，横向弥散系数</w:t>
      </w:r>
      <w:r>
        <w:rPr>
          <w:rFonts w:hint="default" w:ascii="Times New Roman" w:hAnsi="Times New Roman" w:cs="Times New Roman"/>
          <w:color w:val="auto"/>
          <w:u w:val="single"/>
          <w:lang w:val="en-US" w:eastAsia="zh-CN"/>
        </w:rPr>
        <w:t>D</w:t>
      </w:r>
      <w:r>
        <w:rPr>
          <w:rFonts w:hint="default" w:ascii="Times New Roman" w:hAnsi="Times New Roman" w:cs="Times New Roman"/>
          <w:color w:val="auto"/>
          <w:u w:val="single"/>
          <w:vertAlign w:val="subscript"/>
          <w:lang w:val="en-US" w:eastAsia="zh-CN"/>
        </w:rPr>
        <w:t>T</w:t>
      </w:r>
      <w:r>
        <w:rPr>
          <w:rFonts w:hint="eastAsia" w:ascii="Times New Roman" w:hAnsi="Times New Roman" w:cs="Times New Roman"/>
          <w:color w:val="auto"/>
          <w:u w:val="single"/>
          <w:lang w:val="en-US" w:eastAsia="zh-CN"/>
        </w:rPr>
        <w:t>为</w:t>
      </w:r>
      <w:r>
        <w:rPr>
          <w:rFonts w:hint="default" w:ascii="Times New Roman" w:hAnsi="Times New Roman" w:cs="Times New Roman"/>
          <w:color w:val="auto"/>
          <w:u w:val="single"/>
          <w:lang w:val="en-US" w:eastAsia="zh-CN"/>
        </w:rPr>
        <w:t>0.01m</w:t>
      </w:r>
      <w:r>
        <w:rPr>
          <w:rFonts w:hint="default" w:ascii="Times New Roman" w:hAnsi="Times New Roman" w:cs="Times New Roman"/>
          <w:color w:val="auto"/>
          <w:u w:val="single"/>
          <w:vertAlign w:val="superscript"/>
          <w:lang w:val="en-US" w:eastAsia="zh-CN"/>
        </w:rPr>
        <w:t>2</w:t>
      </w:r>
      <w:r>
        <w:rPr>
          <w:rFonts w:hint="default" w:ascii="Times New Roman" w:hAnsi="Times New Roman" w:cs="Times New Roman"/>
          <w:color w:val="auto"/>
          <w:u w:val="single"/>
          <w:lang w:val="en-US" w:eastAsia="zh-CN"/>
        </w:rPr>
        <w:t>/d</w:t>
      </w:r>
      <w:r>
        <w:rPr>
          <w:rFonts w:hint="eastAsia" w:ascii="Times New Roman" w:hAnsi="Times New Roman" w:cs="Times New Roman"/>
          <w:color w:val="auto"/>
          <w:u w:val="single"/>
          <w:lang w:val="en-US" w:eastAsia="zh-CN"/>
        </w:rPr>
        <w:t xml:space="preserve">。 </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(7)</w:t>
      </w:r>
      <w:r>
        <w:rPr>
          <w:rFonts w:hint="eastAsia" w:ascii="Times New Roman" w:hAnsi="Times New Roman" w:cs="Times New Roman"/>
          <w:color w:val="auto"/>
          <w:u w:val="single"/>
          <w:lang w:val="en-US" w:eastAsia="zh-CN"/>
        </w:rPr>
        <w:t xml:space="preserve">、预测结果及分析 </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非正常状况下，污水处理系统沉淀池防渗设施出现破损情况下的</w:t>
      </w:r>
      <w:r>
        <w:rPr>
          <w:rFonts w:hint="default" w:ascii="Times New Roman" w:hAnsi="Times New Roman" w:cs="Times New Roman"/>
          <w:color w:val="auto"/>
          <w:u w:val="single"/>
          <w:lang w:val="en-US" w:eastAsia="zh-CN"/>
        </w:rPr>
        <w:t>CODMn</w:t>
      </w:r>
      <w:r>
        <w:rPr>
          <w:rFonts w:hint="eastAsia" w:ascii="Times New Roman" w:hAnsi="Times New Roman" w:cs="Times New Roman"/>
          <w:color w:val="auto"/>
          <w:u w:val="single"/>
          <w:lang w:val="en-US" w:eastAsia="zh-CN"/>
        </w:rPr>
        <w:t>、</w:t>
      </w:r>
      <w:r>
        <w:rPr>
          <w:rFonts w:hint="eastAsia" w:cs="Times New Roman"/>
          <w:color w:val="auto"/>
          <w:u w:val="single"/>
          <w:lang w:val="en-US" w:eastAsia="zh-CN"/>
        </w:rPr>
        <w:t>石油类、镍</w:t>
      </w:r>
      <w:r>
        <w:rPr>
          <w:rFonts w:hint="eastAsia" w:ascii="Times New Roman" w:hAnsi="Times New Roman" w:cs="Times New Roman"/>
          <w:color w:val="auto"/>
          <w:u w:val="single"/>
          <w:lang w:val="en-US" w:eastAsia="zh-CN"/>
        </w:rPr>
        <w:t xml:space="preserve">的预测结果如下： </w:t>
      </w:r>
    </w:p>
    <w:p>
      <w:pPr>
        <w:pStyle w:val="39"/>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u w:val="single"/>
          <w:lang w:val="en-US" w:eastAsia="zh-CN"/>
        </w:rPr>
      </w:pPr>
      <w:r>
        <w:rPr>
          <w:rFonts w:hint="default" w:ascii="Times New Roman" w:hAnsi="Times New Roman" w:cs="Times New Roman"/>
          <w:b/>
          <w:bCs/>
          <w:color w:val="auto"/>
          <w:sz w:val="21"/>
          <w:szCs w:val="21"/>
          <w:u w:val="single"/>
          <w:lang w:val="en-US" w:eastAsia="zh-CN"/>
        </w:rPr>
        <w:t>表</w:t>
      </w:r>
      <w:r>
        <w:rPr>
          <w:rFonts w:hint="eastAsia" w:ascii="Times New Roman" w:hAnsi="Times New Roman" w:cs="Times New Roman"/>
          <w:b/>
          <w:bCs/>
          <w:color w:val="auto"/>
          <w:sz w:val="21"/>
          <w:szCs w:val="21"/>
          <w:u w:val="single"/>
          <w:lang w:val="en-US" w:eastAsia="zh-CN"/>
        </w:rPr>
        <w:t>6-5非正常状况下污染物对地下水影响范围预测表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1840"/>
        <w:gridCol w:w="1454"/>
        <w:gridCol w:w="1531"/>
        <w:gridCol w:w="1466"/>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预测因子</w:t>
            </w:r>
          </w:p>
        </w:tc>
        <w:tc>
          <w:tcPr>
            <w:tcW w:w="1950"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质量标准（mg/L）</w:t>
            </w:r>
          </w:p>
        </w:tc>
        <w:tc>
          <w:tcPr>
            <w:tcW w:w="164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预测时间（d）</w:t>
            </w:r>
          </w:p>
        </w:tc>
        <w:tc>
          <w:tcPr>
            <w:tcW w:w="164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预测最大值（mg/L）</w:t>
            </w:r>
          </w:p>
        </w:tc>
        <w:tc>
          <w:tcPr>
            <w:tcW w:w="164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超标距离</w:t>
            </w:r>
            <w:r>
              <w:rPr>
                <w:rFonts w:hint="eastAsia" w:cs="Times New Roman"/>
                <w:b w:val="0"/>
                <w:bCs w:val="0"/>
                <w:color w:val="auto"/>
                <w:sz w:val="21"/>
                <w:szCs w:val="21"/>
                <w:u w:val="none"/>
                <w:vertAlign w:val="baseline"/>
                <w:lang w:val="en-US" w:eastAsia="zh-CN"/>
              </w:rPr>
              <w:t>（m）</w:t>
            </w:r>
          </w:p>
        </w:tc>
        <w:tc>
          <w:tcPr>
            <w:tcW w:w="164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超标面积（m</w:t>
            </w:r>
            <w:r>
              <w:rPr>
                <w:rFonts w:hint="eastAsia" w:ascii="Times New Roman" w:hAnsi="Times New Roman" w:eastAsia="宋体" w:cs="Times New Roman"/>
                <w:b w:val="0"/>
                <w:bCs w:val="0"/>
                <w:color w:val="auto"/>
                <w:sz w:val="21"/>
                <w:szCs w:val="21"/>
                <w:u w:val="none"/>
                <w:vertAlign w:val="superscript"/>
                <w:lang w:val="en-US" w:eastAsia="zh-CN"/>
              </w:rPr>
              <w:t>2</w:t>
            </w:r>
            <w:r>
              <w:rPr>
                <w:rFonts w:hint="eastAsia" w:ascii="Times New Roman" w:hAnsi="Times New Roman" w:eastAsia="宋体" w:cs="Times New Roman"/>
                <w:b w:val="0"/>
                <w:bCs w:val="0"/>
                <w:color w:val="auto"/>
                <w:sz w:val="21"/>
                <w:szCs w:val="21"/>
                <w:u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vMerge w:val="restart"/>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COD</w:t>
            </w:r>
            <w:r>
              <w:rPr>
                <w:rFonts w:hint="eastAsia" w:ascii="Times New Roman" w:hAnsi="Times New Roman" w:eastAsia="宋体" w:cs="Times New Roman"/>
                <w:b w:val="0"/>
                <w:bCs w:val="0"/>
                <w:color w:val="auto"/>
                <w:sz w:val="21"/>
                <w:szCs w:val="21"/>
                <w:u w:val="none"/>
                <w:vertAlign w:val="subscript"/>
                <w:lang w:val="en-US" w:eastAsia="zh-CN"/>
              </w:rPr>
              <w:t>Mn</w:t>
            </w:r>
          </w:p>
        </w:tc>
        <w:tc>
          <w:tcPr>
            <w:tcW w:w="1950" w:type="dxa"/>
            <w:vMerge w:val="restart"/>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3.0</w:t>
            </w:r>
          </w:p>
        </w:tc>
        <w:tc>
          <w:tcPr>
            <w:tcW w:w="164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100</w:t>
            </w:r>
          </w:p>
        </w:tc>
        <w:tc>
          <w:tcPr>
            <w:tcW w:w="164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0.0150</w:t>
            </w:r>
          </w:p>
        </w:tc>
        <w:tc>
          <w:tcPr>
            <w:tcW w:w="16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未超标</w:t>
            </w:r>
          </w:p>
        </w:tc>
        <w:tc>
          <w:tcPr>
            <w:tcW w:w="16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vMerge w:val="continue"/>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1950" w:type="dxa"/>
            <w:vMerge w:val="continue"/>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164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365</w:t>
            </w:r>
          </w:p>
        </w:tc>
        <w:tc>
          <w:tcPr>
            <w:tcW w:w="164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0.494</w:t>
            </w:r>
          </w:p>
        </w:tc>
        <w:tc>
          <w:tcPr>
            <w:tcW w:w="16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未超标</w:t>
            </w:r>
          </w:p>
        </w:tc>
        <w:tc>
          <w:tcPr>
            <w:tcW w:w="16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vMerge w:val="continue"/>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1950" w:type="dxa"/>
            <w:vMerge w:val="continue"/>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164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1000</w:t>
            </w:r>
          </w:p>
        </w:tc>
        <w:tc>
          <w:tcPr>
            <w:tcW w:w="164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1.66</w:t>
            </w:r>
          </w:p>
        </w:tc>
        <w:tc>
          <w:tcPr>
            <w:tcW w:w="16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未超标</w:t>
            </w:r>
          </w:p>
        </w:tc>
        <w:tc>
          <w:tcPr>
            <w:tcW w:w="16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vMerge w:val="restart"/>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石油类</w:t>
            </w:r>
          </w:p>
        </w:tc>
        <w:tc>
          <w:tcPr>
            <w:tcW w:w="1950" w:type="dxa"/>
            <w:vMerge w:val="restart"/>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0.05（参照GB3838-2002中执行Ⅲ类标准</w:t>
            </w:r>
          </w:p>
        </w:tc>
        <w:tc>
          <w:tcPr>
            <w:tcW w:w="164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100</w:t>
            </w:r>
          </w:p>
        </w:tc>
        <w:tc>
          <w:tcPr>
            <w:tcW w:w="164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0.0000187</w:t>
            </w:r>
          </w:p>
        </w:tc>
        <w:tc>
          <w:tcPr>
            <w:tcW w:w="16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未超标</w:t>
            </w:r>
          </w:p>
        </w:tc>
        <w:tc>
          <w:tcPr>
            <w:tcW w:w="16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vMerge w:val="continue"/>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1950" w:type="dxa"/>
            <w:vMerge w:val="continue"/>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164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365</w:t>
            </w:r>
          </w:p>
        </w:tc>
        <w:tc>
          <w:tcPr>
            <w:tcW w:w="164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0.000617</w:t>
            </w:r>
          </w:p>
        </w:tc>
        <w:tc>
          <w:tcPr>
            <w:tcW w:w="16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未超标</w:t>
            </w:r>
          </w:p>
        </w:tc>
        <w:tc>
          <w:tcPr>
            <w:tcW w:w="16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vMerge w:val="continue"/>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1950" w:type="dxa"/>
            <w:vMerge w:val="continue"/>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164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1000</w:t>
            </w:r>
          </w:p>
        </w:tc>
        <w:tc>
          <w:tcPr>
            <w:tcW w:w="164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0.00207</w:t>
            </w:r>
          </w:p>
        </w:tc>
        <w:tc>
          <w:tcPr>
            <w:tcW w:w="16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未超标</w:t>
            </w:r>
          </w:p>
        </w:tc>
        <w:tc>
          <w:tcPr>
            <w:tcW w:w="16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vMerge w:val="restart"/>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镍</w:t>
            </w:r>
          </w:p>
        </w:tc>
        <w:tc>
          <w:tcPr>
            <w:tcW w:w="1950" w:type="dxa"/>
            <w:vMerge w:val="restart"/>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0.02</w:t>
            </w:r>
          </w:p>
        </w:tc>
        <w:tc>
          <w:tcPr>
            <w:tcW w:w="164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100</w:t>
            </w:r>
          </w:p>
        </w:tc>
        <w:tc>
          <w:tcPr>
            <w:tcW w:w="164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0.000187</w:t>
            </w:r>
          </w:p>
        </w:tc>
        <w:tc>
          <w:tcPr>
            <w:tcW w:w="16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未超标</w:t>
            </w:r>
          </w:p>
        </w:tc>
        <w:tc>
          <w:tcPr>
            <w:tcW w:w="16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vMerge w:val="continue"/>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1950" w:type="dxa"/>
            <w:vMerge w:val="continue"/>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164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365</w:t>
            </w:r>
          </w:p>
        </w:tc>
        <w:tc>
          <w:tcPr>
            <w:tcW w:w="164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0.00617</w:t>
            </w:r>
          </w:p>
        </w:tc>
        <w:tc>
          <w:tcPr>
            <w:tcW w:w="16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未超标</w:t>
            </w:r>
          </w:p>
        </w:tc>
        <w:tc>
          <w:tcPr>
            <w:tcW w:w="16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vMerge w:val="continue"/>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1950" w:type="dxa"/>
            <w:vMerge w:val="continue"/>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164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1000</w:t>
            </w:r>
          </w:p>
        </w:tc>
        <w:tc>
          <w:tcPr>
            <w:tcW w:w="164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0.0207</w:t>
            </w:r>
          </w:p>
        </w:tc>
        <w:tc>
          <w:tcPr>
            <w:tcW w:w="16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未超标</w:t>
            </w:r>
          </w:p>
        </w:tc>
        <w:tc>
          <w:tcPr>
            <w:tcW w:w="164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未超标</w:t>
            </w:r>
          </w:p>
        </w:tc>
      </w:tr>
    </w:tbl>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当污水处理系统沉淀池防渗层发生破损的情况下，经采用采用瞬时注入示踪剂</w:t>
      </w:r>
      <w:r>
        <w:rPr>
          <w:rFonts w:hint="default" w:ascii="Times New Roman" w:hAnsi="Times New Roman" w:cs="Times New Roman"/>
          <w:color w:val="auto"/>
          <w:u w:val="single"/>
          <w:lang w:val="en-US" w:eastAsia="zh-CN"/>
        </w:rPr>
        <w:t>—</w:t>
      </w:r>
      <w:r>
        <w:rPr>
          <w:rFonts w:hint="eastAsia" w:ascii="Times New Roman" w:hAnsi="Times New Roman" w:cs="Times New Roman"/>
          <w:color w:val="auto"/>
          <w:u w:val="single"/>
          <w:lang w:val="en-US" w:eastAsia="zh-CN"/>
        </w:rPr>
        <w:t>平面瞬时点源数学模型预测，在污染发生后的第</w:t>
      </w:r>
      <w:r>
        <w:rPr>
          <w:rFonts w:hint="default" w:ascii="Times New Roman" w:hAnsi="Times New Roman" w:cs="Times New Roman"/>
          <w:color w:val="auto"/>
          <w:u w:val="single"/>
          <w:lang w:val="en-US" w:eastAsia="zh-CN"/>
        </w:rPr>
        <w:t>100d</w:t>
      </w:r>
      <w:r>
        <w:rPr>
          <w:rFonts w:hint="eastAsia" w:ascii="Times New Roman" w:hAnsi="Times New Roman" w:cs="Times New Roman"/>
          <w:color w:val="auto"/>
          <w:u w:val="single"/>
          <w:lang w:val="en-US" w:eastAsia="zh-CN"/>
        </w:rPr>
        <w:t>、</w:t>
      </w:r>
      <w:r>
        <w:rPr>
          <w:rFonts w:hint="default" w:ascii="Times New Roman" w:hAnsi="Times New Roman" w:cs="Times New Roman"/>
          <w:color w:val="auto"/>
          <w:u w:val="single"/>
          <w:lang w:val="en-US" w:eastAsia="zh-CN"/>
        </w:rPr>
        <w:t>365d</w:t>
      </w:r>
      <w:r>
        <w:rPr>
          <w:rFonts w:hint="eastAsia" w:ascii="Times New Roman" w:hAnsi="Times New Roman" w:cs="Times New Roman"/>
          <w:color w:val="auto"/>
          <w:u w:val="single"/>
          <w:lang w:val="en-US" w:eastAsia="zh-CN"/>
        </w:rPr>
        <w:t>及</w:t>
      </w:r>
      <w:r>
        <w:rPr>
          <w:rFonts w:hint="default" w:ascii="Times New Roman" w:hAnsi="Times New Roman" w:cs="Times New Roman"/>
          <w:color w:val="auto"/>
          <w:u w:val="single"/>
          <w:lang w:val="en-US" w:eastAsia="zh-CN"/>
        </w:rPr>
        <w:t>1000d</w:t>
      </w:r>
      <w:r>
        <w:rPr>
          <w:rFonts w:hint="eastAsia" w:cs="Times New Roman"/>
          <w:color w:val="auto"/>
          <w:u w:val="single"/>
          <w:lang w:val="en-US" w:eastAsia="zh-CN"/>
        </w:rPr>
        <w:t>时，</w:t>
      </w:r>
      <w:r>
        <w:rPr>
          <w:rFonts w:hint="default" w:ascii="Times New Roman" w:hAnsi="Times New Roman" w:cs="Times New Roman"/>
          <w:color w:val="auto"/>
          <w:u w:val="single"/>
          <w:lang w:val="en-US" w:eastAsia="zh-CN"/>
        </w:rPr>
        <w:t>COD</w:t>
      </w:r>
      <w:r>
        <w:rPr>
          <w:rFonts w:hint="default" w:ascii="Times New Roman" w:hAnsi="Times New Roman" w:cs="Times New Roman"/>
          <w:color w:val="auto"/>
          <w:u w:val="single"/>
          <w:vertAlign w:val="subscript"/>
          <w:lang w:val="en-US" w:eastAsia="zh-CN"/>
        </w:rPr>
        <w:t>Mn</w:t>
      </w:r>
      <w:r>
        <w:rPr>
          <w:rFonts w:hint="eastAsia" w:cs="Times New Roman"/>
          <w:color w:val="auto"/>
          <w:u w:val="single"/>
          <w:lang w:val="en-US" w:eastAsia="zh-CN"/>
        </w:rPr>
        <w:t>及石油类</w:t>
      </w:r>
      <w:r>
        <w:rPr>
          <w:rFonts w:hint="eastAsia" w:ascii="Times New Roman" w:hAnsi="Times New Roman" w:cs="Times New Roman"/>
          <w:color w:val="auto"/>
          <w:u w:val="single"/>
          <w:lang w:val="en-US" w:eastAsia="zh-CN"/>
        </w:rPr>
        <w:t>厂界浓度均无超标。镍厂界浓度自962天开始超标</w:t>
      </w:r>
      <w:r>
        <w:rPr>
          <w:rFonts w:hint="eastAsia" w:cs="Times New Roman"/>
          <w:color w:val="auto"/>
          <w:u w:val="single"/>
          <w:lang w:val="en-US" w:eastAsia="zh-CN"/>
        </w:rPr>
        <w:t>。</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lang w:val="en-US" w:eastAsia="zh-CN"/>
        </w:rPr>
      </w:pPr>
      <w:r>
        <w:rPr>
          <w:rFonts w:hint="eastAsia" w:cs="Times New Roman"/>
          <w:color w:val="auto"/>
          <w:u w:val="single"/>
          <w:lang w:val="en-US" w:eastAsia="zh-CN"/>
        </w:rPr>
        <w:t>本项目</w:t>
      </w:r>
      <w:r>
        <w:rPr>
          <w:rFonts w:hint="default" w:ascii="Times New Roman" w:hAnsi="Times New Roman" w:cs="Times New Roman"/>
          <w:color w:val="auto"/>
          <w:u w:val="single"/>
          <w:lang w:val="en-US" w:eastAsia="zh-CN"/>
        </w:rPr>
        <w:t>生产厂区天然地层主要为填土和粉质粘土，渗透系数很小（10</w:t>
      </w:r>
      <w:r>
        <w:rPr>
          <w:rFonts w:hint="default" w:ascii="Times New Roman" w:hAnsi="Times New Roman" w:cs="Times New Roman"/>
          <w:color w:val="auto"/>
          <w:u w:val="single"/>
          <w:vertAlign w:val="superscript"/>
          <w:lang w:val="en-US" w:eastAsia="zh-CN"/>
        </w:rPr>
        <w:t>-5</w:t>
      </w:r>
      <w:r>
        <w:rPr>
          <w:rFonts w:hint="default" w:ascii="Times New Roman" w:hAnsi="Times New Roman" w:cs="Times New Roman"/>
          <w:color w:val="auto"/>
          <w:u w:val="single"/>
          <w:lang w:val="en-US" w:eastAsia="zh-CN"/>
        </w:rPr>
        <w:t>cm/s~10</w:t>
      </w:r>
      <w:r>
        <w:rPr>
          <w:rFonts w:hint="default" w:ascii="Times New Roman" w:hAnsi="Times New Roman" w:cs="Times New Roman"/>
          <w:color w:val="auto"/>
          <w:u w:val="single"/>
          <w:vertAlign w:val="superscript"/>
          <w:lang w:val="en-US" w:eastAsia="zh-CN"/>
        </w:rPr>
        <w:t>-7</w:t>
      </w:r>
      <w:r>
        <w:rPr>
          <w:rFonts w:hint="default" w:ascii="Times New Roman" w:hAnsi="Times New Roman" w:cs="Times New Roman"/>
          <w:color w:val="auto"/>
          <w:u w:val="single"/>
          <w:lang w:val="en-US" w:eastAsia="zh-CN"/>
        </w:rPr>
        <w:t>cm/s），且粘土吸附污染物能力较强，通过粘土的吸附滞留以及生物降解等综合作用，污染物渗入包气带后的迁移速率较小。污染物大量泄漏时将导致下渗速度小于排放速率，造成地面溢流，此时及时</w:t>
      </w:r>
      <w:r>
        <w:rPr>
          <w:rFonts w:hint="eastAsia" w:cs="Times New Roman"/>
          <w:color w:val="auto"/>
          <w:u w:val="single"/>
          <w:lang w:val="en-US" w:eastAsia="zh-CN"/>
        </w:rPr>
        <w:t>将</w:t>
      </w:r>
      <w:r>
        <w:rPr>
          <w:rFonts w:hint="default" w:ascii="Times New Roman" w:hAnsi="Times New Roman" w:cs="Times New Roman"/>
          <w:color w:val="auto"/>
          <w:u w:val="single"/>
          <w:lang w:val="en-US" w:eastAsia="zh-CN"/>
        </w:rPr>
        <w:t>污水疏导至事故水池，</w:t>
      </w:r>
      <w:r>
        <w:rPr>
          <w:rFonts w:hint="eastAsia" w:cs="Times New Roman"/>
          <w:color w:val="auto"/>
          <w:u w:val="single"/>
          <w:lang w:val="en-US" w:eastAsia="zh-CN"/>
        </w:rPr>
        <w:t>可</w:t>
      </w:r>
      <w:r>
        <w:rPr>
          <w:rFonts w:hint="default" w:ascii="Times New Roman" w:hAnsi="Times New Roman" w:cs="Times New Roman"/>
          <w:color w:val="auto"/>
          <w:u w:val="single"/>
          <w:lang w:val="en-US" w:eastAsia="zh-CN"/>
        </w:rPr>
        <w:t>避免污水扩散至非污染区造成包气带污染。生产装置区域和仓储区域周边的明沟可以阻挡大量物料泄漏时的扩散，及时采取回收和导流等措施，一周之内挖除受污染土壤并进行清洁土壤置换后，可以降低污染物对地下水的影响。因此，事故泄漏时的废水或者污染物进入包气带的量较少，厂区天然地层防渗能力较强，降低了污染物各向扩散的速度，便于厂区采取及时措施以控制污染。</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在采取及时回收等措施的前提下，事故状态下（不破坏防渗层的情况下）污染物泄漏不会对重点污染源区和非污染区地下水产生不利影响。</w:t>
      </w:r>
      <w:r>
        <w:rPr>
          <w:rFonts w:hint="eastAsia" w:cs="Times New Roman"/>
          <w:color w:val="auto"/>
          <w:u w:val="single"/>
          <w:lang w:val="en-US" w:eastAsia="zh-CN"/>
        </w:rPr>
        <w:t>同时，</w:t>
      </w:r>
      <w:r>
        <w:rPr>
          <w:rFonts w:hint="eastAsia" w:ascii="Times New Roman" w:hAnsi="Times New Roman" w:cs="Times New Roman"/>
          <w:color w:val="auto"/>
          <w:u w:val="single"/>
          <w:lang w:val="en-US" w:eastAsia="zh-CN"/>
        </w:rPr>
        <w:t>由于本次预测未考虑土壤对污染物的吸附、解析及微生物对污染物的降解作用等，因此预测结果偏大。实际上，污染物对地下水的影响比预测结果小。由于本项目泄漏源强较小，当防渗层发生破损的情况下，污染源运移的距离较短，受影响的范围较小，可控制在项目厂区范围内，项目建设对地下水的环境影响在可接受范围内。</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rPr>
      </w:pPr>
      <w:r>
        <w:rPr>
          <w:rFonts w:hint="default" w:ascii="Times New Roman" w:hAnsi="Times New Roman" w:cs="Times New Roman"/>
          <w:color w:val="auto"/>
          <w:u w:val="single"/>
        </w:rPr>
        <w:t>（3）区域地下水水井水质影响分析</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rPr>
      </w:pPr>
      <w:r>
        <w:rPr>
          <w:rFonts w:hint="default" w:ascii="Times New Roman" w:hAnsi="Times New Roman" w:cs="Times New Roman"/>
          <w:color w:val="auto"/>
          <w:u w:val="single"/>
        </w:rPr>
        <w:t>本项目地下水评价范围内无集中式饮用水源，无矿泉水、温泉等特殊地下水资源，周边居民不饮用地下水。由于项目已运行多年，运行期间污水产生量较小，防渗措施相对比较完善，因此对周边地下水影响较小。结合环境质量现状监测数据分析可知，项目附近水井各项指标均达到《地下水质量标准（GB14848-93）》中的Ⅲ类标准。项目运行对周边地下水水井水质影响较小。</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）结论</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已从工艺装置的设计、管道设计、地面硬化等各方面对本项目所在生产及储存区域进行了较为全面的防渗措施，本项目生产装置区、原辅材料库、危险废物暂存间、的地面均采用防渗漏水泥地坪，各污水均由污水管道收集，送至厂内污水处理设施处理，不会发生外排废水对地下水渗漏，装置区实施了清污分流，后期洁净雨水随污水管网外排，不会造成雨水直接冲刷及渗漏影响地下水。</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后期生产应加强管理，规范排污，避免设备的跑冒滴漏等影响，对生产地面、污水管网等定期检查，防止由于设备破损泄露等产生污染，禁止生产废水漫入周边未设防渗措施的地坪，禁止将废渣堆存于未设防渗措施的地坪。严格按照环评的要求对项目区周边的地下水实施定期监测，一旦发现污染，应启动应急措施，排查污染，并采取有效的处理措施防止污染水体扩散。</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在规范生产、排污及加强监管等前提下，本项目生产对项目区域地下水影响不大。</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rPr>
      </w:pPr>
      <w:bookmarkStart w:id="497" w:name="_Toc14345"/>
      <w:r>
        <w:rPr>
          <w:rFonts w:hint="default" w:ascii="Times New Roman" w:hAnsi="Times New Roman" w:cs="Times New Roman"/>
          <w:color w:val="auto"/>
        </w:rPr>
        <w:t>声环境影响分析</w:t>
      </w:r>
      <w:bookmarkEnd w:id="497"/>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预测内容</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厂界噪声。</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预测模式</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根据《环境影响评价技术导则 声环境》(HJ2.4-2009)中的有关规定，本次评价根据声源的分布及噪声传播规律，将车间声源当成点声源。</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①噪声衰减预测模式</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根据各声源噪声排放特点，并结合《环境影响评价技术导则声环境》(HJ2.4-2009)的要求，本评价采用点声源预测模式预测本工程噪声对环境的影响。</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模式如下：</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1447800" cy="401320"/>
            <wp:effectExtent l="9525" t="9525" r="9525" b="27305"/>
            <wp:docPr id="250" name="图片 17" descr="说明: 说明: 说明: 说明: C:\Users\ADMINI~1\AppData\Local\Temp\ksohtml\wps9D2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7" descr="说明: 说明: 说明: 说明: C:\Users\ADMINI~1\AppData\Local\Temp\ksohtml\wps9D24.tmp.png"/>
                    <pic:cNvPicPr>
                      <a:picLocks noChangeAspect="1"/>
                    </pic:cNvPicPr>
                  </pic:nvPicPr>
                  <pic:blipFill>
                    <a:blip r:embed="rId56" cstate="print"/>
                    <a:stretch>
                      <a:fillRect/>
                    </a:stretch>
                  </pic:blipFill>
                  <pic:spPr>
                    <a:xfrm>
                      <a:off x="0" y="0"/>
                      <a:ext cx="1447800" cy="401320"/>
                    </a:xfrm>
                    <a:prstGeom prst="rect">
                      <a:avLst/>
                    </a:prstGeom>
                    <a:noFill/>
                    <a:ln w="3175" cap="flat" cmpd="sng">
                      <a:solidFill>
                        <a:srgbClr val="FFFFFF"/>
                      </a:solidFill>
                      <a:prstDash val="solid"/>
                      <a:miter/>
                      <a:headEnd type="none" w="med" len="med"/>
                      <a:tailEnd type="none" w="med" len="med"/>
                    </a:ln>
                  </pic:spPr>
                </pic:pic>
              </a:graphicData>
            </a:graphic>
          </wp:inline>
        </w:drawing>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式中：</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Lp(r)—受声点声压级，dB(A)；</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Lp(r0)—参考点r0处声压级，dB(A)；</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r—受声点至声源距离，m；</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r0—参考点至声源距离，m。</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②噪声叠加模式</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对两个以上多个声源同时存在时，其预测点总声压级采用下面公式：</w:t>
      </w:r>
    </w:p>
    <w:p>
      <w:pPr>
        <w:pStyle w:val="39"/>
        <w:bidi w:val="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1854200" cy="509270"/>
            <wp:effectExtent l="0" t="0" r="0" b="4445"/>
            <wp:docPr id="251" name="图片 18" descr="说明: 说明: 说明: 说明: wps7D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8" descr="说明: 说明: 说明: 说明: wps7D62"/>
                    <pic:cNvPicPr>
                      <a:picLocks noChangeAspect="1"/>
                    </pic:cNvPicPr>
                  </pic:nvPicPr>
                  <pic:blipFill>
                    <a:blip r:embed="rId57" cstate="print"/>
                    <a:stretch>
                      <a:fillRect/>
                    </a:stretch>
                  </pic:blipFill>
                  <pic:spPr>
                    <a:xfrm>
                      <a:off x="0" y="0"/>
                      <a:ext cx="1854200" cy="509270"/>
                    </a:xfrm>
                    <a:prstGeom prst="rect">
                      <a:avLst/>
                    </a:prstGeom>
                    <a:noFill/>
                    <a:ln>
                      <a:noFill/>
                    </a:ln>
                  </pic:spPr>
                </pic:pic>
              </a:graphicData>
            </a:graphic>
          </wp:inline>
        </w:drawing>
      </w:r>
    </w:p>
    <w:p>
      <w:pPr>
        <w:pStyle w:val="39"/>
        <w:bidi w:val="0"/>
        <w:rPr>
          <w:rFonts w:hint="default" w:ascii="Times New Roman" w:hAnsi="Times New Roman" w:cs="Times New Roman"/>
          <w:color w:val="auto"/>
        </w:rPr>
      </w:pPr>
      <w:r>
        <w:rPr>
          <w:rFonts w:hint="default" w:ascii="Times New Roman" w:hAnsi="Times New Roman" w:cs="Times New Roman"/>
          <w:color w:val="auto"/>
        </w:rPr>
        <w:t>式中：Lpi</w:t>
      </w:r>
      <w:r>
        <w:rPr>
          <w:rFonts w:hint="default" w:ascii="Times New Roman" w:hAnsi="Times New Roman" w:cs="Times New Roman"/>
          <w:color w:val="auto"/>
          <w:lang w:eastAsia="zh-CN"/>
        </w:rPr>
        <w:t>——</w:t>
      </w:r>
      <w:r>
        <w:rPr>
          <w:rFonts w:hint="default" w:ascii="Times New Roman" w:hAnsi="Times New Roman" w:cs="Times New Roman"/>
          <w:color w:val="auto"/>
        </w:rPr>
        <w:t>第i个声源的噪声值，dB(A)；</w:t>
      </w:r>
    </w:p>
    <w:p>
      <w:pPr>
        <w:pStyle w:val="39"/>
        <w:bidi w:val="0"/>
        <w:rPr>
          <w:rFonts w:hint="default" w:ascii="Times New Roman" w:hAnsi="Times New Roman" w:cs="Times New Roman"/>
          <w:color w:val="auto"/>
        </w:rPr>
      </w:pPr>
      <w:r>
        <w:rPr>
          <w:rFonts w:hint="default" w:ascii="Times New Roman" w:hAnsi="Times New Roman" w:cs="Times New Roman"/>
          <w:color w:val="auto"/>
        </w:rPr>
        <w:t>L</w:t>
      </w:r>
      <w:r>
        <w:rPr>
          <w:rFonts w:hint="default" w:ascii="Times New Roman" w:hAnsi="Times New Roman" w:cs="Times New Roman"/>
          <w:color w:val="auto"/>
          <w:lang w:eastAsia="zh-CN"/>
        </w:rPr>
        <w:t>——</w:t>
      </w:r>
      <w:r>
        <w:rPr>
          <w:rFonts w:hint="default" w:ascii="Times New Roman" w:hAnsi="Times New Roman" w:cs="Times New Roman"/>
          <w:color w:val="auto"/>
        </w:rPr>
        <w:t>噪声叠加值；</w:t>
      </w:r>
    </w:p>
    <w:p>
      <w:pPr>
        <w:pStyle w:val="39"/>
        <w:bidi w:val="0"/>
        <w:rPr>
          <w:rFonts w:hint="default" w:ascii="Times New Roman" w:hAnsi="Times New Roman" w:cs="Times New Roman"/>
          <w:color w:val="auto"/>
        </w:rPr>
      </w:pPr>
      <w:r>
        <w:rPr>
          <w:rFonts w:hint="default" w:ascii="Times New Roman" w:hAnsi="Times New Roman" w:cs="Times New Roman"/>
          <w:color w:val="auto"/>
        </w:rPr>
        <w:t>n</w:t>
      </w:r>
      <w:r>
        <w:rPr>
          <w:rFonts w:hint="default" w:ascii="Times New Roman" w:hAnsi="Times New Roman" w:cs="Times New Roman"/>
          <w:color w:val="auto"/>
          <w:lang w:eastAsia="zh-CN"/>
        </w:rPr>
        <w:t>——</w:t>
      </w:r>
      <w:r>
        <w:rPr>
          <w:rFonts w:hint="default" w:ascii="Times New Roman" w:hAnsi="Times New Roman" w:cs="Times New Roman"/>
          <w:color w:val="auto"/>
        </w:rPr>
        <w:t>声源个数。</w:t>
      </w:r>
    </w:p>
    <w:p>
      <w:pPr>
        <w:pStyle w:val="39"/>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cs="Times New Roman"/>
          <w:color w:val="auto"/>
        </w:rPr>
        <w:t>噪声源情况</w:t>
      </w:r>
    </w:p>
    <w:p>
      <w:pPr>
        <w:pStyle w:val="39"/>
        <w:bidi w:val="0"/>
        <w:rPr>
          <w:rFonts w:hint="default" w:ascii="Times New Roman" w:hAnsi="Times New Roman" w:cs="Times New Roman"/>
          <w:color w:val="auto"/>
        </w:rPr>
      </w:pPr>
      <w:r>
        <w:rPr>
          <w:rFonts w:hint="default" w:ascii="Times New Roman" w:hAnsi="Times New Roman" w:cs="Times New Roman"/>
          <w:color w:val="auto"/>
        </w:rPr>
        <w:t>1）噪声源强</w:t>
      </w:r>
    </w:p>
    <w:p>
      <w:pPr>
        <w:pStyle w:val="39"/>
        <w:bidi w:val="0"/>
        <w:rPr>
          <w:rFonts w:hint="default" w:ascii="Times New Roman" w:hAnsi="Times New Roman" w:cs="Times New Roman"/>
          <w:color w:val="auto"/>
        </w:rPr>
      </w:pPr>
      <w:r>
        <w:rPr>
          <w:rFonts w:hint="default" w:ascii="Times New Roman" w:hAnsi="Times New Roman" w:cs="Times New Roman"/>
          <w:color w:val="auto"/>
        </w:rPr>
        <w:t>本项目噪声源强情况见表5.2-13。</w:t>
      </w:r>
    </w:p>
    <w:p>
      <w:pPr>
        <w:pStyle w:val="39"/>
        <w:bidi w:val="0"/>
        <w:rPr>
          <w:rFonts w:hint="default" w:ascii="Times New Roman" w:hAnsi="Times New Roman" w:cs="Times New Roman"/>
          <w:color w:val="auto"/>
        </w:rPr>
      </w:pPr>
      <w:r>
        <w:rPr>
          <w:rFonts w:hint="default" w:ascii="Times New Roman" w:hAnsi="Times New Roman" w:cs="Times New Roman"/>
          <w:color w:val="auto"/>
        </w:rPr>
        <w:t>2）声源与预测点之间的距离</w:t>
      </w:r>
    </w:p>
    <w:p>
      <w:pPr>
        <w:pStyle w:val="39"/>
        <w:bidi w:val="0"/>
        <w:rPr>
          <w:rFonts w:hint="default" w:ascii="Times New Roman" w:hAnsi="Times New Roman" w:cs="Times New Roman"/>
          <w:color w:val="auto"/>
        </w:rPr>
      </w:pPr>
      <w:r>
        <w:rPr>
          <w:rFonts w:hint="default" w:ascii="Times New Roman" w:hAnsi="Times New Roman" w:cs="Times New Roman"/>
          <w:color w:val="auto"/>
        </w:rPr>
        <w:t>本项目各噪声源与预测点间的距离见下表。</w:t>
      </w:r>
    </w:p>
    <w:p>
      <w:pPr>
        <w:pStyle w:val="14"/>
        <w:bidi w:val="0"/>
        <w:rPr>
          <w:rFonts w:hint="default" w:ascii="Times New Roman" w:hAnsi="Times New Roman" w:cs="Times New Roman"/>
          <w:color w:val="auto"/>
          <w:lang w:val="zh-CN"/>
        </w:rPr>
      </w:pPr>
      <w:r>
        <w:rPr>
          <w:rFonts w:hint="default" w:ascii="Times New Roman" w:hAnsi="Times New Roman" w:cs="Times New Roman"/>
          <w:color w:val="auto"/>
          <w:lang w:val="zh-CN"/>
        </w:rPr>
        <w:t>表</w:t>
      </w:r>
      <w:r>
        <w:rPr>
          <w:rFonts w:hint="default" w:ascii="Times New Roman" w:hAnsi="Times New Roman" w:cs="Times New Roman"/>
          <w:color w:val="auto"/>
          <w:lang w:val="en-US" w:eastAsia="zh-CN"/>
        </w:rPr>
        <w:t xml:space="preserve">6-5 </w:t>
      </w:r>
      <w:r>
        <w:rPr>
          <w:rFonts w:hint="default" w:ascii="Times New Roman" w:hAnsi="Times New Roman" w:cs="Times New Roman"/>
          <w:color w:val="auto"/>
          <w:lang w:val="zh-CN"/>
        </w:rPr>
        <w:t xml:space="preserve"> 本项目各噪声源与预测点间的距离表    单位：m</w:t>
      </w:r>
    </w:p>
    <w:tbl>
      <w:tblPr>
        <w:tblStyle w:val="24"/>
        <w:tblW w:w="881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57" w:type="dxa"/>
          <w:bottom w:w="0" w:type="dxa"/>
          <w:right w:w="57" w:type="dxa"/>
        </w:tblCellMar>
      </w:tblPr>
      <w:tblGrid>
        <w:gridCol w:w="2790"/>
        <w:gridCol w:w="1507"/>
        <w:gridCol w:w="1507"/>
        <w:gridCol w:w="1508"/>
        <w:gridCol w:w="150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755" w:hRule="exact"/>
          <w:tblHeader/>
          <w:jc w:val="center"/>
        </w:trPr>
        <w:tc>
          <w:tcPr>
            <w:tcW w:w="279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声源距离</w:t>
            </w:r>
          </w:p>
        </w:tc>
        <w:tc>
          <w:tcPr>
            <w:tcW w:w="150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东厂界</w:t>
            </w:r>
          </w:p>
        </w:tc>
        <w:tc>
          <w:tcPr>
            <w:tcW w:w="150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南厂界</w:t>
            </w:r>
          </w:p>
        </w:tc>
        <w:tc>
          <w:tcPr>
            <w:tcW w:w="1508"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西厂界</w:t>
            </w:r>
          </w:p>
        </w:tc>
        <w:tc>
          <w:tcPr>
            <w:tcW w:w="150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北厂界</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478" w:hRule="exact"/>
          <w:jc w:val="center"/>
        </w:trPr>
        <w:tc>
          <w:tcPr>
            <w:tcW w:w="279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搅拌机</w:t>
            </w:r>
          </w:p>
        </w:tc>
        <w:tc>
          <w:tcPr>
            <w:tcW w:w="150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c>
          <w:tcPr>
            <w:tcW w:w="150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1508"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55</w:t>
            </w:r>
          </w:p>
        </w:tc>
        <w:tc>
          <w:tcPr>
            <w:tcW w:w="150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451" w:hRule="exact"/>
          <w:jc w:val="center"/>
        </w:trPr>
        <w:tc>
          <w:tcPr>
            <w:tcW w:w="279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各类</w:t>
            </w:r>
            <w:r>
              <w:rPr>
                <w:rFonts w:hint="default" w:ascii="Times New Roman" w:hAnsi="Times New Roman" w:cs="Times New Roman"/>
                <w:color w:val="auto"/>
                <w:sz w:val="21"/>
                <w:szCs w:val="21"/>
              </w:rPr>
              <w:t>泵</w:t>
            </w:r>
          </w:p>
        </w:tc>
        <w:tc>
          <w:tcPr>
            <w:tcW w:w="150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c>
          <w:tcPr>
            <w:tcW w:w="150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1508"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55</w:t>
            </w:r>
          </w:p>
        </w:tc>
        <w:tc>
          <w:tcPr>
            <w:tcW w:w="150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411" w:hRule="exact"/>
          <w:jc w:val="center"/>
        </w:trPr>
        <w:tc>
          <w:tcPr>
            <w:tcW w:w="279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冷凝器</w:t>
            </w:r>
          </w:p>
        </w:tc>
        <w:tc>
          <w:tcPr>
            <w:tcW w:w="150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c>
          <w:tcPr>
            <w:tcW w:w="150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1508"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55</w:t>
            </w:r>
          </w:p>
        </w:tc>
        <w:tc>
          <w:tcPr>
            <w:tcW w:w="1507"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r>
    </w:tbl>
    <w:p>
      <w:pPr>
        <w:pStyle w:val="39"/>
        <w:keepNext w:val="0"/>
        <w:keepLines w:val="0"/>
        <w:pageBreakBefore w:val="0"/>
        <w:widowControl w:val="0"/>
        <w:kinsoku/>
        <w:wordWrap/>
        <w:overflowPunct/>
        <w:topLinePunct w:val="0"/>
        <w:autoSpaceDE/>
        <w:autoSpaceDN/>
        <w:bidi w:val="0"/>
        <w:adjustRightInd/>
        <w:snapToGrid/>
        <w:spacing w:before="157" w:beforeLines="50"/>
        <w:textAlignment w:val="auto"/>
        <w:outlineLvl w:val="9"/>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w:t>
      </w:r>
      <w:r>
        <w:rPr>
          <w:rFonts w:hint="default" w:ascii="Times New Roman" w:hAnsi="Times New Roman" w:cs="Times New Roman"/>
          <w:color w:val="auto"/>
        </w:rPr>
        <w:t>预测结果</w:t>
      </w:r>
    </w:p>
    <w:p>
      <w:pPr>
        <w:pStyle w:val="39"/>
        <w:bidi w:val="0"/>
        <w:rPr>
          <w:rFonts w:hint="default" w:ascii="Times New Roman" w:hAnsi="Times New Roman" w:cs="Times New Roman"/>
          <w:color w:val="auto"/>
        </w:rPr>
      </w:pPr>
      <w:r>
        <w:rPr>
          <w:rFonts w:hint="default" w:ascii="Times New Roman" w:hAnsi="Times New Roman" w:cs="Times New Roman"/>
          <w:color w:val="auto"/>
        </w:rPr>
        <w:t>声源对各测点的噪声贡献值预测结果见下表。</w:t>
      </w:r>
    </w:p>
    <w:p>
      <w:pPr>
        <w:pStyle w:val="14"/>
        <w:bidi w:val="0"/>
        <w:rPr>
          <w:rFonts w:hint="default" w:ascii="Times New Roman" w:hAnsi="Times New Roman" w:cs="Times New Roman"/>
          <w:color w:val="auto"/>
          <w:lang w:val="zh-CN"/>
        </w:rPr>
      </w:pPr>
      <w:r>
        <w:rPr>
          <w:rFonts w:hint="default" w:ascii="Times New Roman" w:hAnsi="Times New Roman" w:cs="Times New Roman"/>
          <w:color w:val="auto"/>
          <w:lang w:val="zh-CN"/>
        </w:rPr>
        <w:t>表</w:t>
      </w:r>
      <w:r>
        <w:rPr>
          <w:rFonts w:hint="default" w:ascii="Times New Roman" w:hAnsi="Times New Roman" w:cs="Times New Roman"/>
          <w:color w:val="auto"/>
          <w:lang w:val="en-US" w:eastAsia="zh-CN"/>
        </w:rPr>
        <w:t>6-6</w:t>
      </w:r>
      <w:r>
        <w:rPr>
          <w:rFonts w:hint="default" w:ascii="Times New Roman" w:hAnsi="Times New Roman" w:cs="Times New Roman"/>
          <w:color w:val="auto"/>
          <w:lang w:val="zh-CN"/>
        </w:rPr>
        <w:t xml:space="preserve">  声源对各测点的噪声贡献值预测结果表    单位：dB（A）</w:t>
      </w:r>
    </w:p>
    <w:tbl>
      <w:tblPr>
        <w:tblStyle w:val="24"/>
        <w:tblW w:w="8758"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57" w:type="dxa"/>
          <w:bottom w:w="0" w:type="dxa"/>
          <w:right w:w="57" w:type="dxa"/>
        </w:tblCellMar>
      </w:tblPr>
      <w:tblGrid>
        <w:gridCol w:w="2219"/>
        <w:gridCol w:w="1335"/>
        <w:gridCol w:w="1335"/>
        <w:gridCol w:w="1380"/>
        <w:gridCol w:w="1365"/>
        <w:gridCol w:w="112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608" w:hRule="atLeast"/>
          <w:tblHeader/>
          <w:jc w:val="center"/>
        </w:trPr>
        <w:tc>
          <w:tcPr>
            <w:tcW w:w="221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声源</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噪声贡献值</w:t>
            </w:r>
          </w:p>
        </w:tc>
        <w:tc>
          <w:tcPr>
            <w:tcW w:w="133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数量（台）</w:t>
            </w:r>
          </w:p>
        </w:tc>
        <w:tc>
          <w:tcPr>
            <w:tcW w:w="1335" w:type="dxa"/>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东厂界</w:t>
            </w:r>
          </w:p>
        </w:tc>
        <w:tc>
          <w:tcPr>
            <w:tcW w:w="1380" w:type="dxa"/>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南厂界</w:t>
            </w:r>
          </w:p>
        </w:tc>
        <w:tc>
          <w:tcPr>
            <w:tcW w:w="1365" w:type="dxa"/>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西厂界</w:t>
            </w:r>
          </w:p>
        </w:tc>
        <w:tc>
          <w:tcPr>
            <w:tcW w:w="1124" w:type="dxa"/>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北厂界</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420" w:hRule="atLeast"/>
          <w:jc w:val="center"/>
        </w:trPr>
        <w:tc>
          <w:tcPr>
            <w:tcW w:w="221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搅拌机</w:t>
            </w:r>
          </w:p>
        </w:tc>
        <w:tc>
          <w:tcPr>
            <w:tcW w:w="133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335" w:type="dxa"/>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45.5</w:t>
            </w:r>
          </w:p>
        </w:tc>
        <w:tc>
          <w:tcPr>
            <w:tcW w:w="1380" w:type="dxa"/>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35.0</w:t>
            </w:r>
          </w:p>
        </w:tc>
        <w:tc>
          <w:tcPr>
            <w:tcW w:w="1365" w:type="dxa"/>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40.2</w:t>
            </w:r>
          </w:p>
        </w:tc>
        <w:tc>
          <w:tcPr>
            <w:tcW w:w="1124" w:type="dxa"/>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36.9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419" w:hRule="atLeast"/>
          <w:jc w:val="center"/>
        </w:trPr>
        <w:tc>
          <w:tcPr>
            <w:tcW w:w="221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各类</w:t>
            </w:r>
            <w:r>
              <w:rPr>
                <w:rFonts w:hint="default" w:ascii="Times New Roman" w:hAnsi="Times New Roman" w:cs="Times New Roman"/>
                <w:color w:val="auto"/>
                <w:sz w:val="21"/>
                <w:szCs w:val="21"/>
              </w:rPr>
              <w:t>泵</w:t>
            </w:r>
          </w:p>
        </w:tc>
        <w:tc>
          <w:tcPr>
            <w:tcW w:w="133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335" w:type="dxa"/>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50.5</w:t>
            </w:r>
          </w:p>
        </w:tc>
        <w:tc>
          <w:tcPr>
            <w:tcW w:w="1380" w:type="dxa"/>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40.0</w:t>
            </w:r>
          </w:p>
        </w:tc>
        <w:tc>
          <w:tcPr>
            <w:tcW w:w="1365" w:type="dxa"/>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45.2</w:t>
            </w:r>
          </w:p>
        </w:tc>
        <w:tc>
          <w:tcPr>
            <w:tcW w:w="1124" w:type="dxa"/>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41.9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463" w:hRule="atLeast"/>
          <w:jc w:val="center"/>
        </w:trPr>
        <w:tc>
          <w:tcPr>
            <w:tcW w:w="221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冷凝器</w:t>
            </w:r>
          </w:p>
        </w:tc>
        <w:tc>
          <w:tcPr>
            <w:tcW w:w="1335"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335" w:type="dxa"/>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50.5</w:t>
            </w:r>
          </w:p>
        </w:tc>
        <w:tc>
          <w:tcPr>
            <w:tcW w:w="1380" w:type="dxa"/>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40.0</w:t>
            </w:r>
          </w:p>
        </w:tc>
        <w:tc>
          <w:tcPr>
            <w:tcW w:w="1365" w:type="dxa"/>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45.2</w:t>
            </w:r>
          </w:p>
        </w:tc>
        <w:tc>
          <w:tcPr>
            <w:tcW w:w="1124" w:type="dxa"/>
            <w:vAlign w:val="center"/>
          </w:tcPr>
          <w:p>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41.9</w:t>
            </w:r>
          </w:p>
        </w:tc>
      </w:tr>
    </w:tbl>
    <w:p>
      <w:pPr>
        <w:pStyle w:val="39"/>
        <w:keepNext w:val="0"/>
        <w:keepLines w:val="0"/>
        <w:pageBreakBefore w:val="0"/>
        <w:widowControl w:val="0"/>
        <w:kinsoku/>
        <w:wordWrap/>
        <w:overflowPunct/>
        <w:topLinePunct w:val="0"/>
        <w:autoSpaceDE/>
        <w:autoSpaceDN/>
        <w:bidi w:val="0"/>
        <w:adjustRightInd/>
        <w:snapToGrid/>
        <w:spacing w:before="157" w:beforeLines="50"/>
        <w:textAlignment w:val="auto"/>
        <w:outlineLvl w:val="9"/>
        <w:rPr>
          <w:rFonts w:hint="default" w:ascii="Times New Roman" w:hAnsi="Times New Roman" w:cs="Times New Roman"/>
          <w:color w:val="auto"/>
        </w:rPr>
      </w:pPr>
      <w:r>
        <w:rPr>
          <w:rFonts w:hint="default" w:ascii="Times New Roman" w:hAnsi="Times New Roman" w:cs="Times New Roman"/>
          <w:color w:val="auto"/>
        </w:rPr>
        <w:t>与背景值叠加后</w:t>
      </w:r>
      <w:r>
        <w:rPr>
          <w:rFonts w:hint="default" w:ascii="Times New Roman" w:hAnsi="Times New Roman" w:cs="Times New Roman"/>
          <w:color w:val="auto"/>
          <w:lang w:eastAsia="zh-CN"/>
        </w:rPr>
        <w:t>厂区</w:t>
      </w:r>
      <w:r>
        <w:rPr>
          <w:rFonts w:hint="default" w:ascii="Times New Roman" w:hAnsi="Times New Roman" w:cs="Times New Roman"/>
          <w:color w:val="auto"/>
        </w:rPr>
        <w:t>各测点最终预测结果见下表。</w:t>
      </w:r>
    </w:p>
    <w:p>
      <w:pPr>
        <w:pStyle w:val="14"/>
        <w:bidi w:val="0"/>
        <w:rPr>
          <w:rFonts w:hint="default" w:ascii="Times New Roman" w:hAnsi="Times New Roman" w:cs="Times New Roman"/>
          <w:color w:val="auto"/>
          <w:lang w:val="zh-CN"/>
        </w:rPr>
      </w:pPr>
      <w:r>
        <w:rPr>
          <w:rFonts w:hint="default" w:ascii="Times New Roman" w:hAnsi="Times New Roman" w:cs="Times New Roman"/>
          <w:color w:val="auto"/>
          <w:lang w:val="en-US" w:eastAsia="zh-CN"/>
        </w:rPr>
        <w:t xml:space="preserve">表6-7 </w:t>
      </w:r>
      <w:r>
        <w:rPr>
          <w:rFonts w:hint="default" w:ascii="Times New Roman" w:hAnsi="Times New Roman" w:cs="Times New Roman"/>
          <w:color w:val="auto"/>
          <w:lang w:val="zh-CN"/>
        </w:rPr>
        <w:t>各测点最终预测结果表    单位：dB（A）</w:t>
      </w:r>
    </w:p>
    <w:tbl>
      <w:tblPr>
        <w:tblStyle w:val="24"/>
        <w:tblW w:w="923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57" w:type="dxa"/>
          <w:bottom w:w="0" w:type="dxa"/>
          <w:right w:w="57" w:type="dxa"/>
        </w:tblCellMar>
      </w:tblPr>
      <w:tblGrid>
        <w:gridCol w:w="1804"/>
        <w:gridCol w:w="1390"/>
        <w:gridCol w:w="1510"/>
        <w:gridCol w:w="1510"/>
        <w:gridCol w:w="1510"/>
        <w:gridCol w:w="151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641" w:hRule="exact"/>
          <w:tblHeader/>
          <w:jc w:val="center"/>
        </w:trPr>
        <w:tc>
          <w:tcPr>
            <w:tcW w:w="319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声源</w:t>
            </w:r>
          </w:p>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噪声预测值</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东厂界</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南厂界</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西厂界</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北厂界</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476" w:hRule="exact"/>
          <w:jc w:val="center"/>
        </w:trPr>
        <w:tc>
          <w:tcPr>
            <w:tcW w:w="1804" w:type="dxa"/>
            <w:vMerge w:val="restart"/>
            <w:tcBorders>
              <w:right w:val="single" w:color="auto" w:sz="4" w:space="0"/>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w:t>
            </w:r>
            <w:r>
              <w:rPr>
                <w:rFonts w:hint="default" w:ascii="Times New Roman" w:hAnsi="Times New Roman" w:cs="Times New Roman"/>
                <w:color w:val="auto"/>
                <w:sz w:val="21"/>
                <w:szCs w:val="21"/>
                <w:lang w:eastAsia="zh-CN"/>
              </w:rPr>
              <w:t>噪声现状</w:t>
            </w:r>
            <w:r>
              <w:rPr>
                <w:rFonts w:hint="default" w:ascii="Times New Roman" w:hAnsi="Times New Roman" w:cs="Times New Roman"/>
                <w:color w:val="auto"/>
                <w:sz w:val="21"/>
                <w:szCs w:val="21"/>
              </w:rPr>
              <w:t>值</w:t>
            </w:r>
          </w:p>
        </w:tc>
        <w:tc>
          <w:tcPr>
            <w:tcW w:w="1390" w:type="dxa"/>
            <w:tcBorders>
              <w:left w:val="single" w:color="auto" w:sz="4" w:space="0"/>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57</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57</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52</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476" w:hRule="exact"/>
          <w:jc w:val="center"/>
        </w:trPr>
        <w:tc>
          <w:tcPr>
            <w:tcW w:w="1804" w:type="dxa"/>
            <w:vMerge w:val="continue"/>
            <w:tcBorders>
              <w:right w:val="single" w:color="auto" w:sz="4" w:space="0"/>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1390" w:type="dxa"/>
            <w:tcBorders>
              <w:left w:val="single" w:color="auto" w:sz="4" w:space="0"/>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r>
              <w:rPr>
                <w:rFonts w:hint="default" w:ascii="Times New Roman" w:hAnsi="Times New Roman" w:cs="Times New Roman"/>
                <w:color w:val="auto"/>
                <w:sz w:val="21"/>
                <w:szCs w:val="21"/>
                <w:lang w:val="en-US" w:eastAsia="zh-CN"/>
              </w:rPr>
              <w:t>6</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47</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42</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476" w:hRule="exact"/>
          <w:jc w:val="center"/>
        </w:trPr>
        <w:tc>
          <w:tcPr>
            <w:tcW w:w="1804" w:type="dxa"/>
            <w:vMerge w:val="restart"/>
            <w:tcBorders>
              <w:right w:val="single" w:color="auto" w:sz="4" w:space="0"/>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叠加背景</w:t>
            </w:r>
            <w:r>
              <w:rPr>
                <w:rFonts w:hint="default" w:ascii="Times New Roman" w:hAnsi="Times New Roman" w:cs="Times New Roman"/>
                <w:color w:val="auto"/>
                <w:sz w:val="21"/>
                <w:szCs w:val="21"/>
              </w:rPr>
              <w:t>预测值</w:t>
            </w:r>
          </w:p>
        </w:tc>
        <w:tc>
          <w:tcPr>
            <w:tcW w:w="1390" w:type="dxa"/>
            <w:tcBorders>
              <w:left w:val="single" w:color="auto" w:sz="4" w:space="0"/>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58.7</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57.7</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52.5</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56.6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476" w:hRule="exact"/>
          <w:jc w:val="center"/>
        </w:trPr>
        <w:tc>
          <w:tcPr>
            <w:tcW w:w="1804" w:type="dxa"/>
            <w:vMerge w:val="continue"/>
            <w:tcBorders>
              <w:right w:val="single" w:color="auto" w:sz="4" w:space="0"/>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1390" w:type="dxa"/>
            <w:tcBorders>
              <w:left w:val="single" w:color="auto" w:sz="4" w:space="0"/>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50.7</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48.1</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43.4</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48.6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476" w:hRule="exact"/>
          <w:jc w:val="center"/>
        </w:trPr>
        <w:tc>
          <w:tcPr>
            <w:tcW w:w="1804" w:type="dxa"/>
            <w:vMerge w:val="restart"/>
            <w:tcBorders>
              <w:right w:val="single" w:color="auto" w:sz="4" w:space="0"/>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w:t>
            </w:r>
          </w:p>
        </w:tc>
        <w:tc>
          <w:tcPr>
            <w:tcW w:w="1390" w:type="dxa"/>
            <w:tcBorders>
              <w:left w:val="single" w:color="auto" w:sz="4" w:space="0"/>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476" w:hRule="exact"/>
          <w:jc w:val="center"/>
        </w:trPr>
        <w:tc>
          <w:tcPr>
            <w:tcW w:w="1804" w:type="dxa"/>
            <w:vMerge w:val="continue"/>
            <w:tcBorders>
              <w:right w:val="single" w:color="auto" w:sz="4" w:space="0"/>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1390" w:type="dxa"/>
            <w:tcBorders>
              <w:left w:val="single" w:color="auto" w:sz="4" w:space="0"/>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476" w:hRule="exact"/>
          <w:jc w:val="center"/>
        </w:trPr>
        <w:tc>
          <w:tcPr>
            <w:tcW w:w="1804" w:type="dxa"/>
            <w:vMerge w:val="restart"/>
            <w:tcBorders>
              <w:right w:val="single" w:color="auto" w:sz="4" w:space="0"/>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达标情况</w:t>
            </w:r>
          </w:p>
        </w:tc>
        <w:tc>
          <w:tcPr>
            <w:tcW w:w="1390" w:type="dxa"/>
            <w:tcBorders>
              <w:left w:val="single" w:color="auto" w:sz="4" w:space="0"/>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476" w:hRule="exact"/>
          <w:jc w:val="center"/>
        </w:trPr>
        <w:tc>
          <w:tcPr>
            <w:tcW w:w="1804" w:type="dxa"/>
            <w:vMerge w:val="continue"/>
            <w:tcBorders>
              <w:right w:val="single" w:color="auto" w:sz="4" w:space="0"/>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1390" w:type="dxa"/>
            <w:tcBorders>
              <w:left w:val="single" w:color="auto" w:sz="4" w:space="0"/>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1510"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bl>
    <w:p>
      <w:pPr>
        <w:pStyle w:val="39"/>
        <w:keepNext w:val="0"/>
        <w:keepLines w:val="0"/>
        <w:pageBreakBefore w:val="0"/>
        <w:widowControl w:val="0"/>
        <w:kinsoku/>
        <w:wordWrap/>
        <w:overflowPunct/>
        <w:topLinePunct w:val="0"/>
        <w:autoSpaceDE/>
        <w:autoSpaceDN/>
        <w:bidi w:val="0"/>
        <w:adjustRightInd/>
        <w:snapToGrid/>
        <w:spacing w:before="157" w:beforeLines="50"/>
        <w:textAlignment w:val="auto"/>
        <w:outlineLvl w:val="9"/>
        <w:rPr>
          <w:rFonts w:hint="default" w:ascii="Times New Roman" w:hAnsi="Times New Roman" w:cs="Times New Roman"/>
          <w:color w:val="auto"/>
        </w:rPr>
      </w:pPr>
      <w:r>
        <w:rPr>
          <w:rFonts w:hint="default" w:ascii="Times New Roman" w:hAnsi="Times New Roman" w:cs="Times New Roman"/>
          <w:color w:val="auto"/>
        </w:rPr>
        <w:t>从上表的预测结果中可看出：在采取减振、消声、隔声等降噪措施后，本项目各厂界噪声贡献值与受到现有工程影响的边界噪声值叠加后的预测值均满足《工业企业厂界环境噪声排放标准》(GB12348-2008)中的3类标准要求。</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rPr>
      </w:pPr>
      <w:bookmarkStart w:id="498" w:name="_Toc20387"/>
      <w:r>
        <w:rPr>
          <w:rFonts w:hint="default" w:ascii="Times New Roman" w:hAnsi="Times New Roman" w:cs="Times New Roman"/>
          <w:color w:val="auto"/>
        </w:rPr>
        <w:t>固体废物影响分析</w:t>
      </w:r>
      <w:bookmarkEnd w:id="498"/>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本项目固体废物主要为生活垃圾、一般工业固体废物和危险废物，其中一般固体废物主要为未沾染原材料的废弃外包装物，危险废物包括沾染原材料的空桶、釜底残渣。</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生活垃圾定点分类收集后，可回收利用的外卖给废品回收商，不可回收利用的定期交环卫部门统一处置。</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rPr>
      </w:pPr>
      <w:r>
        <w:rPr>
          <w:rFonts w:hint="default" w:ascii="Times New Roman" w:hAnsi="Times New Roman" w:cs="Times New Roman"/>
          <w:color w:val="auto"/>
          <w:u w:val="single"/>
        </w:rPr>
        <w:t>未沾染原材料的废弃外包装物等一般工业固废暂存于一般工业固体废物暂存间（依托现有</w:t>
      </w:r>
      <w:r>
        <w:rPr>
          <w:rFonts w:hint="default" w:ascii="Times New Roman" w:hAnsi="Times New Roman" w:cs="Times New Roman"/>
          <w:color w:val="auto"/>
          <w:u w:val="single"/>
          <w:lang w:eastAsia="zh-CN"/>
        </w:rPr>
        <w:t>空置房存放，</w:t>
      </w:r>
      <w:r>
        <w:rPr>
          <w:rFonts w:hint="default" w:ascii="Times New Roman" w:hAnsi="Times New Roman" w:cs="Times New Roman"/>
          <w:color w:val="auto"/>
          <w:u w:val="single"/>
        </w:rPr>
        <w:t>位于综合库），集中收集后外售给废品回收站综合利用。</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u w:val="single"/>
        </w:rPr>
      </w:pPr>
      <w:r>
        <w:rPr>
          <w:rFonts w:hint="default" w:ascii="Times New Roman" w:hAnsi="Times New Roman" w:cs="Times New Roman"/>
          <w:color w:val="auto"/>
          <w:u w:val="single"/>
          <w:lang w:eastAsia="zh-CN"/>
        </w:rPr>
        <w:t>一般固废，</w:t>
      </w:r>
      <w:r>
        <w:rPr>
          <w:rFonts w:hint="default" w:ascii="Times New Roman" w:hAnsi="Times New Roman" w:cs="Times New Roman"/>
          <w:color w:val="auto"/>
          <w:u w:val="single"/>
        </w:rPr>
        <w:t>生活垃圾</w:t>
      </w:r>
      <w:r>
        <w:rPr>
          <w:rFonts w:hint="default" w:ascii="Times New Roman" w:hAnsi="Times New Roman" w:cs="Times New Roman"/>
          <w:color w:val="auto"/>
          <w:u w:val="single"/>
          <w:lang w:eastAsia="zh-CN"/>
        </w:rPr>
        <w:t>使用现有</w:t>
      </w:r>
      <w:r>
        <w:rPr>
          <w:rFonts w:hint="default" w:ascii="Times New Roman" w:hAnsi="Times New Roman" w:cs="Times New Roman"/>
          <w:color w:val="auto"/>
          <w:u w:val="single"/>
        </w:rPr>
        <w:t>收集</w:t>
      </w:r>
      <w:r>
        <w:rPr>
          <w:rFonts w:hint="default" w:ascii="Times New Roman" w:hAnsi="Times New Roman" w:cs="Times New Roman"/>
          <w:color w:val="auto"/>
          <w:u w:val="single"/>
          <w:lang w:eastAsia="zh-CN"/>
        </w:rPr>
        <w:t>设施，</w:t>
      </w:r>
      <w:r>
        <w:rPr>
          <w:rFonts w:hint="default" w:ascii="Times New Roman" w:hAnsi="Times New Roman" w:cs="Times New Roman"/>
          <w:color w:val="auto"/>
          <w:u w:val="single"/>
        </w:rPr>
        <w:t>沾染原材料的空桶、精馏釜底残渣等危险废物存放在危废暂存间，危险废物暂存间位于综合库，各危险废物按处理要求分类分开存放，并设隔离间隔断，禁止将不相容的危险废物在同一容器内混装，同时做好</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防风、防雨、防晒</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，上述危险废物</w:t>
      </w:r>
      <w:r>
        <w:rPr>
          <w:rFonts w:hint="default" w:ascii="Times New Roman" w:hAnsi="Times New Roman" w:cs="Times New Roman"/>
          <w:color w:val="auto"/>
          <w:u w:val="single"/>
          <w:lang w:eastAsia="zh-CN"/>
        </w:rPr>
        <w:t>依托位于催化剂车间西侧的现有</w:t>
      </w:r>
      <w:r>
        <w:rPr>
          <w:rFonts w:hint="default" w:ascii="Times New Roman" w:hAnsi="Times New Roman" w:cs="Times New Roman"/>
          <w:color w:val="auto"/>
          <w:u w:val="single"/>
          <w:lang w:val="en-US" w:eastAsia="zh-CN"/>
        </w:rPr>
        <w:t>30m</w:t>
      </w:r>
      <w:r>
        <w:rPr>
          <w:rFonts w:hint="default" w:ascii="Times New Roman" w:hAnsi="Times New Roman" w:cs="Times New Roman"/>
          <w:color w:val="auto"/>
          <w:u w:val="single"/>
          <w:vertAlign w:val="superscript"/>
          <w:lang w:val="en-US" w:eastAsia="zh-CN"/>
        </w:rPr>
        <w:t>2</w:t>
      </w:r>
      <w:r>
        <w:rPr>
          <w:rFonts w:hint="default" w:ascii="Times New Roman" w:hAnsi="Times New Roman" w:cs="Times New Roman"/>
          <w:color w:val="auto"/>
          <w:u w:val="single"/>
          <w:lang w:eastAsia="zh-CN"/>
        </w:rPr>
        <w:t>危废</w:t>
      </w:r>
      <w:r>
        <w:rPr>
          <w:rFonts w:hint="default" w:ascii="Times New Roman" w:hAnsi="Times New Roman" w:cs="Times New Roman"/>
          <w:color w:val="auto"/>
          <w:u w:val="single"/>
        </w:rPr>
        <w:t>暂存间暂存，定期交由</w:t>
      </w:r>
      <w:r>
        <w:rPr>
          <w:rFonts w:hint="default" w:ascii="Times New Roman" w:hAnsi="Times New Roman" w:cs="Times New Roman"/>
          <w:color w:val="auto"/>
          <w:u w:val="single"/>
          <w:lang w:val="en-US" w:eastAsia="zh-CN"/>
        </w:rPr>
        <w:t>有资质的公司统一</w:t>
      </w:r>
      <w:r>
        <w:rPr>
          <w:rFonts w:hint="default" w:ascii="Times New Roman" w:hAnsi="Times New Roman" w:cs="Times New Roman"/>
          <w:color w:val="auto"/>
          <w:u w:val="single"/>
        </w:rPr>
        <w:t>处置。</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本评价要求危险废物在打包过程中应严格密封，同时应使用坚固的包装材料进行包装，防止在汽车运输过程中外溢洒出，通过采取以上措施后，不会对周边环境造成显著负面影响。</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eastAsia="宋体" w:cs="Times New Roman"/>
          <w:color w:val="auto"/>
        </w:rPr>
      </w:pPr>
      <w:bookmarkStart w:id="499" w:name="_Toc1595"/>
      <w:bookmarkStart w:id="500" w:name="_Toc10472"/>
      <w:bookmarkStart w:id="501" w:name="_Toc31472"/>
      <w:r>
        <w:rPr>
          <w:rFonts w:hint="default" w:ascii="Times New Roman" w:hAnsi="Times New Roman" w:eastAsia="宋体" w:cs="Times New Roman"/>
          <w:color w:val="auto"/>
        </w:rPr>
        <w:t>土壤环境影响分析</w:t>
      </w:r>
      <w:bookmarkEnd w:id="499"/>
      <w:bookmarkEnd w:id="500"/>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项目位于湖南绿色化工产业园云溪片区，项目所在地及项目周边用地类型均为工业用地。评价范围内无耕地和林地。根据公司工程特征，本次土壤环境影响重点预测时段为项目运行期。</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土壤污染途经分析</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本项目土壤环境影响类型为污染影响型，不涉及施工期土壤环境影响。本次评价重点分析为运营期对项目地及周边区域土壤环境的影响。</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根据项目工程分析，改扩建项目建成后，营运期主要生产废气为</w:t>
      </w:r>
      <w:r>
        <w:rPr>
          <w:rFonts w:hint="default" w:ascii="Times New Roman" w:hAnsi="Times New Roman" w:eastAsia="宋体" w:cs="Times New Roman"/>
          <w:color w:val="auto"/>
          <w:lang w:val="en-US" w:eastAsia="zh-CN"/>
        </w:rPr>
        <w:t>无组织排放</w:t>
      </w:r>
      <w:r>
        <w:rPr>
          <w:rFonts w:hint="default" w:ascii="Times New Roman" w:hAnsi="Times New Roman" w:eastAsia="宋体" w:cs="Times New Roman"/>
          <w:color w:val="auto"/>
        </w:rPr>
        <w:t>有机废气，因此本次土壤预测评价考虑公司</w:t>
      </w:r>
      <w:r>
        <w:rPr>
          <w:rFonts w:hint="default" w:ascii="Times New Roman" w:hAnsi="Times New Roman" w:eastAsia="宋体" w:cs="Times New Roman"/>
          <w:color w:val="auto"/>
          <w:lang w:val="en-US" w:eastAsia="zh-CN"/>
        </w:rPr>
        <w:t>无组织排放</w:t>
      </w:r>
      <w:r>
        <w:rPr>
          <w:rFonts w:hint="default" w:ascii="Times New Roman" w:hAnsi="Times New Roman" w:eastAsia="宋体" w:cs="Times New Roman"/>
          <w:color w:val="auto"/>
        </w:rPr>
        <w:t>有机废气污染物对土壤的沉降污染影响。重点考虑有机废气正常排放和液态物料、生产废水废液在事故状态下通过地面漫流的形式渗入厂区或者周边土壤的土壤污染途径。</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土壤污染源分析</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营运期产生的危险废物存于危废暂存间，生产废水经明管（架空管道）或地表沟渠输送至厂区废水预处理站处理达标后排入园区污水管网，进入</w:t>
      </w:r>
      <w:r>
        <w:rPr>
          <w:rFonts w:hint="default" w:ascii="Times New Roman" w:hAnsi="Times New Roman" w:eastAsia="宋体" w:cs="Times New Roman"/>
          <w:color w:val="auto"/>
          <w:lang w:val="en-US" w:eastAsia="zh-CN"/>
        </w:rPr>
        <w:t>巴陵石化</w:t>
      </w:r>
      <w:r>
        <w:rPr>
          <w:rFonts w:hint="default" w:ascii="Times New Roman" w:hAnsi="Times New Roman" w:eastAsia="宋体" w:cs="Times New Roman"/>
          <w:color w:val="auto"/>
        </w:rPr>
        <w:t>污水处理厂处理达标后排放；生活污水经化粪池处理后排入汇同生产废水一同排入园区污水管网。</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正常工况下，本项目潜在土壤污染源均达到设计要求，厂区防渗区域的防渗性能完好，基本对厂界内和周边的土壤影响较小，仅考虑有机废气对区域土壤存在的沉降影响；在非正常工况下，公司土壤环境影响源主要为添加剂装置污水站池体破损，收集的工艺废水（高浓度有机废水）漫流并深入地下土壤；</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情景设置</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 xml:space="preserve">正常状况 </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正常状况下，即使没有采取特殊的防渗措施，按化工装置的建设规范要求，装置区、罐区也必须是钢筋混凝土进行表面硬化处理，原料、物料及污水输送管线也是必须经过防腐防渗处理。根据化工项目近年的运行管理经验，在采取源头和分区防控措施的基础上，正常状况下不应有物料暴露而发生渗漏至地下的情景发生。因此，本次土壤污染预测情景主要针对添加剂生产车间正常状况排放的有机废气中对区域土壤大气沉降环境影响进行设定。</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非正常状况（风险事故状况）</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项目厂区设置各个装置区污水收集、1 座初期雨水池等污水暂存设施。生产区雨水经生产区域的雨水排放系统收集输送到装置区污水处理站内。事故状态下装置区域的事故废水经过雨水排放系统收集输送到装置区污水处理站内，储存容积不够时可通过园区事故水排放系统至云溪区工业园园区事故水池。因此非正常状况下能够保证雨水与事故水通过雨水收集系统进行收集，不存在任雨水与事故水地表随意漫流的情况。</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非正常状况下，厂区事故泄漏物料对厂区外部的土壤污染低，其对土壤的污染主要是由泄漏到大气环境中的事故污染物沉降到土壤中引起的。但是厂区不使用重金属类物料且发生大气风险事故泄漏污染物总量不高，而且是属于短期事故，通过大气沉降对厂界外土壤造成污染的可能性很小。因此，根据本化工企业的实际情况分析，如果是装置区或罐区等可视场所发生硬化面破损，即使有物料或污水等泄漏，建设单位在采取相应的风险防控措施，不可能任由物料或污水漫流渗漏，任其渗入土壤。因此，只在污水管线、污水储存池等这些半地下非可视部位 发生小面积渗漏时，才可能有少量物料通过漏点，逐渐渗入进入土壤。本次评价</w:t>
      </w:r>
      <w:r>
        <w:rPr>
          <w:rFonts w:hint="default" w:ascii="Times New Roman" w:hAnsi="Times New Roman" w:eastAsia="宋体" w:cs="Times New Roman"/>
          <w:color w:val="auto"/>
          <w:lang w:val="en-US" w:eastAsia="zh-CN"/>
        </w:rPr>
        <w:t>考</w:t>
      </w:r>
      <w:r>
        <w:rPr>
          <w:rFonts w:hint="default" w:ascii="Times New Roman" w:hAnsi="Times New Roman" w:eastAsia="宋体" w:cs="Times New Roman"/>
          <w:color w:val="auto"/>
        </w:rPr>
        <w:t>虑如下非正常泄漏废水入渗区域土壤情况：</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污水站池体破损，工艺废水漫流并入渗地下土壤表层情景模式：根据建设单位提供现有生产相关资料，收集的有机工艺废水中，装置区每批次收集工艺废水（不超过 1m3）中有机物含量 300kg</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镍含量50g</w:t>
      </w:r>
      <w:r>
        <w:rPr>
          <w:rFonts w:hint="default" w:ascii="Times New Roman" w:hAnsi="Times New Roman" w:eastAsia="宋体" w:cs="Times New Roman"/>
          <w:color w:val="auto"/>
        </w:rPr>
        <w:t>。</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预测因子与方法</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项目为土壤污染影响型建设项目，评价工作等级为二级，本次评价选取HJ964-2018 附录 E 推荐土壤环境影响预测方法一，该方法适用于某种物质可概化为以面源形式进入土壤环境的影响预测，包括大气沉降、地面漫流等，较为符合本项目可能发生的土壤污染途径分析结果。根据拟定的土壤污染影响情景设置，预测因子选定为CODcr、</w:t>
      </w:r>
      <w:r>
        <w:rPr>
          <w:rFonts w:hint="default" w:ascii="Times New Roman" w:hAnsi="Times New Roman" w:eastAsia="宋体" w:cs="Times New Roman"/>
          <w:color w:val="auto"/>
          <w:lang w:val="en-US" w:eastAsia="zh-CN"/>
        </w:rPr>
        <w:t>镍</w:t>
      </w:r>
      <w:r>
        <w:rPr>
          <w:rFonts w:hint="default" w:ascii="Times New Roman" w:hAnsi="Times New Roman" w:eastAsia="宋体" w:cs="Times New Roman"/>
          <w:color w:val="auto"/>
        </w:rPr>
        <w:t>。</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具体预测模式方法如下：</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①单位质量土壤中某种物质的增量可用下式计算：</w:t>
      </w:r>
    </w:p>
    <w:p>
      <w:pPr>
        <w:pStyle w:val="3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3164205" cy="326390"/>
            <wp:effectExtent l="0" t="0" r="17145" b="16510"/>
            <wp:docPr id="25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17"/>
                    <pic:cNvPicPr>
                      <a:picLocks noChangeAspect="1"/>
                    </pic:cNvPicPr>
                  </pic:nvPicPr>
                  <pic:blipFill>
                    <a:blip r:embed="rId58"/>
                    <a:stretch>
                      <a:fillRect/>
                    </a:stretch>
                  </pic:blipFill>
                  <pic:spPr>
                    <a:xfrm>
                      <a:off x="0" y="0"/>
                      <a:ext cx="3164205" cy="326390"/>
                    </a:xfrm>
                    <a:prstGeom prst="rect">
                      <a:avLst/>
                    </a:prstGeom>
                    <a:noFill/>
                    <a:ln>
                      <a:noFill/>
                    </a:ln>
                  </pic:spPr>
                </pic:pic>
              </a:graphicData>
            </a:graphic>
          </wp:inline>
        </w:drawing>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式中：</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ΔS</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单位质量表层土壤中某种物质的增量，g/kg；</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表层土壤中游离酸或游离碱浓度增量，mmol/kg；</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IS  </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预测评价范围内单位年份表层土壤中某种物质的输入量，g；</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预测评价范围内单位年份表层土壤中游离酸、游离碱输入量，mmol；</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LS</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预测评价范围内单位年份表层土壤中某种物质经淋溶排出的量，g；</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预测评价范围内单位年份表层土壤中经淋溶排出的游离酸、游离碱的量，mmol；</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RS</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预测评价范围内单位年份表层土壤中某种物质经径流排出的量，g；</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预测评价范围内单位年份表层土壤中经径流排出的游离酸、游离碱的量，mmol；</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ρb</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表层土壤容重，kg/m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预测评价范围，m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D</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 xml:space="preserve">表层土壤深度，一般取 0.2m，可根据实际情况适当调整； </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n</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持续年份，a。</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②单位质量土壤中某种物质的预测值可根据其增量叠加现状值进行计算</w:t>
      </w:r>
    </w:p>
    <w:p>
      <w:pPr>
        <w:pStyle w:val="39"/>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1251585" cy="243840"/>
            <wp:effectExtent l="0" t="0" r="5715" b="3810"/>
            <wp:docPr id="2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8"/>
                    <pic:cNvPicPr>
                      <a:picLocks noChangeAspect="1"/>
                    </pic:cNvPicPr>
                  </pic:nvPicPr>
                  <pic:blipFill>
                    <a:blip r:embed="rId59"/>
                    <a:stretch>
                      <a:fillRect/>
                    </a:stretch>
                  </pic:blipFill>
                  <pic:spPr>
                    <a:xfrm>
                      <a:off x="0" y="0"/>
                      <a:ext cx="1251585" cy="243840"/>
                    </a:xfrm>
                    <a:prstGeom prst="rect">
                      <a:avLst/>
                    </a:prstGeom>
                    <a:noFill/>
                    <a:ln>
                      <a:noFill/>
                    </a:ln>
                  </pic:spPr>
                </pic:pic>
              </a:graphicData>
            </a:graphic>
          </wp:inline>
        </w:drawing>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式中： Sb</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单位质量土壤中某种物质的现状值，g/kg；</w:t>
      </w:r>
    </w:p>
    <w:p>
      <w:pPr>
        <w:pStyle w:val="39"/>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 S</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单位质量土壤中某种物质的预测值，g/kg。</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 xml:space="preserve"> 预测参数的选取</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rFonts w:hint="default" w:ascii="Times New Roman" w:hAnsi="Times New Roman" w:eastAsia="宋体" w:cs="Times New Roman"/>
          <w:color w:val="auto"/>
        </w:rPr>
        <w:t>根据工程特性和区域土壤历史资料查阅，本次预测相关参数选取见下表</w:t>
      </w:r>
      <w:r>
        <w:rPr>
          <w:color w:val="auto"/>
        </w:rPr>
        <w:t xml:space="preserve">： </w:t>
      </w: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lang w:val="zh-CN"/>
        </w:rPr>
      </w:pPr>
      <w:r>
        <w:rPr>
          <w:rFonts w:hint="eastAsia"/>
          <w:color w:val="auto"/>
          <w:lang w:val="zh-CN"/>
        </w:rPr>
        <w:t>表</w:t>
      </w:r>
      <w:r>
        <w:rPr>
          <w:rFonts w:hint="eastAsia"/>
          <w:color w:val="auto"/>
          <w:lang w:val="en-US" w:eastAsia="zh-CN"/>
        </w:rPr>
        <w:t>6-8</w:t>
      </w:r>
      <w:r>
        <w:rPr>
          <w:rFonts w:hint="eastAsia"/>
          <w:color w:val="auto"/>
          <w:lang w:val="zh-CN"/>
        </w:rPr>
        <w:t xml:space="preserve"> </w:t>
      </w:r>
      <w:r>
        <w:rPr>
          <w:rFonts w:hint="eastAsia"/>
          <w:color w:val="auto"/>
          <w:lang w:val="en-US" w:eastAsia="zh-CN"/>
        </w:rPr>
        <w:t xml:space="preserve"> </w:t>
      </w:r>
      <w:r>
        <w:rPr>
          <w:rFonts w:hint="eastAsia"/>
          <w:color w:val="auto"/>
          <w:lang w:val="zh-CN"/>
        </w:rPr>
        <w:t>土壤环境影响预测参数选择</w:t>
      </w:r>
    </w:p>
    <w:tbl>
      <w:tblPr>
        <w:tblStyle w:val="24"/>
        <w:tblW w:w="87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4"/>
        <w:gridCol w:w="710"/>
        <w:gridCol w:w="850"/>
        <w:gridCol w:w="1419"/>
        <w:gridCol w:w="51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exact"/>
          <w:jc w:val="center"/>
        </w:trPr>
        <w:tc>
          <w:tcPr>
            <w:tcW w:w="6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序号</w:t>
            </w:r>
          </w:p>
        </w:tc>
        <w:tc>
          <w:tcPr>
            <w:tcW w:w="7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参数</w:t>
            </w:r>
          </w:p>
        </w:tc>
        <w:tc>
          <w:tcPr>
            <w:tcW w:w="8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单位</w:t>
            </w:r>
          </w:p>
        </w:tc>
        <w:tc>
          <w:tcPr>
            <w:tcW w:w="1419"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取值</w:t>
            </w:r>
          </w:p>
        </w:tc>
        <w:tc>
          <w:tcPr>
            <w:tcW w:w="510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1" w:hRule="exact"/>
          <w:jc w:val="center"/>
        </w:trPr>
        <w:tc>
          <w:tcPr>
            <w:tcW w:w="674"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1</w:t>
            </w:r>
          </w:p>
        </w:tc>
        <w:tc>
          <w:tcPr>
            <w:tcW w:w="710"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IS</w:t>
            </w:r>
          </w:p>
        </w:tc>
        <w:tc>
          <w:tcPr>
            <w:tcW w:w="850"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g</w:t>
            </w:r>
          </w:p>
        </w:tc>
        <w:tc>
          <w:tcPr>
            <w:tcW w:w="1419"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lang w:val="en-US" w:eastAsia="zh-CN"/>
              </w:rPr>
            </w:pPr>
            <w:r>
              <w:rPr>
                <w:rFonts w:hint="default"/>
                <w:color w:val="auto"/>
                <w:sz w:val="21"/>
                <w:szCs w:val="21"/>
              </w:rPr>
              <w:t>COD：3000</w:t>
            </w:r>
            <w:r>
              <w:rPr>
                <w:rFonts w:hint="default"/>
                <w:color w:val="auto"/>
                <w:sz w:val="21"/>
                <w:szCs w:val="21"/>
                <w:lang w:val="en-US" w:eastAsia="zh-CN"/>
              </w:rPr>
              <w:t>00</w:t>
            </w:r>
          </w:p>
        </w:tc>
        <w:tc>
          <w:tcPr>
            <w:tcW w:w="510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按事故状态下，每年发生添加剂污水池内高浓度有机废水泄漏（1m</w:t>
            </w:r>
            <w:r>
              <w:rPr>
                <w:rFonts w:hint="default"/>
                <w:color w:val="auto"/>
                <w:sz w:val="21"/>
                <w:szCs w:val="21"/>
                <w:vertAlign w:val="superscript"/>
              </w:rPr>
              <w:t>3</w:t>
            </w:r>
            <w:r>
              <w:rPr>
                <w:rFonts w:hint="default"/>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exact"/>
          <w:jc w:val="center"/>
        </w:trPr>
        <w:tc>
          <w:tcPr>
            <w:tcW w:w="67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p>
        </w:tc>
        <w:tc>
          <w:tcPr>
            <w:tcW w:w="710"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p>
        </w:tc>
        <w:tc>
          <w:tcPr>
            <w:tcW w:w="850"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p>
        </w:tc>
        <w:tc>
          <w:tcPr>
            <w:tcW w:w="1419"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lang w:val="en-US" w:eastAsia="zh-CN"/>
              </w:rPr>
            </w:pPr>
            <w:r>
              <w:rPr>
                <w:rFonts w:hint="default"/>
                <w:color w:val="auto"/>
                <w:sz w:val="21"/>
                <w:szCs w:val="21"/>
                <w:lang w:val="en-US" w:eastAsia="zh-CN"/>
              </w:rPr>
              <w:t>镍</w:t>
            </w:r>
            <w:r>
              <w:rPr>
                <w:rFonts w:hint="default"/>
                <w:color w:val="auto"/>
                <w:sz w:val="21"/>
                <w:szCs w:val="21"/>
              </w:rPr>
              <w:t>：</w:t>
            </w:r>
            <w:r>
              <w:rPr>
                <w:rFonts w:hint="default"/>
                <w:color w:val="auto"/>
                <w:sz w:val="21"/>
                <w:szCs w:val="21"/>
                <w:lang w:val="en-US" w:eastAsia="zh-CN"/>
              </w:rPr>
              <w:t>50</w:t>
            </w:r>
          </w:p>
        </w:tc>
        <w:tc>
          <w:tcPr>
            <w:tcW w:w="510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按事故状态下，每年发生添加剂污水池内</w:t>
            </w:r>
            <w:r>
              <w:rPr>
                <w:rFonts w:hint="default"/>
                <w:color w:val="auto"/>
                <w:sz w:val="21"/>
                <w:szCs w:val="21"/>
                <w:lang w:val="en-US" w:eastAsia="zh-CN"/>
              </w:rPr>
              <w:t>含镍</w:t>
            </w:r>
            <w:r>
              <w:rPr>
                <w:rFonts w:hint="default"/>
                <w:color w:val="auto"/>
                <w:sz w:val="21"/>
                <w:szCs w:val="21"/>
              </w:rPr>
              <w:t>废水泄漏（1m</w:t>
            </w:r>
            <w:r>
              <w:rPr>
                <w:rFonts w:hint="default"/>
                <w:color w:val="auto"/>
                <w:sz w:val="21"/>
                <w:szCs w:val="21"/>
                <w:vertAlign w:val="superscript"/>
              </w:rPr>
              <w:t>3</w:t>
            </w:r>
            <w:r>
              <w:rPr>
                <w:rFonts w:hint="default"/>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exact"/>
          <w:jc w:val="center"/>
        </w:trPr>
        <w:tc>
          <w:tcPr>
            <w:tcW w:w="6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2</w:t>
            </w:r>
          </w:p>
        </w:tc>
        <w:tc>
          <w:tcPr>
            <w:tcW w:w="7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LS</w:t>
            </w:r>
          </w:p>
        </w:tc>
        <w:tc>
          <w:tcPr>
            <w:tcW w:w="8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g</w:t>
            </w:r>
          </w:p>
        </w:tc>
        <w:tc>
          <w:tcPr>
            <w:tcW w:w="1419"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0</w:t>
            </w:r>
          </w:p>
        </w:tc>
        <w:tc>
          <w:tcPr>
            <w:tcW w:w="510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按最不利情况，不考虑土壤淋溶排出量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exact"/>
          <w:jc w:val="center"/>
        </w:trPr>
        <w:tc>
          <w:tcPr>
            <w:tcW w:w="6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3</w:t>
            </w:r>
          </w:p>
        </w:tc>
        <w:tc>
          <w:tcPr>
            <w:tcW w:w="7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RS</w:t>
            </w:r>
          </w:p>
        </w:tc>
        <w:tc>
          <w:tcPr>
            <w:tcW w:w="8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g</w:t>
            </w:r>
          </w:p>
        </w:tc>
        <w:tc>
          <w:tcPr>
            <w:tcW w:w="1419"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0</w:t>
            </w:r>
          </w:p>
        </w:tc>
        <w:tc>
          <w:tcPr>
            <w:tcW w:w="510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按最不利情况，不考虑地下径流排出量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exact"/>
          <w:jc w:val="center"/>
        </w:trPr>
        <w:tc>
          <w:tcPr>
            <w:tcW w:w="6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4</w:t>
            </w:r>
          </w:p>
        </w:tc>
        <w:tc>
          <w:tcPr>
            <w:tcW w:w="7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ρb</w:t>
            </w:r>
          </w:p>
        </w:tc>
        <w:tc>
          <w:tcPr>
            <w:tcW w:w="8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kg/m</w:t>
            </w:r>
            <w:r>
              <w:rPr>
                <w:rFonts w:hint="default"/>
                <w:color w:val="auto"/>
                <w:sz w:val="21"/>
                <w:szCs w:val="21"/>
                <w:vertAlign w:val="superscript"/>
              </w:rPr>
              <w:t>3</w:t>
            </w:r>
          </w:p>
        </w:tc>
        <w:tc>
          <w:tcPr>
            <w:tcW w:w="1419"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1540</w:t>
            </w:r>
          </w:p>
        </w:tc>
        <w:tc>
          <w:tcPr>
            <w:tcW w:w="510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查阅区域土壤历史勘察资料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exact"/>
          <w:jc w:val="center"/>
        </w:trPr>
        <w:tc>
          <w:tcPr>
            <w:tcW w:w="6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5</w:t>
            </w:r>
          </w:p>
        </w:tc>
        <w:tc>
          <w:tcPr>
            <w:tcW w:w="7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A</w:t>
            </w:r>
          </w:p>
        </w:tc>
        <w:tc>
          <w:tcPr>
            <w:tcW w:w="8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m2</w:t>
            </w:r>
          </w:p>
        </w:tc>
        <w:tc>
          <w:tcPr>
            <w:tcW w:w="1419"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lang w:val="en-US" w:eastAsia="zh-CN"/>
              </w:rPr>
            </w:pPr>
            <w:r>
              <w:rPr>
                <w:rFonts w:hint="default"/>
                <w:color w:val="auto"/>
                <w:sz w:val="21"/>
                <w:szCs w:val="21"/>
                <w:lang w:val="en-US" w:eastAsia="zh-CN"/>
              </w:rPr>
              <w:t>87500</w:t>
            </w:r>
          </w:p>
        </w:tc>
        <w:tc>
          <w:tcPr>
            <w:tcW w:w="510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占地区域及周边200m范围内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6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6</w:t>
            </w:r>
          </w:p>
        </w:tc>
        <w:tc>
          <w:tcPr>
            <w:tcW w:w="7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D</w:t>
            </w:r>
          </w:p>
        </w:tc>
        <w:tc>
          <w:tcPr>
            <w:tcW w:w="8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m</w:t>
            </w:r>
          </w:p>
        </w:tc>
        <w:tc>
          <w:tcPr>
            <w:tcW w:w="1419"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0.2</w:t>
            </w:r>
          </w:p>
        </w:tc>
        <w:tc>
          <w:tcPr>
            <w:tcW w:w="510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一般取值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6" w:hRule="exact"/>
          <w:jc w:val="center"/>
        </w:trPr>
        <w:tc>
          <w:tcPr>
            <w:tcW w:w="67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7</w:t>
            </w:r>
          </w:p>
        </w:tc>
        <w:tc>
          <w:tcPr>
            <w:tcW w:w="71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Sb</w:t>
            </w:r>
          </w:p>
        </w:tc>
        <w:tc>
          <w:tcPr>
            <w:tcW w:w="85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210" w:firstLineChars="100"/>
              <w:jc w:val="both"/>
              <w:textAlignment w:val="auto"/>
              <w:rPr>
                <w:rFonts w:hint="default"/>
                <w:color w:val="auto"/>
                <w:sz w:val="21"/>
                <w:szCs w:val="21"/>
              </w:rPr>
            </w:pPr>
            <w:r>
              <w:rPr>
                <w:rFonts w:hint="default"/>
                <w:color w:val="auto"/>
                <w:sz w:val="21"/>
                <w:szCs w:val="21"/>
              </w:rPr>
              <w:t>g/kg</w:t>
            </w:r>
          </w:p>
        </w:tc>
        <w:tc>
          <w:tcPr>
            <w:tcW w:w="1419"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p>
        </w:tc>
        <w:tc>
          <w:tcPr>
            <w:tcW w:w="510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GB36600-2018未对COD设置筛选值和管制值， 根据现状监测结果，</w:t>
            </w:r>
            <w:r>
              <w:rPr>
                <w:rFonts w:hint="default"/>
                <w:color w:val="auto"/>
                <w:sz w:val="21"/>
                <w:szCs w:val="21"/>
                <w:lang w:val="en-US" w:eastAsia="zh-CN"/>
              </w:rPr>
              <w:t>镍</w:t>
            </w:r>
            <w:r>
              <w:rPr>
                <w:rFonts w:hint="default"/>
                <w:color w:val="auto"/>
                <w:sz w:val="21"/>
                <w:szCs w:val="21"/>
              </w:rPr>
              <w:t>在布设的监测点位中均为检出；本次评价仅考虑预测因子的增量</w:t>
            </w:r>
          </w:p>
        </w:tc>
      </w:tr>
    </w:tbl>
    <w:p>
      <w:pPr>
        <w:pStyle w:val="39"/>
        <w:keepNext w:val="0"/>
        <w:keepLines w:val="0"/>
        <w:pageBreakBefore w:val="0"/>
        <w:widowControl w:val="0"/>
        <w:kinsoku/>
        <w:wordWrap/>
        <w:overflowPunct/>
        <w:topLinePunct w:val="0"/>
        <w:autoSpaceDE/>
        <w:autoSpaceDN/>
        <w:bidi w:val="0"/>
        <w:adjustRightInd/>
        <w:snapToGrid/>
        <w:spacing w:before="157" w:beforeLines="50"/>
        <w:textAlignment w:val="auto"/>
        <w:outlineLvl w:val="9"/>
        <w:rPr>
          <w:color w:val="auto"/>
        </w:rPr>
      </w:pPr>
      <w:r>
        <w:rPr>
          <w:rFonts w:hint="eastAsia"/>
          <w:color w:val="auto"/>
          <w:lang w:eastAsia="zh-CN"/>
        </w:rPr>
        <w:t>（</w:t>
      </w:r>
      <w:r>
        <w:rPr>
          <w:rFonts w:hint="eastAsia"/>
          <w:color w:val="auto"/>
          <w:lang w:val="en-US" w:eastAsia="zh-CN"/>
        </w:rPr>
        <w:t>7</w:t>
      </w:r>
      <w:r>
        <w:rPr>
          <w:rFonts w:hint="eastAsia"/>
          <w:color w:val="auto"/>
          <w:lang w:eastAsia="zh-CN"/>
        </w:rPr>
        <w:t>）</w:t>
      </w:r>
      <w:r>
        <w:rPr>
          <w:color w:val="auto"/>
        </w:rPr>
        <w:t>预测结果</w:t>
      </w:r>
    </w:p>
    <w:p>
      <w:pPr>
        <w:pStyle w:val="39"/>
        <w:bidi w:val="0"/>
        <w:rPr>
          <w:color w:val="auto"/>
        </w:rPr>
      </w:pPr>
      <w:r>
        <w:rPr>
          <w:color w:val="auto"/>
        </w:rPr>
        <w:t>废水处理站中废水预测情景下的土壤影响预测结果见下表：</w:t>
      </w:r>
    </w:p>
    <w:p>
      <w:pPr>
        <w:pStyle w:val="14"/>
        <w:bidi w:val="0"/>
        <w:rPr>
          <w:rFonts w:hint="eastAsia"/>
          <w:color w:val="auto"/>
          <w:lang w:val="zh-CN"/>
        </w:rPr>
      </w:pPr>
      <w:r>
        <w:rPr>
          <w:rFonts w:hint="eastAsia"/>
          <w:color w:val="auto"/>
          <w:lang w:val="zh-CN"/>
        </w:rPr>
        <w:t>表</w:t>
      </w:r>
      <w:r>
        <w:rPr>
          <w:rFonts w:hint="eastAsia"/>
          <w:color w:val="auto"/>
          <w:lang w:val="en-US" w:eastAsia="zh-CN"/>
        </w:rPr>
        <w:t xml:space="preserve">6-9  </w:t>
      </w:r>
      <w:r>
        <w:rPr>
          <w:rFonts w:hint="eastAsia"/>
          <w:color w:val="auto"/>
          <w:lang w:val="zh-CN"/>
        </w:rPr>
        <w:t>土壤环境影响预测结果</w:t>
      </w:r>
    </w:p>
    <w:tbl>
      <w:tblPr>
        <w:tblStyle w:val="24"/>
        <w:tblW w:w="8078" w:type="dxa"/>
        <w:jc w:val="center"/>
        <w:tblLayout w:type="fixed"/>
        <w:tblCellMar>
          <w:top w:w="0" w:type="dxa"/>
          <w:left w:w="0" w:type="dxa"/>
          <w:bottom w:w="0" w:type="dxa"/>
          <w:right w:w="0" w:type="dxa"/>
        </w:tblCellMar>
      </w:tblPr>
      <w:tblGrid>
        <w:gridCol w:w="1291"/>
        <w:gridCol w:w="3104"/>
        <w:gridCol w:w="3683"/>
      </w:tblGrid>
      <w:tr>
        <w:tblPrEx>
          <w:tblCellMar>
            <w:top w:w="0" w:type="dxa"/>
            <w:left w:w="0" w:type="dxa"/>
            <w:bottom w:w="0" w:type="dxa"/>
            <w:right w:w="0" w:type="dxa"/>
          </w:tblCellMar>
        </w:tblPrEx>
        <w:trPr>
          <w:trHeight w:val="993" w:hRule="exact"/>
          <w:jc w:val="center"/>
        </w:trPr>
        <w:tc>
          <w:tcPr>
            <w:tcW w:w="1291"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持续年份（年）</w:t>
            </w:r>
          </w:p>
        </w:tc>
        <w:tc>
          <w:tcPr>
            <w:tcW w:w="3104"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单位质量表层土壤中</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CODCr的增量（mg/kg）</w:t>
            </w:r>
          </w:p>
        </w:tc>
        <w:tc>
          <w:tcPr>
            <w:tcW w:w="3683"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单位质量表层土壤中</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eastAsia"/>
                <w:color w:val="auto"/>
                <w:sz w:val="21"/>
                <w:szCs w:val="21"/>
                <w:lang w:val="en-US" w:eastAsia="zh-CN"/>
              </w:rPr>
              <w:t>镍</w:t>
            </w:r>
            <w:r>
              <w:rPr>
                <w:rFonts w:hint="default"/>
                <w:color w:val="auto"/>
                <w:sz w:val="21"/>
                <w:szCs w:val="21"/>
              </w:rPr>
              <w:t>的增量（mg/kg）</w:t>
            </w:r>
          </w:p>
        </w:tc>
      </w:tr>
      <w:tr>
        <w:tblPrEx>
          <w:tblCellMar>
            <w:top w:w="0" w:type="dxa"/>
            <w:left w:w="0" w:type="dxa"/>
            <w:bottom w:w="0" w:type="dxa"/>
            <w:right w:w="0" w:type="dxa"/>
          </w:tblCellMar>
        </w:tblPrEx>
        <w:trPr>
          <w:trHeight w:val="533" w:hRule="exact"/>
          <w:jc w:val="center"/>
        </w:trPr>
        <w:tc>
          <w:tcPr>
            <w:tcW w:w="1291"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1</w:t>
            </w:r>
          </w:p>
        </w:tc>
        <w:tc>
          <w:tcPr>
            <w:tcW w:w="3104"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color w:val="auto"/>
                <w:sz w:val="21"/>
                <w:szCs w:val="21"/>
                <w:lang w:val="en-US" w:eastAsia="zh-CN"/>
              </w:rPr>
            </w:pPr>
            <w:r>
              <w:rPr>
                <w:rFonts w:hint="eastAsia"/>
                <w:color w:val="auto"/>
                <w:sz w:val="21"/>
                <w:szCs w:val="21"/>
                <w:lang w:val="en-US" w:eastAsia="zh-CN"/>
              </w:rPr>
              <w:t xml:space="preserve">11.13 </w:t>
            </w:r>
          </w:p>
        </w:tc>
        <w:tc>
          <w:tcPr>
            <w:tcW w:w="3683"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eastAsia"/>
                <w:color w:val="auto"/>
                <w:sz w:val="21"/>
                <w:szCs w:val="21"/>
                <w:lang w:val="en-US" w:eastAsia="zh-CN"/>
              </w:rPr>
              <w:t>0.002</w:t>
            </w:r>
          </w:p>
        </w:tc>
      </w:tr>
      <w:tr>
        <w:tblPrEx>
          <w:tblCellMar>
            <w:top w:w="0" w:type="dxa"/>
            <w:left w:w="0" w:type="dxa"/>
            <w:bottom w:w="0" w:type="dxa"/>
            <w:right w:w="0" w:type="dxa"/>
          </w:tblCellMar>
        </w:tblPrEx>
        <w:trPr>
          <w:trHeight w:val="533" w:hRule="exact"/>
          <w:jc w:val="center"/>
        </w:trPr>
        <w:tc>
          <w:tcPr>
            <w:tcW w:w="1291"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2</w:t>
            </w:r>
          </w:p>
        </w:tc>
        <w:tc>
          <w:tcPr>
            <w:tcW w:w="3104"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color w:val="auto"/>
                <w:sz w:val="21"/>
                <w:szCs w:val="21"/>
                <w:lang w:val="en-US" w:eastAsia="zh-CN"/>
              </w:rPr>
            </w:pPr>
            <w:r>
              <w:rPr>
                <w:rFonts w:hint="eastAsia"/>
                <w:color w:val="auto"/>
                <w:sz w:val="21"/>
                <w:szCs w:val="21"/>
                <w:lang w:val="en-US" w:eastAsia="zh-CN"/>
              </w:rPr>
              <w:t xml:space="preserve">22.26 </w:t>
            </w:r>
          </w:p>
        </w:tc>
        <w:tc>
          <w:tcPr>
            <w:tcW w:w="3683"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eastAsia"/>
                <w:color w:val="auto"/>
                <w:sz w:val="21"/>
                <w:szCs w:val="21"/>
                <w:lang w:val="en-US" w:eastAsia="zh-CN"/>
              </w:rPr>
              <w:t>0.004</w:t>
            </w:r>
          </w:p>
        </w:tc>
      </w:tr>
      <w:tr>
        <w:tblPrEx>
          <w:tblCellMar>
            <w:top w:w="0" w:type="dxa"/>
            <w:left w:w="0" w:type="dxa"/>
            <w:bottom w:w="0" w:type="dxa"/>
            <w:right w:w="0" w:type="dxa"/>
          </w:tblCellMar>
        </w:tblPrEx>
        <w:trPr>
          <w:trHeight w:val="533" w:hRule="exact"/>
          <w:jc w:val="center"/>
        </w:trPr>
        <w:tc>
          <w:tcPr>
            <w:tcW w:w="1291"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5</w:t>
            </w:r>
          </w:p>
        </w:tc>
        <w:tc>
          <w:tcPr>
            <w:tcW w:w="3104"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color w:val="auto"/>
                <w:sz w:val="21"/>
                <w:szCs w:val="21"/>
                <w:lang w:val="en-US" w:eastAsia="zh-CN"/>
              </w:rPr>
            </w:pPr>
            <w:r>
              <w:rPr>
                <w:rFonts w:hint="eastAsia"/>
                <w:color w:val="auto"/>
                <w:sz w:val="21"/>
                <w:szCs w:val="21"/>
                <w:lang w:val="en-US" w:eastAsia="zh-CN"/>
              </w:rPr>
              <w:t xml:space="preserve">55.66 </w:t>
            </w:r>
          </w:p>
        </w:tc>
        <w:tc>
          <w:tcPr>
            <w:tcW w:w="3683"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eastAsia"/>
                <w:color w:val="auto"/>
                <w:sz w:val="21"/>
                <w:szCs w:val="21"/>
                <w:lang w:val="en-US" w:eastAsia="zh-CN"/>
              </w:rPr>
              <w:t>0.009</w:t>
            </w:r>
          </w:p>
        </w:tc>
      </w:tr>
      <w:tr>
        <w:tblPrEx>
          <w:tblCellMar>
            <w:top w:w="0" w:type="dxa"/>
            <w:left w:w="0" w:type="dxa"/>
            <w:bottom w:w="0" w:type="dxa"/>
            <w:right w:w="0" w:type="dxa"/>
          </w:tblCellMar>
        </w:tblPrEx>
        <w:trPr>
          <w:trHeight w:val="533" w:hRule="exact"/>
          <w:jc w:val="center"/>
        </w:trPr>
        <w:tc>
          <w:tcPr>
            <w:tcW w:w="1291"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10</w:t>
            </w:r>
          </w:p>
        </w:tc>
        <w:tc>
          <w:tcPr>
            <w:tcW w:w="3104"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color w:val="auto"/>
                <w:sz w:val="21"/>
                <w:szCs w:val="21"/>
                <w:lang w:val="en-US" w:eastAsia="zh-CN"/>
              </w:rPr>
            </w:pPr>
            <w:r>
              <w:rPr>
                <w:rFonts w:hint="eastAsia"/>
                <w:color w:val="auto"/>
                <w:sz w:val="21"/>
                <w:szCs w:val="21"/>
                <w:lang w:val="en-US" w:eastAsia="zh-CN"/>
              </w:rPr>
              <w:t xml:space="preserve">111.32 </w:t>
            </w:r>
          </w:p>
        </w:tc>
        <w:tc>
          <w:tcPr>
            <w:tcW w:w="3683"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eastAsia"/>
                <w:color w:val="auto"/>
                <w:sz w:val="21"/>
                <w:szCs w:val="21"/>
                <w:lang w:val="en-US" w:eastAsia="zh-CN"/>
              </w:rPr>
              <w:t>0.019</w:t>
            </w:r>
          </w:p>
        </w:tc>
      </w:tr>
      <w:tr>
        <w:tblPrEx>
          <w:tblCellMar>
            <w:top w:w="0" w:type="dxa"/>
            <w:left w:w="0" w:type="dxa"/>
            <w:bottom w:w="0" w:type="dxa"/>
            <w:right w:w="0" w:type="dxa"/>
          </w:tblCellMar>
        </w:tblPrEx>
        <w:trPr>
          <w:trHeight w:val="533" w:hRule="exact"/>
          <w:jc w:val="center"/>
        </w:trPr>
        <w:tc>
          <w:tcPr>
            <w:tcW w:w="1291"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20</w:t>
            </w:r>
          </w:p>
        </w:tc>
        <w:tc>
          <w:tcPr>
            <w:tcW w:w="3104"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color w:val="auto"/>
                <w:sz w:val="21"/>
                <w:szCs w:val="21"/>
                <w:lang w:val="en-US" w:eastAsia="zh-CN"/>
              </w:rPr>
            </w:pPr>
            <w:r>
              <w:rPr>
                <w:rFonts w:hint="eastAsia"/>
                <w:color w:val="auto"/>
                <w:sz w:val="21"/>
                <w:szCs w:val="21"/>
                <w:lang w:val="en-US" w:eastAsia="zh-CN"/>
              </w:rPr>
              <w:t xml:space="preserve">222.63 </w:t>
            </w:r>
          </w:p>
        </w:tc>
        <w:tc>
          <w:tcPr>
            <w:tcW w:w="3683" w:type="dxa"/>
            <w:tcBorders>
              <w:top w:val="single" w:color="000000" w:sz="4" w:space="0"/>
              <w:left w:val="single" w:color="000000" w:sz="4" w:space="0"/>
              <w:bottom w:val="single" w:color="000000" w:sz="4" w:space="0"/>
              <w:right w:val="single" w:color="000000" w:sz="4" w:space="0"/>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eastAsia"/>
                <w:color w:val="auto"/>
                <w:sz w:val="21"/>
                <w:szCs w:val="21"/>
                <w:lang w:val="en-US" w:eastAsia="zh-CN"/>
              </w:rPr>
              <w:t>0.037</w:t>
            </w:r>
          </w:p>
        </w:tc>
      </w:tr>
    </w:tbl>
    <w:p>
      <w:pPr>
        <w:pStyle w:val="39"/>
        <w:keepNext w:val="0"/>
        <w:keepLines w:val="0"/>
        <w:pageBreakBefore w:val="0"/>
        <w:widowControl w:val="0"/>
        <w:kinsoku/>
        <w:wordWrap/>
        <w:overflowPunct/>
        <w:topLinePunct w:val="0"/>
        <w:autoSpaceDE/>
        <w:autoSpaceDN/>
        <w:bidi w:val="0"/>
        <w:adjustRightInd w:val="0"/>
        <w:snapToGrid w:val="0"/>
        <w:jc w:val="both"/>
        <w:textAlignment w:val="auto"/>
        <w:outlineLvl w:val="9"/>
        <w:rPr>
          <w:color w:val="auto"/>
        </w:rPr>
      </w:pPr>
    </w:p>
    <w:p>
      <w:pPr>
        <w:pStyle w:val="39"/>
        <w:keepNext w:val="0"/>
        <w:keepLines w:val="0"/>
        <w:pageBreakBefore w:val="0"/>
        <w:widowControl w:val="0"/>
        <w:kinsoku/>
        <w:wordWrap/>
        <w:overflowPunct/>
        <w:topLinePunct w:val="0"/>
        <w:autoSpaceDE/>
        <w:autoSpaceDN/>
        <w:bidi w:val="0"/>
        <w:adjustRightInd w:val="0"/>
        <w:snapToGrid w:val="0"/>
        <w:jc w:val="both"/>
        <w:textAlignment w:val="auto"/>
        <w:outlineLvl w:val="9"/>
        <w:rPr>
          <w:color w:val="auto"/>
        </w:rPr>
      </w:pPr>
      <w:r>
        <w:rPr>
          <w:color w:val="auto"/>
        </w:rPr>
        <w:t>本次评价范围内每个预测年度内发生污水收集池破损高浓度有机废水最不利影响泄漏入渗土壤情况下，单位质量表层土壤中CODCr增量为</w:t>
      </w:r>
      <w:r>
        <w:rPr>
          <w:rFonts w:hint="eastAsia"/>
          <w:color w:val="auto"/>
          <w:lang w:val="en-US" w:eastAsia="zh-CN"/>
        </w:rPr>
        <w:t>1</w:t>
      </w:r>
      <w:r>
        <w:rPr>
          <w:color w:val="auto"/>
        </w:rPr>
        <w:t>.</w:t>
      </w:r>
      <w:r>
        <w:rPr>
          <w:rFonts w:hint="eastAsia"/>
          <w:color w:val="auto"/>
          <w:lang w:val="en-US" w:eastAsia="zh-CN"/>
        </w:rPr>
        <w:t>113m</w:t>
      </w:r>
      <w:r>
        <w:rPr>
          <w:color w:val="auto"/>
        </w:rPr>
        <w:t>g/kg；发生污水收集池破损</w:t>
      </w:r>
      <w:r>
        <w:rPr>
          <w:rFonts w:hint="eastAsia"/>
          <w:color w:val="auto"/>
          <w:lang w:val="en-US" w:eastAsia="zh-CN"/>
        </w:rPr>
        <w:t>含镍废水</w:t>
      </w:r>
      <w:r>
        <w:rPr>
          <w:color w:val="auto"/>
        </w:rPr>
        <w:t>最不利影响泄漏入渗土壤情况下，单位质量表层土壤中</w:t>
      </w:r>
      <w:r>
        <w:rPr>
          <w:rFonts w:hint="eastAsia"/>
          <w:color w:val="auto"/>
          <w:lang w:val="en-US" w:eastAsia="zh-CN"/>
        </w:rPr>
        <w:t>镍</w:t>
      </w:r>
      <w:r>
        <w:rPr>
          <w:color w:val="auto"/>
        </w:rPr>
        <w:t>的增量为0.</w:t>
      </w:r>
      <w:r>
        <w:rPr>
          <w:rFonts w:hint="eastAsia"/>
          <w:color w:val="auto"/>
          <w:lang w:val="en-US" w:eastAsia="zh-CN"/>
        </w:rPr>
        <w:t>002</w:t>
      </w:r>
      <w:r>
        <w:rPr>
          <w:color w:val="auto"/>
        </w:rPr>
        <w:t>mg/kg。</w:t>
      </w:r>
    </w:p>
    <w:p>
      <w:pPr>
        <w:pStyle w:val="39"/>
        <w:keepNext w:val="0"/>
        <w:keepLines w:val="0"/>
        <w:pageBreakBefore w:val="0"/>
        <w:widowControl w:val="0"/>
        <w:kinsoku/>
        <w:wordWrap/>
        <w:overflowPunct/>
        <w:topLinePunct w:val="0"/>
        <w:autoSpaceDE/>
        <w:autoSpaceDN/>
        <w:bidi w:val="0"/>
        <w:adjustRightInd w:val="0"/>
        <w:snapToGrid w:val="0"/>
        <w:textAlignment w:val="auto"/>
        <w:rPr>
          <w:color w:val="auto"/>
        </w:rPr>
      </w:pPr>
      <w:r>
        <w:rPr>
          <w:color w:val="auto"/>
        </w:rPr>
        <w:t>《土壤环境质量建设用地土壤污染风险管控标准》（GB36600-2018）中特征因子</w:t>
      </w:r>
      <w:r>
        <w:rPr>
          <w:rFonts w:hint="eastAsia"/>
          <w:color w:val="auto"/>
          <w:lang w:val="en-US" w:eastAsia="zh-CN"/>
        </w:rPr>
        <w:t>镍</w:t>
      </w:r>
      <w:r>
        <w:rPr>
          <w:color w:val="auto"/>
        </w:rPr>
        <w:t>第二类用地筛选值为</w:t>
      </w:r>
      <w:r>
        <w:rPr>
          <w:rFonts w:hint="eastAsia"/>
          <w:color w:val="auto"/>
          <w:lang w:val="en-US" w:eastAsia="zh-CN"/>
        </w:rPr>
        <w:t>9</w:t>
      </w:r>
      <w:r>
        <w:rPr>
          <w:color w:val="auto"/>
        </w:rPr>
        <w:t>00mg/kg，本次预测结果在考虑最不利的影响状态下（不考虑自然界的雨水淋溶、水体径流带走消耗）</w:t>
      </w:r>
      <w:r>
        <w:rPr>
          <w:rFonts w:hint="eastAsia"/>
          <w:color w:val="auto"/>
          <w:lang w:eastAsia="zh-CN"/>
        </w:rPr>
        <w:t>，</w:t>
      </w:r>
      <w:r>
        <w:rPr>
          <w:color w:val="auto"/>
        </w:rPr>
        <w:t>预测20年内的增加值</w:t>
      </w:r>
      <w:r>
        <w:rPr>
          <w:rFonts w:hint="eastAsia"/>
          <w:color w:val="auto"/>
          <w:lang w:val="en-US" w:eastAsia="zh-CN"/>
        </w:rPr>
        <w:t>为0.037mg/kg，占标准值的</w:t>
      </w:r>
      <w:r>
        <w:rPr>
          <w:color w:val="auto"/>
        </w:rPr>
        <w:t>0.</w:t>
      </w:r>
      <w:r>
        <w:rPr>
          <w:rFonts w:hint="eastAsia"/>
          <w:color w:val="auto"/>
          <w:lang w:val="en-US" w:eastAsia="zh-CN"/>
        </w:rPr>
        <w:t>004</w:t>
      </w:r>
      <w:r>
        <w:rPr>
          <w:color w:val="auto"/>
        </w:rPr>
        <w:t>%，预测表明结果达到GB36600-201中相关要求。</w:t>
      </w:r>
    </w:p>
    <w:p>
      <w:pPr>
        <w:pStyle w:val="39"/>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lang w:val="en-US" w:eastAsia="zh-CN"/>
        </w:rPr>
        <w:t>2）</w:t>
      </w:r>
      <w:r>
        <w:rPr>
          <w:color w:val="auto"/>
        </w:rPr>
        <w:t xml:space="preserve">评价选取HJ964-2018 附录 </w:t>
      </w:r>
      <w:r>
        <w:rPr>
          <w:rFonts w:hint="eastAsia"/>
          <w:color w:val="auto"/>
          <w:lang w:val="en-US" w:eastAsia="zh-CN"/>
        </w:rPr>
        <w:t>F</w:t>
      </w:r>
      <w:r>
        <w:rPr>
          <w:color w:val="auto"/>
        </w:rPr>
        <w:t xml:space="preserve"> 推荐土壤</w:t>
      </w:r>
      <w:r>
        <w:rPr>
          <w:rFonts w:hint="eastAsia"/>
          <w:color w:val="auto"/>
          <w:lang w:eastAsia="zh-CN"/>
        </w:rPr>
        <w:t>盐化综合评分</w:t>
      </w:r>
      <w:r>
        <w:rPr>
          <w:color w:val="auto"/>
        </w:rPr>
        <w:t>预测方法</w:t>
      </w:r>
      <w:r>
        <w:rPr>
          <w:rFonts w:hint="eastAsia"/>
          <w:color w:val="auto"/>
          <w:lang w:eastAsia="zh-CN"/>
        </w:rPr>
        <w:t>。</w:t>
      </w:r>
    </w:p>
    <w:p>
      <w:pPr>
        <w:pStyle w:val="39"/>
        <w:keepNext w:val="0"/>
        <w:keepLines w:val="0"/>
        <w:pageBreakBefore w:val="0"/>
        <w:widowControl w:val="0"/>
        <w:kinsoku/>
        <w:wordWrap/>
        <w:overflowPunct/>
        <w:topLinePunct w:val="0"/>
        <w:autoSpaceDE/>
        <w:autoSpaceDN/>
        <w:bidi w:val="0"/>
        <w:adjustRightInd w:val="0"/>
        <w:snapToGrid w:val="0"/>
        <w:jc w:val="both"/>
        <w:textAlignment w:val="auto"/>
        <w:outlineLvl w:val="9"/>
        <w:rPr>
          <w:color w:val="auto"/>
          <w:lang w:val="en-US" w:eastAsia="zh-CN"/>
        </w:rPr>
      </w:pPr>
      <w:r>
        <w:rPr>
          <w:rFonts w:hint="eastAsia"/>
          <w:color w:val="auto"/>
          <w:lang w:val="en-US" w:eastAsia="zh-CN"/>
        </w:rPr>
        <w:t>该方法</w:t>
      </w:r>
      <w:r>
        <w:rPr>
          <w:color w:val="auto"/>
          <w:lang w:val="en-US" w:eastAsia="zh-CN"/>
        </w:rPr>
        <w:t>根据表 F.1 选取各项影响因素的分值与权重，采用公式（F.1）计算土壤盐化综合评分值（Sa）， 对照表 F.2 得出土壤盐化综合评分预测结果。</w:t>
      </w:r>
    </w:p>
    <w:p>
      <w:pPr>
        <w:pStyle w:val="39"/>
        <w:keepNext w:val="0"/>
        <w:keepLines w:val="0"/>
        <w:pageBreakBefore w:val="0"/>
        <w:widowControl w:val="0"/>
        <w:kinsoku/>
        <w:wordWrap/>
        <w:overflowPunct/>
        <w:topLinePunct w:val="0"/>
        <w:autoSpaceDE/>
        <w:autoSpaceDN/>
        <w:bidi w:val="0"/>
        <w:adjustRightInd w:val="0"/>
        <w:snapToGrid w:val="0"/>
        <w:jc w:val="both"/>
        <w:textAlignment w:val="auto"/>
        <w:outlineLvl w:val="9"/>
        <w:rPr>
          <w:rFonts w:hint="eastAsia"/>
          <w:color w:val="auto"/>
          <w:sz w:val="32"/>
          <w:szCs w:val="32"/>
          <w:lang w:val="en-US" w:eastAsia="zh-CN"/>
        </w:rPr>
      </w:pPr>
      <w:r>
        <w:rPr>
          <w:rFonts w:hint="eastAsia"/>
          <w:color w:val="auto"/>
          <w:lang w:val="en-US" w:eastAsia="zh-CN"/>
        </w:rPr>
        <w:t xml:space="preserve"> </w:t>
      </w:r>
    </w:p>
    <w:p>
      <w:pPr>
        <w:pStyle w:val="39"/>
        <w:keepNext w:val="0"/>
        <w:keepLines w:val="0"/>
        <w:pageBreakBefore w:val="0"/>
        <w:widowControl w:val="0"/>
        <w:kinsoku/>
        <w:wordWrap/>
        <w:overflowPunct/>
        <w:topLinePunct w:val="0"/>
        <w:autoSpaceDE/>
        <w:autoSpaceDN/>
        <w:bidi w:val="0"/>
        <w:adjustRightInd w:val="0"/>
        <w:snapToGrid w:val="0"/>
        <w:spacing w:line="240" w:lineRule="exact"/>
        <w:ind w:firstLine="3600" w:firstLineChars="1500"/>
        <w:jc w:val="both"/>
        <w:textAlignment w:val="auto"/>
        <w:outlineLvl w:val="9"/>
        <w:rPr>
          <w:rFonts w:hint="default"/>
          <w:color w:val="auto"/>
          <w:lang w:val="en-US" w:eastAsia="zh-CN"/>
        </w:rPr>
      </w:pPr>
      <w:r>
        <w:rPr>
          <w:rFonts w:hint="eastAsia"/>
          <w:color w:val="auto"/>
          <w:lang w:val="en-US" w:eastAsia="zh-CN"/>
        </w:rPr>
        <w:t>n</w:t>
      </w:r>
    </w:p>
    <w:p>
      <w:pPr>
        <w:pStyle w:val="39"/>
        <w:keepNext w:val="0"/>
        <w:keepLines w:val="0"/>
        <w:pageBreakBefore w:val="0"/>
        <w:widowControl w:val="0"/>
        <w:kinsoku/>
        <w:wordWrap/>
        <w:overflowPunct/>
        <w:topLinePunct w:val="0"/>
        <w:autoSpaceDE/>
        <w:autoSpaceDN/>
        <w:bidi w:val="0"/>
        <w:adjustRightInd w:val="0"/>
        <w:snapToGrid w:val="0"/>
        <w:spacing w:line="240" w:lineRule="exact"/>
        <w:ind w:firstLine="2700" w:firstLineChars="900"/>
        <w:jc w:val="both"/>
        <w:textAlignment w:val="auto"/>
        <w:outlineLvl w:val="9"/>
        <w:rPr>
          <w:rFonts w:hint="eastAsia" w:ascii="Times New Roman" w:hAnsi="Times New Roman" w:eastAsia="宋体" w:cs="Times New Roman"/>
          <w:color w:val="auto"/>
          <w:sz w:val="30"/>
          <w:szCs w:val="30"/>
          <w:lang w:val="en-US" w:eastAsia="zh-CN"/>
        </w:rPr>
      </w:pPr>
      <w:r>
        <w:rPr>
          <w:rFonts w:hint="eastAsia"/>
          <w:color w:val="auto"/>
          <w:sz w:val="30"/>
          <w:szCs w:val="30"/>
          <w:lang w:val="en-US" w:eastAsia="zh-CN"/>
        </w:rPr>
        <w:t xml:space="preserve">Sa = </w:t>
      </w:r>
      <w:r>
        <w:rPr>
          <w:rFonts w:hint="default" w:ascii="Times New Roman" w:hAnsi="Times New Roman" w:cs="Times New Roman"/>
          <w:color w:val="auto"/>
          <w:sz w:val="30"/>
          <w:szCs w:val="30"/>
          <w:lang w:val="en-US" w:eastAsia="zh-CN"/>
        </w:rPr>
        <w:t>Σ</w:t>
      </w:r>
      <w:r>
        <w:rPr>
          <w:rFonts w:hint="eastAsia" w:ascii="Times New Roman" w:hAnsi="Times New Roman" w:cs="Times New Roman"/>
          <w:color w:val="auto"/>
          <w:sz w:val="30"/>
          <w:szCs w:val="30"/>
          <w:lang w:val="en-US" w:eastAsia="zh-CN"/>
        </w:rPr>
        <w:t xml:space="preserve">   Wxi </w:t>
      </w:r>
      <w:r>
        <w:rPr>
          <w:rFonts w:hint="default" w:ascii="Arial" w:hAnsi="Arial" w:cs="Arial"/>
          <w:color w:val="auto"/>
          <w:sz w:val="30"/>
          <w:szCs w:val="30"/>
          <w:lang w:val="en-US" w:eastAsia="zh-CN"/>
        </w:rPr>
        <w:t>×</w:t>
      </w:r>
      <w:r>
        <w:rPr>
          <w:rFonts w:hint="eastAsia" w:ascii="Times New Roman" w:hAnsi="Times New Roman" w:cs="Times New Roman"/>
          <w:color w:val="auto"/>
          <w:sz w:val="30"/>
          <w:szCs w:val="30"/>
          <w:lang w:val="en-US" w:eastAsia="zh-CN"/>
        </w:rPr>
        <w:t xml:space="preserve">I xi              </w:t>
      </w:r>
      <w:r>
        <w:rPr>
          <w:color w:val="auto"/>
        </w:rPr>
        <w:t>（</w:t>
      </w:r>
      <w:r>
        <w:rPr>
          <w:rFonts w:ascii="Times New Roman" w:eastAsia="Times New Roman"/>
          <w:color w:val="auto"/>
        </w:rPr>
        <w:t>F.1</w:t>
      </w:r>
      <w:r>
        <w:rPr>
          <w:rFonts w:hint="eastAsia" w:eastAsia="宋体"/>
          <w:color w:val="auto"/>
          <w:lang w:eastAsia="zh-CN"/>
        </w:rPr>
        <w:t>）</w:t>
      </w:r>
    </w:p>
    <w:p>
      <w:pPr>
        <w:pStyle w:val="39"/>
        <w:keepNext w:val="0"/>
        <w:keepLines w:val="0"/>
        <w:pageBreakBefore w:val="0"/>
        <w:widowControl w:val="0"/>
        <w:kinsoku/>
        <w:wordWrap/>
        <w:overflowPunct/>
        <w:topLinePunct w:val="0"/>
        <w:autoSpaceDE/>
        <w:autoSpaceDN/>
        <w:bidi w:val="0"/>
        <w:adjustRightInd w:val="0"/>
        <w:snapToGrid w:val="0"/>
        <w:spacing w:line="240" w:lineRule="exact"/>
        <w:ind w:firstLine="3600" w:firstLineChars="1500"/>
        <w:jc w:val="both"/>
        <w:textAlignment w:val="auto"/>
        <w:outlineLvl w:val="9"/>
        <w:rPr>
          <w:rFonts w:hint="default"/>
          <w:color w:val="auto"/>
          <w:lang w:val="en-US" w:eastAsia="zh-CN"/>
        </w:rPr>
      </w:pPr>
      <w:r>
        <w:rPr>
          <w:rFonts w:hint="eastAsia"/>
          <w:color w:val="auto"/>
          <w:lang w:val="en-US" w:eastAsia="zh-CN"/>
        </w:rPr>
        <w:t>i=1</w:t>
      </w:r>
    </w:p>
    <w:p>
      <w:pPr>
        <w:pStyle w:val="39"/>
        <w:keepNext w:val="0"/>
        <w:keepLines w:val="0"/>
        <w:pageBreakBefore w:val="0"/>
        <w:widowControl w:val="0"/>
        <w:kinsoku/>
        <w:wordWrap/>
        <w:overflowPunct/>
        <w:topLinePunct w:val="0"/>
        <w:autoSpaceDE/>
        <w:autoSpaceDN/>
        <w:bidi w:val="0"/>
        <w:adjustRightInd w:val="0"/>
        <w:snapToGrid w:val="0"/>
        <w:jc w:val="both"/>
        <w:textAlignment w:val="auto"/>
        <w:outlineLvl w:val="9"/>
        <w:rPr>
          <w:rFonts w:hint="eastAsia"/>
          <w:color w:val="auto"/>
          <w:lang w:val="en-US" w:eastAsia="zh-CN"/>
        </w:rPr>
      </w:pPr>
    </w:p>
    <w:p>
      <w:pPr>
        <w:pStyle w:val="39"/>
        <w:keepNext w:val="0"/>
        <w:keepLines w:val="0"/>
        <w:pageBreakBefore w:val="0"/>
        <w:widowControl w:val="0"/>
        <w:kinsoku/>
        <w:wordWrap/>
        <w:overflowPunct/>
        <w:topLinePunct w:val="0"/>
        <w:autoSpaceDE/>
        <w:autoSpaceDN/>
        <w:bidi w:val="0"/>
        <w:adjustRightInd w:val="0"/>
        <w:snapToGrid w:val="0"/>
        <w:jc w:val="both"/>
        <w:textAlignment w:val="auto"/>
        <w:outlineLvl w:val="9"/>
        <w:rPr>
          <w:rFonts w:hint="eastAsia"/>
          <w:color w:val="auto"/>
          <w:lang w:val="en-US" w:eastAsia="zh-CN"/>
        </w:rPr>
      </w:pPr>
      <w:r>
        <w:rPr>
          <w:rFonts w:hint="eastAsia"/>
          <w:color w:val="auto"/>
          <w:lang w:val="en-US" w:eastAsia="zh-CN"/>
        </w:rPr>
        <w:t>式中：n——影响因素指标数目； Ixi——影响因素 i 指标评分； Wxi——影响因素 i 指标权重。</w:t>
      </w:r>
    </w:p>
    <w:p>
      <w:pPr>
        <w:pStyle w:val="16"/>
        <w:tabs>
          <w:tab w:val="left" w:pos="787"/>
        </w:tabs>
        <w:spacing w:before="163"/>
        <w:ind w:right="79"/>
        <w:jc w:val="center"/>
        <w:rPr>
          <w:rFonts w:hint="eastAsia" w:ascii="Times New Roman" w:hAnsi="Times New Roman" w:eastAsia="宋体" w:cs="Times New Roman"/>
          <w:b/>
          <w:bCs/>
          <w:color w:val="auto"/>
          <w:kern w:val="2"/>
          <w:sz w:val="21"/>
          <w:szCs w:val="21"/>
          <w:lang w:val="en-US" w:eastAsia="zh-CN" w:bidi="ar-SA"/>
        </w:rPr>
      </w:pPr>
      <w:bookmarkStart w:id="502" w:name="F.2  土壤盐化影响因素赋值表"/>
      <w:bookmarkEnd w:id="502"/>
      <w:bookmarkStart w:id="503" w:name="F.2  土壤盐化影响因素赋值表"/>
      <w:bookmarkEnd w:id="503"/>
      <w:r>
        <w:rPr>
          <w:rFonts w:hint="eastAsia" w:ascii="Times New Roman" w:hAnsi="Times New Roman" w:eastAsia="宋体" w:cs="Times New Roman"/>
          <w:b/>
          <w:bCs/>
          <w:color w:val="auto"/>
          <w:kern w:val="2"/>
          <w:sz w:val="21"/>
          <w:szCs w:val="21"/>
          <w:lang w:val="en-US" w:eastAsia="zh-CN" w:bidi="ar-SA"/>
        </w:rPr>
        <w:t>表6-10</w:t>
      </w:r>
      <w:r>
        <w:rPr>
          <w:rFonts w:hint="eastAsia" w:ascii="Times New Roman" w:hAnsi="Times New Roman" w:eastAsia="宋体" w:cs="Times New Roman"/>
          <w:b/>
          <w:bCs/>
          <w:color w:val="auto"/>
          <w:kern w:val="2"/>
          <w:sz w:val="21"/>
          <w:szCs w:val="21"/>
          <w:lang w:val="en-US" w:eastAsia="zh-CN" w:bidi="ar-SA"/>
        </w:rPr>
        <w:tab/>
      </w:r>
      <w:r>
        <w:rPr>
          <w:rFonts w:hint="eastAsia" w:ascii="Times New Roman" w:hAnsi="Times New Roman" w:eastAsia="宋体" w:cs="Times New Roman"/>
          <w:b/>
          <w:bCs/>
          <w:color w:val="auto"/>
          <w:kern w:val="2"/>
          <w:sz w:val="21"/>
          <w:szCs w:val="21"/>
          <w:lang w:val="en-US" w:eastAsia="zh-CN" w:bidi="ar-SA"/>
        </w:rPr>
        <w:t>土壤盐化影响因素赋值表</w:t>
      </w:r>
    </w:p>
    <w:p>
      <w:pPr>
        <w:pStyle w:val="16"/>
        <w:spacing w:before="7"/>
        <w:rPr>
          <w:rFonts w:ascii="黑体"/>
          <w:color w:val="auto"/>
          <w:sz w:val="6"/>
        </w:rPr>
      </w:pPr>
    </w:p>
    <w:tbl>
      <w:tblPr>
        <w:tblStyle w:val="24"/>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684"/>
        <w:gridCol w:w="1134"/>
        <w:gridCol w:w="1559"/>
        <w:gridCol w:w="1559"/>
        <w:gridCol w:w="1134"/>
        <w:gridCol w:w="98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4" w:hRule="atLeast"/>
          <w:jc w:val="center"/>
        </w:trPr>
        <w:tc>
          <w:tcPr>
            <w:tcW w:w="2684" w:type="dxa"/>
            <w:vMerge w:val="restart"/>
            <w:tcBorders>
              <w:right w:val="single" w:color="000000" w:sz="6" w:space="0"/>
            </w:tcBorders>
          </w:tcPr>
          <w:p>
            <w:pPr>
              <w:pStyle w:val="52"/>
              <w:keepNext w:val="0"/>
              <w:keepLines w:val="0"/>
              <w:suppressLineNumbers w:val="0"/>
              <w:spacing w:before="12" w:beforeAutospacing="0" w:after="0" w:afterAutospacing="0"/>
              <w:ind w:left="0" w:right="0"/>
              <w:rPr>
                <w:rFonts w:hint="default" w:ascii="黑体"/>
                <w:color w:val="auto"/>
                <w:sz w:val="15"/>
              </w:rPr>
            </w:pPr>
          </w:p>
          <w:p>
            <w:pPr>
              <w:pStyle w:val="52"/>
              <w:keepNext w:val="0"/>
              <w:keepLines w:val="0"/>
              <w:suppressLineNumbers w:val="0"/>
              <w:spacing w:before="0" w:beforeAutospacing="0" w:after="0" w:afterAutospacing="0"/>
              <w:ind w:left="15" w:right="0"/>
              <w:jc w:val="center"/>
              <w:rPr>
                <w:rFonts w:hint="default"/>
                <w:color w:val="auto"/>
                <w:sz w:val="18"/>
              </w:rPr>
            </w:pPr>
            <w:r>
              <w:rPr>
                <w:rFonts w:hint="default"/>
                <w:color w:val="auto"/>
                <w:sz w:val="18"/>
              </w:rPr>
              <w:t>影响因素</w:t>
            </w:r>
          </w:p>
        </w:tc>
        <w:tc>
          <w:tcPr>
            <w:tcW w:w="5386" w:type="dxa"/>
            <w:gridSpan w:val="4"/>
            <w:tcBorders>
              <w:left w:val="single" w:color="000000" w:sz="6" w:space="0"/>
              <w:bottom w:val="single" w:color="000000" w:sz="6" w:space="0"/>
              <w:right w:val="single" w:color="000000" w:sz="6" w:space="0"/>
            </w:tcBorders>
          </w:tcPr>
          <w:p>
            <w:pPr>
              <w:pStyle w:val="52"/>
              <w:keepNext w:val="0"/>
              <w:keepLines w:val="0"/>
              <w:suppressLineNumbers w:val="0"/>
              <w:spacing w:before="41" w:beforeAutospacing="0" w:after="0" w:afterAutospacing="0"/>
              <w:ind w:left="2494" w:right="2477"/>
              <w:jc w:val="center"/>
              <w:rPr>
                <w:rFonts w:hint="default"/>
                <w:color w:val="auto"/>
                <w:sz w:val="18"/>
              </w:rPr>
            </w:pPr>
            <w:r>
              <w:rPr>
                <w:rFonts w:hint="default"/>
                <w:color w:val="auto"/>
                <w:sz w:val="18"/>
              </w:rPr>
              <w:t>分值</w:t>
            </w:r>
          </w:p>
        </w:tc>
        <w:tc>
          <w:tcPr>
            <w:tcW w:w="980" w:type="dxa"/>
            <w:vMerge w:val="restart"/>
            <w:tcBorders>
              <w:left w:val="single" w:color="000000" w:sz="6" w:space="0"/>
            </w:tcBorders>
          </w:tcPr>
          <w:p>
            <w:pPr>
              <w:pStyle w:val="52"/>
              <w:keepNext w:val="0"/>
              <w:keepLines w:val="0"/>
              <w:suppressLineNumbers w:val="0"/>
              <w:spacing w:before="12" w:beforeAutospacing="0" w:after="0" w:afterAutospacing="0"/>
              <w:ind w:left="0" w:right="0"/>
              <w:rPr>
                <w:rFonts w:hint="default" w:ascii="黑体"/>
                <w:color w:val="auto"/>
                <w:sz w:val="15"/>
              </w:rPr>
            </w:pPr>
          </w:p>
          <w:p>
            <w:pPr>
              <w:pStyle w:val="52"/>
              <w:keepNext w:val="0"/>
              <w:keepLines w:val="0"/>
              <w:suppressLineNumbers w:val="0"/>
              <w:spacing w:before="0" w:beforeAutospacing="0" w:after="0" w:afterAutospacing="0"/>
              <w:ind w:left="312" w:right="0"/>
              <w:rPr>
                <w:rFonts w:hint="default"/>
                <w:color w:val="auto"/>
                <w:sz w:val="18"/>
              </w:rPr>
            </w:pPr>
            <w:r>
              <w:rPr>
                <w:rFonts w:hint="default"/>
                <w:color w:val="auto"/>
                <w:sz w:val="18"/>
              </w:rPr>
              <w:t>权重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9" w:hRule="atLeast"/>
          <w:jc w:val="center"/>
        </w:trPr>
        <w:tc>
          <w:tcPr>
            <w:tcW w:w="2684" w:type="dxa"/>
            <w:vMerge w:val="continue"/>
            <w:tcBorders>
              <w:top w:val="nil"/>
              <w:right w:val="single" w:color="000000" w:sz="6" w:space="0"/>
            </w:tcBorders>
          </w:tcPr>
          <w:p>
            <w:pPr>
              <w:keepNext w:val="0"/>
              <w:keepLines w:val="0"/>
              <w:suppressLineNumbers w:val="0"/>
              <w:spacing w:before="0" w:beforeAutospacing="0" w:after="0" w:afterAutospacing="0"/>
              <w:ind w:left="0" w:right="0"/>
              <w:rPr>
                <w:rFonts w:hint="default"/>
                <w:color w:val="auto"/>
                <w:sz w:val="2"/>
                <w:szCs w:val="2"/>
              </w:rPr>
            </w:pPr>
          </w:p>
        </w:tc>
        <w:tc>
          <w:tcPr>
            <w:tcW w:w="1134" w:type="dxa"/>
            <w:tcBorders>
              <w:top w:val="single" w:color="000000" w:sz="6" w:space="0"/>
              <w:left w:val="single" w:color="000000" w:sz="6" w:space="0"/>
              <w:right w:val="single" w:color="000000" w:sz="6" w:space="0"/>
            </w:tcBorders>
          </w:tcPr>
          <w:p>
            <w:pPr>
              <w:pStyle w:val="52"/>
              <w:keepNext w:val="0"/>
              <w:keepLines w:val="0"/>
              <w:suppressLineNumbers w:val="0"/>
              <w:spacing w:before="38" w:beforeAutospacing="0" w:after="0" w:afterAutospacing="0"/>
              <w:ind w:left="18" w:right="0"/>
              <w:jc w:val="center"/>
              <w:rPr>
                <w:rFonts w:hint="default"/>
                <w:color w:val="auto"/>
                <w:sz w:val="18"/>
              </w:rPr>
            </w:pPr>
            <w:r>
              <w:rPr>
                <w:rFonts w:hint="default" w:ascii="Times New Roman" w:eastAsia="Times New Roman"/>
                <w:color w:val="auto"/>
                <w:sz w:val="18"/>
              </w:rPr>
              <w:t xml:space="preserve">0 </w:t>
            </w:r>
            <w:r>
              <w:rPr>
                <w:rFonts w:hint="default"/>
                <w:color w:val="auto"/>
                <w:sz w:val="18"/>
              </w:rPr>
              <w:t>分</w:t>
            </w:r>
          </w:p>
        </w:tc>
        <w:tc>
          <w:tcPr>
            <w:tcW w:w="1559" w:type="dxa"/>
            <w:tcBorders>
              <w:top w:val="single" w:color="000000" w:sz="6" w:space="0"/>
              <w:left w:val="single" w:color="000000" w:sz="6" w:space="0"/>
              <w:right w:val="single" w:color="000000" w:sz="6" w:space="0"/>
            </w:tcBorders>
          </w:tcPr>
          <w:p>
            <w:pPr>
              <w:pStyle w:val="52"/>
              <w:keepNext w:val="0"/>
              <w:keepLines w:val="0"/>
              <w:suppressLineNumbers w:val="0"/>
              <w:spacing w:before="38" w:beforeAutospacing="0" w:after="0" w:afterAutospacing="0"/>
              <w:ind w:left="139" w:right="121"/>
              <w:jc w:val="center"/>
              <w:rPr>
                <w:rFonts w:hint="default"/>
                <w:color w:val="auto"/>
                <w:sz w:val="18"/>
              </w:rPr>
            </w:pPr>
            <w:r>
              <w:rPr>
                <w:rFonts w:hint="default" w:ascii="Times New Roman" w:eastAsia="Times New Roman"/>
                <w:color w:val="auto"/>
                <w:sz w:val="18"/>
              </w:rPr>
              <w:t xml:space="preserve">2 </w:t>
            </w:r>
            <w:r>
              <w:rPr>
                <w:rFonts w:hint="default"/>
                <w:color w:val="auto"/>
                <w:sz w:val="18"/>
              </w:rPr>
              <w:t>分</w:t>
            </w:r>
          </w:p>
        </w:tc>
        <w:tc>
          <w:tcPr>
            <w:tcW w:w="1559" w:type="dxa"/>
            <w:tcBorders>
              <w:top w:val="single" w:color="000000" w:sz="6" w:space="0"/>
              <w:left w:val="single" w:color="000000" w:sz="6" w:space="0"/>
              <w:right w:val="single" w:color="000000" w:sz="6" w:space="0"/>
            </w:tcBorders>
          </w:tcPr>
          <w:p>
            <w:pPr>
              <w:pStyle w:val="52"/>
              <w:keepNext w:val="0"/>
              <w:keepLines w:val="0"/>
              <w:suppressLineNumbers w:val="0"/>
              <w:spacing w:before="38" w:beforeAutospacing="0" w:after="0" w:afterAutospacing="0"/>
              <w:ind w:left="141" w:right="121"/>
              <w:jc w:val="center"/>
              <w:rPr>
                <w:rFonts w:hint="default"/>
                <w:color w:val="auto"/>
                <w:sz w:val="18"/>
              </w:rPr>
            </w:pPr>
            <w:r>
              <w:rPr>
                <w:rFonts w:hint="default" w:ascii="Times New Roman" w:eastAsia="Times New Roman"/>
                <w:color w:val="auto"/>
                <w:sz w:val="18"/>
              </w:rPr>
              <w:t xml:space="preserve">4 </w:t>
            </w:r>
            <w:r>
              <w:rPr>
                <w:rFonts w:hint="default"/>
                <w:color w:val="auto"/>
                <w:sz w:val="18"/>
              </w:rPr>
              <w:t>分</w:t>
            </w:r>
          </w:p>
        </w:tc>
        <w:tc>
          <w:tcPr>
            <w:tcW w:w="1134" w:type="dxa"/>
            <w:tcBorders>
              <w:top w:val="single" w:color="000000" w:sz="6" w:space="0"/>
              <w:left w:val="single" w:color="000000" w:sz="6" w:space="0"/>
              <w:right w:val="single" w:color="000000" w:sz="6" w:space="0"/>
            </w:tcBorders>
          </w:tcPr>
          <w:p>
            <w:pPr>
              <w:pStyle w:val="52"/>
              <w:keepNext w:val="0"/>
              <w:keepLines w:val="0"/>
              <w:suppressLineNumbers w:val="0"/>
              <w:spacing w:before="38" w:beforeAutospacing="0" w:after="0" w:afterAutospacing="0"/>
              <w:ind w:left="18" w:right="0"/>
              <w:jc w:val="center"/>
              <w:rPr>
                <w:rFonts w:hint="default"/>
                <w:color w:val="auto"/>
                <w:sz w:val="18"/>
              </w:rPr>
            </w:pPr>
            <w:r>
              <w:rPr>
                <w:rFonts w:hint="default" w:ascii="Times New Roman" w:eastAsia="Times New Roman"/>
                <w:color w:val="auto"/>
                <w:sz w:val="18"/>
              </w:rPr>
              <w:t xml:space="preserve">6 </w:t>
            </w:r>
            <w:r>
              <w:rPr>
                <w:rFonts w:hint="default"/>
                <w:color w:val="auto"/>
                <w:sz w:val="18"/>
              </w:rPr>
              <w:t>分</w:t>
            </w:r>
          </w:p>
        </w:tc>
        <w:tc>
          <w:tcPr>
            <w:tcW w:w="980" w:type="dxa"/>
            <w:vMerge w:val="continue"/>
            <w:tcBorders>
              <w:top w:val="nil"/>
              <w:left w:val="single" w:color="000000" w:sz="6" w:space="0"/>
            </w:tcBorders>
          </w:tcPr>
          <w:p>
            <w:pPr>
              <w:keepNext w:val="0"/>
              <w:keepLines w:val="0"/>
              <w:suppressLineNumbers w:val="0"/>
              <w:spacing w:before="0" w:beforeAutospacing="0" w:after="0" w:afterAutospacing="0"/>
              <w:ind w:left="0" w:right="0"/>
              <w:rPr>
                <w:rFonts w:hint="default"/>
                <w:color w:val="auto"/>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7" w:hRule="atLeast"/>
          <w:jc w:val="center"/>
        </w:trPr>
        <w:tc>
          <w:tcPr>
            <w:tcW w:w="2684" w:type="dxa"/>
            <w:tcBorders>
              <w:bottom w:val="single" w:color="000000" w:sz="4" w:space="0"/>
              <w:right w:val="single" w:color="000000" w:sz="6" w:space="0"/>
            </w:tcBorders>
          </w:tcPr>
          <w:p>
            <w:pPr>
              <w:pStyle w:val="52"/>
              <w:keepNext w:val="0"/>
              <w:keepLines w:val="0"/>
              <w:suppressLineNumbers w:val="0"/>
              <w:spacing w:before="42" w:beforeAutospacing="0" w:after="0" w:afterAutospacing="0"/>
              <w:ind w:left="15" w:right="0"/>
              <w:jc w:val="center"/>
              <w:rPr>
                <w:rFonts w:hint="default"/>
                <w:color w:val="auto"/>
                <w:sz w:val="18"/>
              </w:rPr>
            </w:pPr>
            <w:r>
              <w:rPr>
                <w:rFonts w:hint="default"/>
                <w:color w:val="auto"/>
                <w:sz w:val="18"/>
              </w:rPr>
              <w:t>地下水位埋深（</w:t>
            </w:r>
            <w:r>
              <w:rPr>
                <w:rFonts w:hint="default" w:ascii="Times New Roman" w:eastAsia="Times New Roman"/>
                <w:color w:val="auto"/>
                <w:sz w:val="18"/>
              </w:rPr>
              <w:t>GWD</w:t>
            </w:r>
            <w:r>
              <w:rPr>
                <w:rFonts w:hint="default"/>
                <w:color w:val="auto"/>
                <w:sz w:val="18"/>
              </w:rPr>
              <w:t>）</w:t>
            </w:r>
            <w:r>
              <w:rPr>
                <w:rFonts w:hint="default" w:ascii="Times New Roman" w:eastAsia="Times New Roman"/>
                <w:color w:val="auto"/>
                <w:sz w:val="18"/>
              </w:rPr>
              <w:t>/</w:t>
            </w:r>
            <w:r>
              <w:rPr>
                <w:rFonts w:hint="default"/>
                <w:color w:val="auto"/>
                <w:sz w:val="18"/>
              </w:rPr>
              <w:t>（</w:t>
            </w:r>
            <w:r>
              <w:rPr>
                <w:rFonts w:hint="default" w:ascii="Times New Roman" w:eastAsia="Times New Roman"/>
                <w:color w:val="auto"/>
                <w:sz w:val="18"/>
              </w:rPr>
              <w:t>m</w:t>
            </w:r>
            <w:r>
              <w:rPr>
                <w:rFonts w:hint="default"/>
                <w:color w:val="auto"/>
                <w:sz w:val="18"/>
              </w:rPr>
              <w:t>）</w:t>
            </w:r>
          </w:p>
        </w:tc>
        <w:tc>
          <w:tcPr>
            <w:tcW w:w="1134" w:type="dxa"/>
            <w:tcBorders>
              <w:left w:val="single" w:color="000000" w:sz="6" w:space="0"/>
              <w:bottom w:val="single" w:color="000000" w:sz="4" w:space="0"/>
              <w:right w:val="single" w:color="000000" w:sz="6" w:space="0"/>
            </w:tcBorders>
          </w:tcPr>
          <w:p>
            <w:pPr>
              <w:pStyle w:val="52"/>
              <w:keepNext w:val="0"/>
              <w:keepLines w:val="0"/>
              <w:suppressLineNumbers w:val="0"/>
              <w:spacing w:before="42" w:beforeAutospacing="0" w:after="0" w:afterAutospacing="0"/>
              <w:ind w:left="22" w:right="0"/>
              <w:jc w:val="center"/>
              <w:rPr>
                <w:rFonts w:hint="default" w:ascii="Times New Roman" w:hAnsi="Times New Roman"/>
                <w:color w:val="auto"/>
                <w:sz w:val="18"/>
              </w:rPr>
            </w:pPr>
            <w:r>
              <w:rPr>
                <w:rFonts w:hint="default" w:ascii="Times New Roman" w:hAnsi="Times New Roman"/>
                <w:color w:val="auto"/>
                <w:sz w:val="18"/>
              </w:rPr>
              <w:t>GWD</w:t>
            </w:r>
            <w:r>
              <w:rPr>
                <w:rFonts w:hint="default"/>
                <w:color w:val="auto"/>
                <w:sz w:val="18"/>
              </w:rPr>
              <w:t>≥</w:t>
            </w:r>
            <w:r>
              <w:rPr>
                <w:rFonts w:hint="default" w:ascii="Times New Roman" w:hAnsi="Times New Roman"/>
                <w:color w:val="auto"/>
                <w:sz w:val="18"/>
              </w:rPr>
              <w:t>2.5</w:t>
            </w:r>
          </w:p>
        </w:tc>
        <w:tc>
          <w:tcPr>
            <w:tcW w:w="1559" w:type="dxa"/>
            <w:tcBorders>
              <w:left w:val="single" w:color="000000" w:sz="6" w:space="0"/>
              <w:bottom w:val="single" w:color="000000" w:sz="4" w:space="0"/>
              <w:right w:val="single" w:color="000000" w:sz="6" w:space="0"/>
            </w:tcBorders>
          </w:tcPr>
          <w:p>
            <w:pPr>
              <w:pStyle w:val="52"/>
              <w:keepNext w:val="0"/>
              <w:keepLines w:val="0"/>
              <w:suppressLineNumbers w:val="0"/>
              <w:spacing w:before="42" w:beforeAutospacing="0" w:after="0" w:afterAutospacing="0"/>
              <w:ind w:left="142" w:right="120"/>
              <w:jc w:val="center"/>
              <w:rPr>
                <w:rFonts w:hint="default" w:ascii="Times New Roman" w:hAnsi="Times New Roman" w:eastAsia="Times New Roman"/>
                <w:color w:val="auto"/>
                <w:sz w:val="18"/>
              </w:rPr>
            </w:pPr>
            <w:r>
              <w:rPr>
                <w:rFonts w:hint="default" w:ascii="Times New Roman" w:hAnsi="Times New Roman" w:eastAsia="Times New Roman"/>
                <w:color w:val="auto"/>
                <w:sz w:val="18"/>
              </w:rPr>
              <w:t>1.5</w:t>
            </w:r>
            <w:r>
              <w:rPr>
                <w:rFonts w:hint="default"/>
                <w:color w:val="auto"/>
                <w:sz w:val="18"/>
              </w:rPr>
              <w:t>≤</w:t>
            </w:r>
            <w:r>
              <w:rPr>
                <w:rFonts w:hint="default" w:ascii="Times New Roman" w:hAnsi="Times New Roman" w:eastAsia="Times New Roman"/>
                <w:color w:val="auto"/>
                <w:sz w:val="18"/>
              </w:rPr>
              <w:t>GWD</w:t>
            </w:r>
            <w:r>
              <w:rPr>
                <w:rFonts w:hint="default"/>
                <w:color w:val="auto"/>
                <w:sz w:val="18"/>
              </w:rPr>
              <w:t>＜</w:t>
            </w:r>
            <w:r>
              <w:rPr>
                <w:rFonts w:hint="default" w:ascii="Times New Roman" w:hAnsi="Times New Roman" w:eastAsia="Times New Roman"/>
                <w:color w:val="auto"/>
                <w:sz w:val="18"/>
              </w:rPr>
              <w:t>2.5</w:t>
            </w:r>
          </w:p>
        </w:tc>
        <w:tc>
          <w:tcPr>
            <w:tcW w:w="1559" w:type="dxa"/>
            <w:tcBorders>
              <w:left w:val="single" w:color="000000" w:sz="6" w:space="0"/>
              <w:bottom w:val="single" w:color="000000" w:sz="4" w:space="0"/>
              <w:right w:val="single" w:color="000000" w:sz="6" w:space="0"/>
            </w:tcBorders>
          </w:tcPr>
          <w:p>
            <w:pPr>
              <w:pStyle w:val="52"/>
              <w:keepNext w:val="0"/>
              <w:keepLines w:val="0"/>
              <w:suppressLineNumbers w:val="0"/>
              <w:spacing w:before="42" w:beforeAutospacing="0" w:after="0" w:afterAutospacing="0"/>
              <w:ind w:left="142" w:right="121"/>
              <w:jc w:val="center"/>
              <w:rPr>
                <w:rFonts w:hint="default" w:ascii="Times New Roman" w:hAnsi="Times New Roman" w:eastAsia="Times New Roman"/>
                <w:color w:val="auto"/>
                <w:sz w:val="18"/>
              </w:rPr>
            </w:pPr>
            <w:r>
              <w:rPr>
                <w:rFonts w:hint="default" w:ascii="Times New Roman" w:hAnsi="Times New Roman" w:eastAsia="Times New Roman"/>
                <w:color w:val="auto"/>
                <w:sz w:val="18"/>
              </w:rPr>
              <w:t>1.0</w:t>
            </w:r>
            <w:r>
              <w:rPr>
                <w:rFonts w:hint="default"/>
                <w:color w:val="auto"/>
                <w:sz w:val="18"/>
              </w:rPr>
              <w:t>≤</w:t>
            </w:r>
            <w:r>
              <w:rPr>
                <w:rFonts w:hint="default" w:ascii="Times New Roman" w:hAnsi="Times New Roman" w:eastAsia="Times New Roman"/>
                <w:color w:val="auto"/>
                <w:sz w:val="18"/>
              </w:rPr>
              <w:t>GWD</w:t>
            </w:r>
            <w:r>
              <w:rPr>
                <w:rFonts w:hint="default"/>
                <w:color w:val="auto"/>
                <w:sz w:val="18"/>
              </w:rPr>
              <w:t>＜</w:t>
            </w:r>
            <w:r>
              <w:rPr>
                <w:rFonts w:hint="default" w:ascii="Times New Roman" w:hAnsi="Times New Roman" w:eastAsia="Times New Roman"/>
                <w:color w:val="auto"/>
                <w:sz w:val="18"/>
              </w:rPr>
              <w:t>1.5</w:t>
            </w:r>
          </w:p>
        </w:tc>
        <w:tc>
          <w:tcPr>
            <w:tcW w:w="1134" w:type="dxa"/>
            <w:tcBorders>
              <w:left w:val="single" w:color="000000" w:sz="6" w:space="0"/>
              <w:bottom w:val="single" w:color="000000" w:sz="4" w:space="0"/>
              <w:right w:val="single" w:color="000000" w:sz="6" w:space="0"/>
            </w:tcBorders>
          </w:tcPr>
          <w:p>
            <w:pPr>
              <w:pStyle w:val="52"/>
              <w:keepNext w:val="0"/>
              <w:keepLines w:val="0"/>
              <w:suppressLineNumbers w:val="0"/>
              <w:spacing w:before="42" w:beforeAutospacing="0" w:after="0" w:afterAutospacing="0"/>
              <w:ind w:left="21" w:right="0"/>
              <w:jc w:val="center"/>
              <w:rPr>
                <w:rFonts w:hint="default" w:ascii="Times New Roman" w:eastAsia="Times New Roman"/>
                <w:color w:val="auto"/>
                <w:sz w:val="18"/>
              </w:rPr>
            </w:pPr>
            <w:r>
              <w:rPr>
                <w:rFonts w:hint="default" w:ascii="Times New Roman" w:eastAsia="Times New Roman"/>
                <w:color w:val="auto"/>
                <w:sz w:val="18"/>
              </w:rPr>
              <w:t>GWD</w:t>
            </w:r>
            <w:r>
              <w:rPr>
                <w:rFonts w:hint="default"/>
                <w:color w:val="auto"/>
                <w:sz w:val="18"/>
              </w:rPr>
              <w:t>＜</w:t>
            </w:r>
            <w:r>
              <w:rPr>
                <w:rFonts w:hint="default" w:ascii="Times New Roman" w:eastAsia="Times New Roman"/>
                <w:color w:val="auto"/>
                <w:sz w:val="18"/>
              </w:rPr>
              <w:t>1.0</w:t>
            </w:r>
          </w:p>
        </w:tc>
        <w:tc>
          <w:tcPr>
            <w:tcW w:w="980" w:type="dxa"/>
            <w:tcBorders>
              <w:left w:val="single" w:color="000000" w:sz="6" w:space="0"/>
              <w:bottom w:val="single" w:color="000000" w:sz="4" w:space="0"/>
            </w:tcBorders>
          </w:tcPr>
          <w:p>
            <w:pPr>
              <w:pStyle w:val="52"/>
              <w:keepNext w:val="0"/>
              <w:keepLines w:val="0"/>
              <w:suppressLineNumbers w:val="0"/>
              <w:spacing w:before="51" w:beforeAutospacing="0" w:after="0" w:afterAutospacing="0"/>
              <w:ind w:left="314" w:right="292"/>
              <w:jc w:val="center"/>
              <w:rPr>
                <w:rFonts w:hint="default" w:ascii="Times New Roman"/>
                <w:color w:val="auto"/>
                <w:sz w:val="18"/>
              </w:rPr>
            </w:pPr>
            <w:r>
              <w:rPr>
                <w:rFonts w:hint="default" w:ascii="Times New Roman"/>
                <w:color w:val="auto"/>
                <w:sz w:val="18"/>
              </w:rPr>
              <w:t>0.35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1" w:hRule="atLeast"/>
          <w:jc w:val="center"/>
        </w:trPr>
        <w:tc>
          <w:tcPr>
            <w:tcW w:w="2684" w:type="dxa"/>
            <w:tcBorders>
              <w:top w:val="single" w:color="000000" w:sz="4" w:space="0"/>
              <w:bottom w:val="single" w:color="000000" w:sz="4" w:space="0"/>
              <w:right w:val="single" w:color="000000" w:sz="6" w:space="0"/>
            </w:tcBorders>
          </w:tcPr>
          <w:p>
            <w:pPr>
              <w:pStyle w:val="52"/>
              <w:keepNext w:val="0"/>
              <w:keepLines w:val="0"/>
              <w:suppressLineNumbers w:val="0"/>
              <w:spacing w:before="41" w:beforeAutospacing="0" w:after="0" w:afterAutospacing="0"/>
              <w:ind w:left="15" w:right="0"/>
              <w:jc w:val="center"/>
              <w:rPr>
                <w:rFonts w:hint="default"/>
                <w:color w:val="auto"/>
                <w:sz w:val="18"/>
              </w:rPr>
            </w:pPr>
            <w:r>
              <w:rPr>
                <w:rFonts w:hint="default"/>
                <w:color w:val="auto"/>
                <w:sz w:val="18"/>
              </w:rPr>
              <w:t>干燥度（蒸降比值）（</w:t>
            </w:r>
            <w:r>
              <w:rPr>
                <w:rFonts w:hint="default" w:ascii="Times New Roman" w:eastAsia="Times New Roman"/>
                <w:color w:val="auto"/>
                <w:sz w:val="18"/>
              </w:rPr>
              <w:t>EPR</w:t>
            </w:r>
            <w:r>
              <w:rPr>
                <w:rFonts w:hint="default"/>
                <w:color w:val="auto"/>
                <w:sz w:val="18"/>
              </w:rPr>
              <w:t>）</w:t>
            </w:r>
          </w:p>
        </w:tc>
        <w:tc>
          <w:tcPr>
            <w:tcW w:w="1134" w:type="dxa"/>
            <w:tcBorders>
              <w:top w:val="single" w:color="000000" w:sz="4" w:space="0"/>
              <w:left w:val="single" w:color="000000" w:sz="6" w:space="0"/>
              <w:bottom w:val="single" w:color="000000" w:sz="4" w:space="0"/>
              <w:right w:val="single" w:color="000000" w:sz="6" w:space="0"/>
            </w:tcBorders>
          </w:tcPr>
          <w:p>
            <w:pPr>
              <w:pStyle w:val="52"/>
              <w:keepNext w:val="0"/>
              <w:keepLines w:val="0"/>
              <w:suppressLineNumbers w:val="0"/>
              <w:spacing w:before="41" w:beforeAutospacing="0" w:after="0" w:afterAutospacing="0"/>
              <w:ind w:left="22" w:right="0"/>
              <w:jc w:val="center"/>
              <w:rPr>
                <w:rFonts w:hint="default" w:ascii="Times New Roman" w:eastAsia="Times New Roman"/>
                <w:color w:val="auto"/>
                <w:sz w:val="18"/>
              </w:rPr>
            </w:pPr>
            <w:r>
              <w:rPr>
                <w:rFonts w:hint="default" w:ascii="Times New Roman" w:eastAsia="Times New Roman"/>
                <w:color w:val="auto"/>
                <w:sz w:val="18"/>
              </w:rPr>
              <w:t>EPR</w:t>
            </w:r>
            <w:r>
              <w:rPr>
                <w:rFonts w:hint="default"/>
                <w:color w:val="auto"/>
                <w:sz w:val="18"/>
              </w:rPr>
              <w:t>＜</w:t>
            </w:r>
            <w:r>
              <w:rPr>
                <w:rFonts w:hint="default" w:ascii="Times New Roman" w:eastAsia="Times New Roman"/>
                <w:color w:val="auto"/>
                <w:sz w:val="18"/>
              </w:rPr>
              <w:t>1.2</w:t>
            </w:r>
          </w:p>
        </w:tc>
        <w:tc>
          <w:tcPr>
            <w:tcW w:w="1559" w:type="dxa"/>
            <w:tcBorders>
              <w:top w:val="single" w:color="000000" w:sz="4" w:space="0"/>
              <w:left w:val="single" w:color="000000" w:sz="6" w:space="0"/>
              <w:bottom w:val="single" w:color="000000" w:sz="4" w:space="0"/>
              <w:right w:val="single" w:color="000000" w:sz="6" w:space="0"/>
            </w:tcBorders>
          </w:tcPr>
          <w:p>
            <w:pPr>
              <w:pStyle w:val="52"/>
              <w:keepNext w:val="0"/>
              <w:keepLines w:val="0"/>
              <w:suppressLineNumbers w:val="0"/>
              <w:spacing w:before="41" w:beforeAutospacing="0" w:after="0" w:afterAutospacing="0"/>
              <w:ind w:left="140" w:right="121"/>
              <w:jc w:val="center"/>
              <w:rPr>
                <w:rFonts w:hint="default" w:ascii="Times New Roman" w:hAnsi="Times New Roman" w:eastAsia="Times New Roman"/>
                <w:color w:val="auto"/>
                <w:sz w:val="18"/>
              </w:rPr>
            </w:pPr>
            <w:r>
              <w:rPr>
                <w:rFonts w:hint="default" w:ascii="Times New Roman" w:hAnsi="Times New Roman" w:eastAsia="Times New Roman"/>
                <w:color w:val="auto"/>
                <w:sz w:val="18"/>
              </w:rPr>
              <w:t>1.2</w:t>
            </w:r>
            <w:r>
              <w:rPr>
                <w:rFonts w:hint="default"/>
                <w:color w:val="auto"/>
                <w:sz w:val="18"/>
              </w:rPr>
              <w:t>≤</w:t>
            </w:r>
            <w:r>
              <w:rPr>
                <w:rFonts w:hint="default" w:ascii="Times New Roman" w:hAnsi="Times New Roman" w:eastAsia="Times New Roman"/>
                <w:color w:val="auto"/>
                <w:sz w:val="18"/>
              </w:rPr>
              <w:t>EPR</w:t>
            </w:r>
            <w:r>
              <w:rPr>
                <w:rFonts w:hint="default"/>
                <w:color w:val="auto"/>
                <w:sz w:val="18"/>
              </w:rPr>
              <w:t>＜</w:t>
            </w:r>
            <w:r>
              <w:rPr>
                <w:rFonts w:hint="default" w:ascii="Times New Roman" w:hAnsi="Times New Roman" w:eastAsia="Times New Roman"/>
                <w:color w:val="auto"/>
                <w:sz w:val="18"/>
              </w:rPr>
              <w:t>2.5</w:t>
            </w:r>
          </w:p>
        </w:tc>
        <w:tc>
          <w:tcPr>
            <w:tcW w:w="1559" w:type="dxa"/>
            <w:tcBorders>
              <w:top w:val="single" w:color="000000" w:sz="4" w:space="0"/>
              <w:left w:val="single" w:color="000000" w:sz="6" w:space="0"/>
              <w:bottom w:val="single" w:color="000000" w:sz="4" w:space="0"/>
              <w:right w:val="single" w:color="000000" w:sz="6" w:space="0"/>
            </w:tcBorders>
          </w:tcPr>
          <w:p>
            <w:pPr>
              <w:pStyle w:val="52"/>
              <w:keepNext w:val="0"/>
              <w:keepLines w:val="0"/>
              <w:suppressLineNumbers w:val="0"/>
              <w:spacing w:before="41" w:beforeAutospacing="0" w:after="0" w:afterAutospacing="0"/>
              <w:ind w:left="140" w:right="121"/>
              <w:jc w:val="center"/>
              <w:rPr>
                <w:rFonts w:hint="default" w:ascii="Times New Roman" w:hAnsi="Times New Roman" w:eastAsia="Times New Roman"/>
                <w:color w:val="auto"/>
                <w:sz w:val="18"/>
              </w:rPr>
            </w:pPr>
            <w:r>
              <w:rPr>
                <w:rFonts w:hint="default" w:ascii="Times New Roman" w:hAnsi="Times New Roman" w:eastAsia="Times New Roman"/>
                <w:color w:val="auto"/>
                <w:sz w:val="18"/>
              </w:rPr>
              <w:t>2.5</w:t>
            </w:r>
            <w:r>
              <w:rPr>
                <w:rFonts w:hint="default"/>
                <w:color w:val="auto"/>
                <w:sz w:val="18"/>
              </w:rPr>
              <w:t>≤</w:t>
            </w:r>
            <w:r>
              <w:rPr>
                <w:rFonts w:hint="default" w:ascii="Times New Roman" w:hAnsi="Times New Roman" w:eastAsia="Times New Roman"/>
                <w:color w:val="auto"/>
                <w:sz w:val="18"/>
              </w:rPr>
              <w:t>EPR</w:t>
            </w:r>
            <w:r>
              <w:rPr>
                <w:rFonts w:hint="default"/>
                <w:color w:val="auto"/>
                <w:sz w:val="18"/>
              </w:rPr>
              <w:t>＜</w:t>
            </w:r>
            <w:r>
              <w:rPr>
                <w:rFonts w:hint="default" w:ascii="Times New Roman" w:hAnsi="Times New Roman" w:eastAsia="Times New Roman"/>
                <w:color w:val="auto"/>
                <w:sz w:val="18"/>
              </w:rPr>
              <w:t>6</w:t>
            </w:r>
          </w:p>
        </w:tc>
        <w:tc>
          <w:tcPr>
            <w:tcW w:w="1134" w:type="dxa"/>
            <w:tcBorders>
              <w:top w:val="single" w:color="000000" w:sz="4" w:space="0"/>
              <w:left w:val="single" w:color="000000" w:sz="6" w:space="0"/>
              <w:bottom w:val="single" w:color="000000" w:sz="4" w:space="0"/>
              <w:right w:val="single" w:color="000000" w:sz="6" w:space="0"/>
            </w:tcBorders>
          </w:tcPr>
          <w:p>
            <w:pPr>
              <w:pStyle w:val="52"/>
              <w:keepNext w:val="0"/>
              <w:keepLines w:val="0"/>
              <w:suppressLineNumbers w:val="0"/>
              <w:spacing w:before="41" w:beforeAutospacing="0" w:after="0" w:afterAutospacing="0"/>
              <w:ind w:left="19" w:right="0"/>
              <w:jc w:val="center"/>
              <w:rPr>
                <w:rFonts w:hint="default" w:ascii="Times New Roman" w:hAnsi="Times New Roman"/>
                <w:color w:val="auto"/>
                <w:sz w:val="18"/>
              </w:rPr>
            </w:pPr>
            <w:r>
              <w:rPr>
                <w:rFonts w:hint="default" w:ascii="Times New Roman" w:hAnsi="Times New Roman"/>
                <w:color w:val="auto"/>
                <w:sz w:val="18"/>
              </w:rPr>
              <w:t>EPR</w:t>
            </w:r>
            <w:r>
              <w:rPr>
                <w:rFonts w:hint="default"/>
                <w:color w:val="auto"/>
                <w:sz w:val="18"/>
              </w:rPr>
              <w:t>≥</w:t>
            </w:r>
            <w:r>
              <w:rPr>
                <w:rFonts w:hint="default" w:ascii="Times New Roman" w:hAnsi="Times New Roman"/>
                <w:color w:val="auto"/>
                <w:sz w:val="18"/>
              </w:rPr>
              <w:t>6</w:t>
            </w:r>
          </w:p>
        </w:tc>
        <w:tc>
          <w:tcPr>
            <w:tcW w:w="980" w:type="dxa"/>
            <w:tcBorders>
              <w:top w:val="single" w:color="000000" w:sz="4" w:space="0"/>
              <w:left w:val="single" w:color="000000" w:sz="6" w:space="0"/>
              <w:bottom w:val="single" w:color="000000" w:sz="4" w:space="0"/>
            </w:tcBorders>
          </w:tcPr>
          <w:p>
            <w:pPr>
              <w:pStyle w:val="52"/>
              <w:keepNext w:val="0"/>
              <w:keepLines w:val="0"/>
              <w:suppressLineNumbers w:val="0"/>
              <w:spacing w:before="51" w:beforeAutospacing="0" w:after="0" w:afterAutospacing="0"/>
              <w:ind w:left="314" w:right="292"/>
              <w:jc w:val="center"/>
              <w:rPr>
                <w:rFonts w:hint="default" w:ascii="Times New Roman"/>
                <w:color w:val="auto"/>
                <w:sz w:val="18"/>
              </w:rPr>
            </w:pPr>
            <w:r>
              <w:rPr>
                <w:rFonts w:hint="default" w:ascii="Times New Roman"/>
                <w:color w:val="auto"/>
                <w:sz w:val="18"/>
              </w:rPr>
              <w:t>0.25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7" w:hRule="atLeast"/>
          <w:jc w:val="center"/>
        </w:trPr>
        <w:tc>
          <w:tcPr>
            <w:tcW w:w="2684" w:type="dxa"/>
            <w:tcBorders>
              <w:top w:val="single" w:color="000000" w:sz="4" w:space="0"/>
              <w:bottom w:val="single" w:color="000000" w:sz="4" w:space="0"/>
              <w:right w:val="single" w:color="000000" w:sz="6" w:space="0"/>
            </w:tcBorders>
          </w:tcPr>
          <w:p>
            <w:pPr>
              <w:pStyle w:val="52"/>
              <w:keepNext w:val="0"/>
              <w:keepLines w:val="0"/>
              <w:suppressLineNumbers w:val="0"/>
              <w:spacing w:before="41" w:beforeAutospacing="0" w:after="0" w:afterAutospacing="0"/>
              <w:ind w:left="107" w:right="0"/>
              <w:jc w:val="center"/>
              <w:rPr>
                <w:rFonts w:hint="default"/>
                <w:color w:val="auto"/>
                <w:sz w:val="18"/>
              </w:rPr>
            </w:pPr>
            <w:r>
              <w:rPr>
                <w:rFonts w:hint="default"/>
                <w:color w:val="auto"/>
                <w:spacing w:val="-6"/>
                <w:sz w:val="18"/>
              </w:rPr>
              <w:t>土壤本底含盐量</w:t>
            </w:r>
            <w:r>
              <w:rPr>
                <w:rFonts w:hint="default"/>
                <w:color w:val="auto"/>
                <w:spacing w:val="-9"/>
                <w:sz w:val="18"/>
              </w:rPr>
              <w:t>（</w:t>
            </w:r>
            <w:r>
              <w:rPr>
                <w:rFonts w:hint="default" w:ascii="Times New Roman" w:eastAsia="Times New Roman"/>
                <w:color w:val="auto"/>
                <w:spacing w:val="-9"/>
                <w:sz w:val="18"/>
              </w:rPr>
              <w:t>SSC</w:t>
            </w:r>
            <w:r>
              <w:rPr>
                <w:rFonts w:hint="default"/>
                <w:color w:val="auto"/>
                <w:spacing w:val="-9"/>
                <w:sz w:val="18"/>
              </w:rPr>
              <w:t>）</w:t>
            </w:r>
            <w:r>
              <w:rPr>
                <w:rFonts w:hint="default" w:ascii="Times New Roman" w:eastAsia="Times New Roman"/>
                <w:color w:val="auto"/>
                <w:spacing w:val="-9"/>
                <w:sz w:val="18"/>
              </w:rPr>
              <w:t>/</w:t>
            </w:r>
            <w:r>
              <w:rPr>
                <w:rFonts w:hint="default"/>
                <w:color w:val="auto"/>
                <w:spacing w:val="-9"/>
                <w:sz w:val="18"/>
              </w:rPr>
              <w:t>（</w:t>
            </w:r>
            <w:r>
              <w:rPr>
                <w:rFonts w:hint="default" w:ascii="Times New Roman" w:eastAsia="Times New Roman"/>
                <w:color w:val="auto"/>
                <w:spacing w:val="-9"/>
                <w:sz w:val="18"/>
              </w:rPr>
              <w:t>g/kg</w:t>
            </w:r>
            <w:r>
              <w:rPr>
                <w:rFonts w:hint="default"/>
                <w:color w:val="auto"/>
                <w:spacing w:val="-9"/>
                <w:sz w:val="18"/>
              </w:rPr>
              <w:t>）</w:t>
            </w:r>
          </w:p>
        </w:tc>
        <w:tc>
          <w:tcPr>
            <w:tcW w:w="1134" w:type="dxa"/>
            <w:tcBorders>
              <w:top w:val="single" w:color="000000" w:sz="4" w:space="0"/>
              <w:left w:val="single" w:color="000000" w:sz="6" w:space="0"/>
              <w:bottom w:val="single" w:color="000000" w:sz="4" w:space="0"/>
              <w:right w:val="single" w:color="000000" w:sz="6" w:space="0"/>
            </w:tcBorders>
          </w:tcPr>
          <w:p>
            <w:pPr>
              <w:pStyle w:val="52"/>
              <w:keepNext w:val="0"/>
              <w:keepLines w:val="0"/>
              <w:suppressLineNumbers w:val="0"/>
              <w:spacing w:before="41" w:beforeAutospacing="0" w:after="0" w:afterAutospacing="0"/>
              <w:ind w:left="20" w:right="0"/>
              <w:jc w:val="center"/>
              <w:rPr>
                <w:rFonts w:hint="default" w:ascii="Times New Roman" w:eastAsia="Times New Roman"/>
                <w:color w:val="auto"/>
                <w:sz w:val="18"/>
              </w:rPr>
            </w:pPr>
            <w:r>
              <w:rPr>
                <w:rFonts w:hint="default" w:ascii="Times New Roman" w:eastAsia="Times New Roman"/>
                <w:color w:val="auto"/>
                <w:sz w:val="18"/>
              </w:rPr>
              <w:t>SSC</w:t>
            </w:r>
            <w:r>
              <w:rPr>
                <w:rFonts w:hint="default"/>
                <w:color w:val="auto"/>
                <w:sz w:val="18"/>
              </w:rPr>
              <w:t>＜</w:t>
            </w:r>
            <w:r>
              <w:rPr>
                <w:rFonts w:hint="default" w:ascii="Times New Roman" w:eastAsia="Times New Roman"/>
                <w:color w:val="auto"/>
                <w:sz w:val="18"/>
              </w:rPr>
              <w:t>1</w:t>
            </w:r>
          </w:p>
        </w:tc>
        <w:tc>
          <w:tcPr>
            <w:tcW w:w="1559" w:type="dxa"/>
            <w:tcBorders>
              <w:top w:val="single" w:color="000000" w:sz="4" w:space="0"/>
              <w:left w:val="single" w:color="000000" w:sz="6" w:space="0"/>
              <w:bottom w:val="single" w:color="000000" w:sz="4" w:space="0"/>
              <w:right w:val="single" w:color="000000" w:sz="6" w:space="0"/>
            </w:tcBorders>
          </w:tcPr>
          <w:p>
            <w:pPr>
              <w:pStyle w:val="52"/>
              <w:keepNext w:val="0"/>
              <w:keepLines w:val="0"/>
              <w:suppressLineNumbers w:val="0"/>
              <w:spacing w:before="41" w:beforeAutospacing="0" w:after="0" w:afterAutospacing="0"/>
              <w:ind w:left="138" w:right="121"/>
              <w:jc w:val="center"/>
              <w:rPr>
                <w:rFonts w:hint="default" w:ascii="Times New Roman" w:hAnsi="Times New Roman" w:eastAsia="Times New Roman"/>
                <w:color w:val="auto"/>
                <w:sz w:val="18"/>
              </w:rPr>
            </w:pPr>
            <w:r>
              <w:rPr>
                <w:rFonts w:hint="default" w:ascii="Times New Roman" w:hAnsi="Times New Roman" w:eastAsia="Times New Roman"/>
                <w:color w:val="auto"/>
                <w:sz w:val="18"/>
              </w:rPr>
              <w:t>1</w:t>
            </w:r>
            <w:r>
              <w:rPr>
                <w:rFonts w:hint="default"/>
                <w:color w:val="auto"/>
                <w:sz w:val="18"/>
              </w:rPr>
              <w:t>≤</w:t>
            </w:r>
            <w:r>
              <w:rPr>
                <w:rFonts w:hint="default" w:ascii="Times New Roman" w:hAnsi="Times New Roman" w:eastAsia="Times New Roman"/>
                <w:color w:val="auto"/>
                <w:sz w:val="18"/>
              </w:rPr>
              <w:t>SSC</w:t>
            </w:r>
            <w:r>
              <w:rPr>
                <w:rFonts w:hint="default"/>
                <w:color w:val="auto"/>
                <w:sz w:val="18"/>
              </w:rPr>
              <w:t>＜</w:t>
            </w:r>
            <w:r>
              <w:rPr>
                <w:rFonts w:hint="default" w:ascii="Times New Roman" w:hAnsi="Times New Roman" w:eastAsia="Times New Roman"/>
                <w:color w:val="auto"/>
                <w:sz w:val="18"/>
              </w:rPr>
              <w:t>2</w:t>
            </w:r>
          </w:p>
        </w:tc>
        <w:tc>
          <w:tcPr>
            <w:tcW w:w="1559" w:type="dxa"/>
            <w:tcBorders>
              <w:top w:val="single" w:color="000000" w:sz="4" w:space="0"/>
              <w:left w:val="single" w:color="000000" w:sz="6" w:space="0"/>
              <w:bottom w:val="single" w:color="000000" w:sz="4" w:space="0"/>
              <w:right w:val="single" w:color="000000" w:sz="6" w:space="0"/>
            </w:tcBorders>
          </w:tcPr>
          <w:p>
            <w:pPr>
              <w:pStyle w:val="52"/>
              <w:keepNext w:val="0"/>
              <w:keepLines w:val="0"/>
              <w:suppressLineNumbers w:val="0"/>
              <w:spacing w:before="41" w:beforeAutospacing="0" w:after="0" w:afterAutospacing="0"/>
              <w:ind w:left="140" w:right="121"/>
              <w:jc w:val="center"/>
              <w:rPr>
                <w:rFonts w:hint="default" w:ascii="Times New Roman" w:hAnsi="Times New Roman" w:eastAsia="Times New Roman"/>
                <w:color w:val="auto"/>
                <w:sz w:val="18"/>
              </w:rPr>
            </w:pPr>
            <w:r>
              <w:rPr>
                <w:rFonts w:hint="default" w:ascii="Times New Roman" w:hAnsi="Times New Roman" w:eastAsia="Times New Roman"/>
                <w:color w:val="auto"/>
                <w:sz w:val="18"/>
              </w:rPr>
              <w:t>2</w:t>
            </w:r>
            <w:r>
              <w:rPr>
                <w:rFonts w:hint="default"/>
                <w:color w:val="auto"/>
                <w:sz w:val="18"/>
              </w:rPr>
              <w:t>≤</w:t>
            </w:r>
            <w:r>
              <w:rPr>
                <w:rFonts w:hint="default" w:ascii="Times New Roman" w:hAnsi="Times New Roman" w:eastAsia="Times New Roman"/>
                <w:color w:val="auto"/>
                <w:sz w:val="18"/>
              </w:rPr>
              <w:t>SSC</w:t>
            </w:r>
            <w:r>
              <w:rPr>
                <w:rFonts w:hint="default"/>
                <w:color w:val="auto"/>
                <w:sz w:val="18"/>
              </w:rPr>
              <w:t>＜</w:t>
            </w:r>
            <w:r>
              <w:rPr>
                <w:rFonts w:hint="default" w:ascii="Times New Roman" w:hAnsi="Times New Roman" w:eastAsia="Times New Roman"/>
                <w:color w:val="auto"/>
                <w:sz w:val="18"/>
              </w:rPr>
              <w:t>4</w:t>
            </w:r>
          </w:p>
        </w:tc>
        <w:tc>
          <w:tcPr>
            <w:tcW w:w="1134" w:type="dxa"/>
            <w:tcBorders>
              <w:top w:val="single" w:color="000000" w:sz="4" w:space="0"/>
              <w:left w:val="single" w:color="000000" w:sz="6" w:space="0"/>
              <w:bottom w:val="single" w:color="000000" w:sz="4" w:space="0"/>
              <w:right w:val="single" w:color="000000" w:sz="6" w:space="0"/>
            </w:tcBorders>
          </w:tcPr>
          <w:p>
            <w:pPr>
              <w:pStyle w:val="52"/>
              <w:keepNext w:val="0"/>
              <w:keepLines w:val="0"/>
              <w:suppressLineNumbers w:val="0"/>
              <w:spacing w:before="41" w:beforeAutospacing="0" w:after="0" w:afterAutospacing="0"/>
              <w:ind w:left="19" w:right="0"/>
              <w:jc w:val="center"/>
              <w:rPr>
                <w:rFonts w:hint="default" w:ascii="Times New Roman" w:hAnsi="Times New Roman"/>
                <w:color w:val="auto"/>
                <w:sz w:val="18"/>
              </w:rPr>
            </w:pPr>
            <w:r>
              <w:rPr>
                <w:rFonts w:hint="default" w:ascii="Times New Roman" w:hAnsi="Times New Roman"/>
                <w:color w:val="auto"/>
                <w:sz w:val="18"/>
              </w:rPr>
              <w:t>SSC</w:t>
            </w:r>
            <w:r>
              <w:rPr>
                <w:rFonts w:hint="default"/>
                <w:color w:val="auto"/>
                <w:sz w:val="18"/>
              </w:rPr>
              <w:t>≥</w:t>
            </w:r>
            <w:r>
              <w:rPr>
                <w:rFonts w:hint="default" w:ascii="Times New Roman" w:hAnsi="Times New Roman"/>
                <w:color w:val="auto"/>
                <w:sz w:val="18"/>
              </w:rPr>
              <w:t>4</w:t>
            </w:r>
          </w:p>
        </w:tc>
        <w:tc>
          <w:tcPr>
            <w:tcW w:w="980" w:type="dxa"/>
            <w:tcBorders>
              <w:top w:val="single" w:color="000000" w:sz="4" w:space="0"/>
              <w:left w:val="single" w:color="000000" w:sz="6" w:space="0"/>
              <w:bottom w:val="single" w:color="000000" w:sz="4" w:space="0"/>
            </w:tcBorders>
          </w:tcPr>
          <w:p>
            <w:pPr>
              <w:pStyle w:val="52"/>
              <w:keepNext w:val="0"/>
              <w:keepLines w:val="0"/>
              <w:suppressLineNumbers w:val="0"/>
              <w:spacing w:before="53" w:beforeAutospacing="0" w:after="0" w:afterAutospacing="0"/>
              <w:ind w:left="314" w:right="292"/>
              <w:jc w:val="center"/>
              <w:rPr>
                <w:rFonts w:hint="default" w:ascii="Times New Roman"/>
                <w:color w:val="auto"/>
                <w:sz w:val="18"/>
              </w:rPr>
            </w:pPr>
            <w:r>
              <w:rPr>
                <w:rFonts w:hint="default" w:ascii="Times New Roman"/>
                <w:color w:val="auto"/>
                <w:sz w:val="18"/>
              </w:rPr>
              <w:t>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jc w:val="center"/>
        </w:trPr>
        <w:tc>
          <w:tcPr>
            <w:tcW w:w="2684" w:type="dxa"/>
            <w:tcBorders>
              <w:top w:val="single" w:color="000000" w:sz="4" w:space="0"/>
              <w:bottom w:val="single" w:color="000000" w:sz="4" w:space="0"/>
              <w:right w:val="single" w:color="000000" w:sz="6" w:space="0"/>
            </w:tcBorders>
          </w:tcPr>
          <w:p>
            <w:pPr>
              <w:pStyle w:val="52"/>
              <w:keepNext w:val="0"/>
              <w:keepLines w:val="0"/>
              <w:suppressLineNumbers w:val="0"/>
              <w:spacing w:before="41" w:beforeAutospacing="0" w:after="0" w:afterAutospacing="0"/>
              <w:ind w:left="18" w:right="0"/>
              <w:jc w:val="center"/>
              <w:rPr>
                <w:rFonts w:hint="default"/>
                <w:color w:val="auto"/>
                <w:sz w:val="18"/>
              </w:rPr>
            </w:pPr>
            <w:r>
              <w:rPr>
                <w:rFonts w:hint="default"/>
                <w:color w:val="auto"/>
                <w:sz w:val="18"/>
              </w:rPr>
              <w:t>地下水溶解性总固体</w:t>
            </w:r>
          </w:p>
          <w:p>
            <w:pPr>
              <w:pStyle w:val="52"/>
              <w:keepNext w:val="0"/>
              <w:keepLines w:val="0"/>
              <w:suppressLineNumbers w:val="0"/>
              <w:spacing w:before="81" w:beforeAutospacing="0" w:after="0" w:afterAutospacing="0"/>
              <w:ind w:left="18" w:right="0"/>
              <w:jc w:val="center"/>
              <w:rPr>
                <w:rFonts w:hint="default"/>
                <w:color w:val="auto"/>
                <w:sz w:val="18"/>
              </w:rPr>
            </w:pPr>
            <w:r>
              <w:rPr>
                <w:rFonts w:hint="default"/>
                <w:color w:val="auto"/>
                <w:sz w:val="18"/>
              </w:rPr>
              <w:t>（</w:t>
            </w:r>
            <w:r>
              <w:rPr>
                <w:rFonts w:hint="default" w:ascii="Times New Roman" w:eastAsia="Times New Roman"/>
                <w:color w:val="auto"/>
                <w:sz w:val="18"/>
              </w:rPr>
              <w:t>TDS</w:t>
            </w:r>
            <w:r>
              <w:rPr>
                <w:rFonts w:hint="default"/>
                <w:color w:val="auto"/>
                <w:sz w:val="18"/>
              </w:rPr>
              <w:t>）</w:t>
            </w:r>
            <w:r>
              <w:rPr>
                <w:rFonts w:hint="default" w:ascii="Times New Roman" w:eastAsia="Times New Roman"/>
                <w:color w:val="auto"/>
                <w:sz w:val="18"/>
              </w:rPr>
              <w:t>/</w:t>
            </w:r>
            <w:r>
              <w:rPr>
                <w:rFonts w:hint="default"/>
                <w:color w:val="auto"/>
                <w:sz w:val="18"/>
              </w:rPr>
              <w:t>（</w:t>
            </w:r>
            <w:r>
              <w:rPr>
                <w:rFonts w:hint="default" w:ascii="Times New Roman" w:eastAsia="Times New Roman"/>
                <w:color w:val="auto"/>
                <w:sz w:val="18"/>
              </w:rPr>
              <w:t>g/L</w:t>
            </w:r>
            <w:r>
              <w:rPr>
                <w:rFonts w:hint="default"/>
                <w:color w:val="auto"/>
                <w:sz w:val="18"/>
              </w:rPr>
              <w:t>）</w:t>
            </w:r>
          </w:p>
        </w:tc>
        <w:tc>
          <w:tcPr>
            <w:tcW w:w="1134" w:type="dxa"/>
            <w:tcBorders>
              <w:top w:val="single" w:color="000000" w:sz="4" w:space="0"/>
              <w:left w:val="single" w:color="000000" w:sz="6" w:space="0"/>
              <w:bottom w:val="single" w:color="000000" w:sz="4" w:space="0"/>
              <w:right w:val="single" w:color="000000" w:sz="6" w:space="0"/>
            </w:tcBorders>
          </w:tcPr>
          <w:p>
            <w:pPr>
              <w:pStyle w:val="52"/>
              <w:keepNext w:val="0"/>
              <w:keepLines w:val="0"/>
              <w:suppressLineNumbers w:val="0"/>
              <w:spacing w:before="4" w:beforeAutospacing="0" w:after="0" w:afterAutospacing="0"/>
              <w:ind w:left="0" w:right="0"/>
              <w:rPr>
                <w:rFonts w:hint="default" w:ascii="黑体"/>
                <w:color w:val="auto"/>
                <w:sz w:val="15"/>
              </w:rPr>
            </w:pPr>
          </w:p>
          <w:p>
            <w:pPr>
              <w:pStyle w:val="52"/>
              <w:keepNext w:val="0"/>
              <w:keepLines w:val="0"/>
              <w:suppressLineNumbers w:val="0"/>
              <w:spacing w:before="0" w:beforeAutospacing="0" w:after="0" w:afterAutospacing="0"/>
              <w:ind w:left="22" w:right="0"/>
              <w:jc w:val="center"/>
              <w:rPr>
                <w:rFonts w:hint="default" w:ascii="Times New Roman" w:eastAsia="Times New Roman"/>
                <w:color w:val="auto"/>
                <w:sz w:val="18"/>
              </w:rPr>
            </w:pPr>
            <w:r>
              <w:rPr>
                <w:rFonts w:hint="default" w:ascii="Times New Roman" w:eastAsia="Times New Roman"/>
                <w:color w:val="auto"/>
                <w:sz w:val="18"/>
              </w:rPr>
              <w:t>TDS</w:t>
            </w:r>
            <w:r>
              <w:rPr>
                <w:rFonts w:hint="default"/>
                <w:color w:val="auto"/>
                <w:sz w:val="18"/>
              </w:rPr>
              <w:t>＜</w:t>
            </w:r>
            <w:r>
              <w:rPr>
                <w:rFonts w:hint="default" w:ascii="Times New Roman" w:eastAsia="Times New Roman"/>
                <w:color w:val="auto"/>
                <w:sz w:val="18"/>
              </w:rPr>
              <w:t>1</w:t>
            </w:r>
          </w:p>
        </w:tc>
        <w:tc>
          <w:tcPr>
            <w:tcW w:w="1559" w:type="dxa"/>
            <w:tcBorders>
              <w:top w:val="single" w:color="000000" w:sz="4" w:space="0"/>
              <w:left w:val="single" w:color="000000" w:sz="6" w:space="0"/>
              <w:bottom w:val="single" w:color="000000" w:sz="4" w:space="0"/>
              <w:right w:val="single" w:color="000000" w:sz="6" w:space="0"/>
            </w:tcBorders>
          </w:tcPr>
          <w:p>
            <w:pPr>
              <w:pStyle w:val="52"/>
              <w:keepNext w:val="0"/>
              <w:keepLines w:val="0"/>
              <w:suppressLineNumbers w:val="0"/>
              <w:spacing w:before="4" w:beforeAutospacing="0" w:after="0" w:afterAutospacing="0"/>
              <w:ind w:left="0" w:right="0"/>
              <w:rPr>
                <w:rFonts w:hint="default" w:ascii="黑体"/>
                <w:color w:val="auto"/>
                <w:sz w:val="15"/>
              </w:rPr>
            </w:pPr>
          </w:p>
          <w:p>
            <w:pPr>
              <w:pStyle w:val="52"/>
              <w:keepNext w:val="0"/>
              <w:keepLines w:val="0"/>
              <w:suppressLineNumbers w:val="0"/>
              <w:spacing w:before="0" w:beforeAutospacing="0" w:after="0" w:afterAutospacing="0"/>
              <w:ind w:left="140" w:right="121"/>
              <w:jc w:val="center"/>
              <w:rPr>
                <w:rFonts w:hint="default" w:ascii="Times New Roman" w:hAnsi="Times New Roman" w:eastAsia="Times New Roman"/>
                <w:color w:val="auto"/>
                <w:sz w:val="18"/>
              </w:rPr>
            </w:pPr>
            <w:r>
              <w:rPr>
                <w:rFonts w:hint="default" w:ascii="Times New Roman" w:hAnsi="Times New Roman" w:eastAsia="Times New Roman"/>
                <w:color w:val="auto"/>
                <w:sz w:val="18"/>
              </w:rPr>
              <w:t>1</w:t>
            </w:r>
            <w:r>
              <w:rPr>
                <w:rFonts w:hint="default"/>
                <w:color w:val="auto"/>
                <w:sz w:val="18"/>
              </w:rPr>
              <w:t>≤</w:t>
            </w:r>
            <w:r>
              <w:rPr>
                <w:rFonts w:hint="default" w:ascii="Times New Roman" w:hAnsi="Times New Roman" w:eastAsia="Times New Roman"/>
                <w:color w:val="auto"/>
                <w:sz w:val="18"/>
              </w:rPr>
              <w:t>TDS</w:t>
            </w:r>
            <w:r>
              <w:rPr>
                <w:rFonts w:hint="default"/>
                <w:color w:val="auto"/>
                <w:sz w:val="18"/>
              </w:rPr>
              <w:t>＜</w:t>
            </w:r>
            <w:r>
              <w:rPr>
                <w:rFonts w:hint="default" w:ascii="Times New Roman" w:hAnsi="Times New Roman" w:eastAsia="Times New Roman"/>
                <w:color w:val="auto"/>
                <w:sz w:val="18"/>
              </w:rPr>
              <w:t>2</w:t>
            </w:r>
          </w:p>
        </w:tc>
        <w:tc>
          <w:tcPr>
            <w:tcW w:w="1559" w:type="dxa"/>
            <w:tcBorders>
              <w:top w:val="single" w:color="000000" w:sz="4" w:space="0"/>
              <w:left w:val="single" w:color="000000" w:sz="6" w:space="0"/>
              <w:bottom w:val="single" w:color="000000" w:sz="4" w:space="0"/>
              <w:right w:val="single" w:color="000000" w:sz="6" w:space="0"/>
            </w:tcBorders>
          </w:tcPr>
          <w:p>
            <w:pPr>
              <w:pStyle w:val="52"/>
              <w:keepNext w:val="0"/>
              <w:keepLines w:val="0"/>
              <w:suppressLineNumbers w:val="0"/>
              <w:spacing w:before="4" w:beforeAutospacing="0" w:after="0" w:afterAutospacing="0"/>
              <w:ind w:left="0" w:right="0"/>
              <w:rPr>
                <w:rFonts w:hint="default" w:ascii="黑体"/>
                <w:color w:val="auto"/>
                <w:sz w:val="15"/>
              </w:rPr>
            </w:pPr>
          </w:p>
          <w:p>
            <w:pPr>
              <w:pStyle w:val="52"/>
              <w:keepNext w:val="0"/>
              <w:keepLines w:val="0"/>
              <w:suppressLineNumbers w:val="0"/>
              <w:spacing w:before="0" w:beforeAutospacing="0" w:after="0" w:afterAutospacing="0"/>
              <w:ind w:left="140" w:right="121"/>
              <w:jc w:val="center"/>
              <w:rPr>
                <w:rFonts w:hint="default" w:ascii="Times New Roman" w:hAnsi="Times New Roman" w:eastAsia="Times New Roman"/>
                <w:color w:val="auto"/>
                <w:sz w:val="18"/>
              </w:rPr>
            </w:pPr>
            <w:r>
              <w:rPr>
                <w:rFonts w:hint="default" w:ascii="Times New Roman" w:hAnsi="Times New Roman" w:eastAsia="Times New Roman"/>
                <w:color w:val="auto"/>
                <w:sz w:val="18"/>
              </w:rPr>
              <w:t>2</w:t>
            </w:r>
            <w:r>
              <w:rPr>
                <w:rFonts w:hint="default"/>
                <w:color w:val="auto"/>
                <w:sz w:val="18"/>
              </w:rPr>
              <w:t>≤</w:t>
            </w:r>
            <w:r>
              <w:rPr>
                <w:rFonts w:hint="default" w:ascii="Times New Roman" w:hAnsi="Times New Roman" w:eastAsia="Times New Roman"/>
                <w:color w:val="auto"/>
                <w:sz w:val="18"/>
              </w:rPr>
              <w:t>TDS</w:t>
            </w:r>
            <w:r>
              <w:rPr>
                <w:rFonts w:hint="default"/>
                <w:color w:val="auto"/>
                <w:sz w:val="18"/>
              </w:rPr>
              <w:t>＜</w:t>
            </w:r>
            <w:r>
              <w:rPr>
                <w:rFonts w:hint="default" w:ascii="Times New Roman" w:hAnsi="Times New Roman" w:eastAsia="Times New Roman"/>
                <w:color w:val="auto"/>
                <w:sz w:val="18"/>
              </w:rPr>
              <w:t>5</w:t>
            </w:r>
          </w:p>
        </w:tc>
        <w:tc>
          <w:tcPr>
            <w:tcW w:w="1134" w:type="dxa"/>
            <w:tcBorders>
              <w:top w:val="single" w:color="000000" w:sz="4" w:space="0"/>
              <w:left w:val="single" w:color="000000" w:sz="6" w:space="0"/>
              <w:bottom w:val="single" w:color="000000" w:sz="4" w:space="0"/>
              <w:right w:val="single" w:color="000000" w:sz="6" w:space="0"/>
            </w:tcBorders>
          </w:tcPr>
          <w:p>
            <w:pPr>
              <w:pStyle w:val="52"/>
              <w:keepNext w:val="0"/>
              <w:keepLines w:val="0"/>
              <w:suppressLineNumbers w:val="0"/>
              <w:spacing w:before="4" w:beforeAutospacing="0" w:after="0" w:afterAutospacing="0"/>
              <w:ind w:left="0" w:right="0"/>
              <w:rPr>
                <w:rFonts w:hint="default" w:ascii="黑体"/>
                <w:color w:val="auto"/>
                <w:sz w:val="15"/>
              </w:rPr>
            </w:pPr>
          </w:p>
          <w:p>
            <w:pPr>
              <w:pStyle w:val="52"/>
              <w:keepNext w:val="0"/>
              <w:keepLines w:val="0"/>
              <w:suppressLineNumbers w:val="0"/>
              <w:spacing w:before="0" w:beforeAutospacing="0" w:after="0" w:afterAutospacing="0"/>
              <w:ind w:left="21" w:right="0"/>
              <w:jc w:val="center"/>
              <w:rPr>
                <w:rFonts w:hint="default" w:ascii="Times New Roman" w:hAnsi="Times New Roman"/>
                <w:color w:val="auto"/>
                <w:sz w:val="18"/>
              </w:rPr>
            </w:pPr>
            <w:r>
              <w:rPr>
                <w:rFonts w:hint="default" w:ascii="Times New Roman" w:hAnsi="Times New Roman"/>
                <w:color w:val="auto"/>
                <w:sz w:val="18"/>
              </w:rPr>
              <w:t>TDS</w:t>
            </w:r>
            <w:r>
              <w:rPr>
                <w:rFonts w:hint="default"/>
                <w:color w:val="auto"/>
                <w:sz w:val="18"/>
              </w:rPr>
              <w:t>≥</w:t>
            </w:r>
            <w:r>
              <w:rPr>
                <w:rFonts w:hint="default" w:ascii="Times New Roman" w:hAnsi="Times New Roman"/>
                <w:color w:val="auto"/>
                <w:sz w:val="18"/>
              </w:rPr>
              <w:t>5</w:t>
            </w:r>
          </w:p>
        </w:tc>
        <w:tc>
          <w:tcPr>
            <w:tcW w:w="980" w:type="dxa"/>
            <w:tcBorders>
              <w:top w:val="single" w:color="000000" w:sz="4" w:space="0"/>
              <w:left w:val="single" w:color="000000" w:sz="6" w:space="0"/>
              <w:bottom w:val="single" w:color="000000" w:sz="4" w:space="0"/>
            </w:tcBorders>
          </w:tcPr>
          <w:p>
            <w:pPr>
              <w:pStyle w:val="52"/>
              <w:keepNext w:val="0"/>
              <w:keepLines w:val="0"/>
              <w:suppressLineNumbers w:val="0"/>
              <w:spacing w:before="3" w:beforeAutospacing="0" w:after="0" w:afterAutospacing="0"/>
              <w:ind w:left="0" w:right="0"/>
              <w:rPr>
                <w:rFonts w:hint="default" w:ascii="黑体"/>
                <w:color w:val="auto"/>
                <w:sz w:val="16"/>
              </w:rPr>
            </w:pPr>
          </w:p>
          <w:p>
            <w:pPr>
              <w:pStyle w:val="52"/>
              <w:keepNext w:val="0"/>
              <w:keepLines w:val="0"/>
              <w:suppressLineNumbers w:val="0"/>
              <w:spacing w:before="0" w:beforeAutospacing="0" w:after="0" w:afterAutospacing="0"/>
              <w:ind w:left="314" w:right="292"/>
              <w:jc w:val="center"/>
              <w:rPr>
                <w:rFonts w:hint="default" w:ascii="Times New Roman"/>
                <w:color w:val="auto"/>
                <w:sz w:val="18"/>
              </w:rPr>
            </w:pPr>
            <w:r>
              <w:rPr>
                <w:rFonts w:hint="default" w:ascii="Times New Roman"/>
                <w:color w:val="auto"/>
                <w:sz w:val="18"/>
              </w:rPr>
              <w:t>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jc w:val="center"/>
        </w:trPr>
        <w:tc>
          <w:tcPr>
            <w:tcW w:w="2684" w:type="dxa"/>
            <w:tcBorders>
              <w:top w:val="single" w:color="000000" w:sz="4" w:space="0"/>
              <w:right w:val="single" w:color="000000" w:sz="6" w:space="0"/>
            </w:tcBorders>
          </w:tcPr>
          <w:p>
            <w:pPr>
              <w:pStyle w:val="52"/>
              <w:keepNext w:val="0"/>
              <w:keepLines w:val="0"/>
              <w:suppressLineNumbers w:val="0"/>
              <w:spacing w:before="4" w:beforeAutospacing="0" w:after="0" w:afterAutospacing="0"/>
              <w:ind w:left="0" w:right="0"/>
              <w:rPr>
                <w:rFonts w:hint="default" w:ascii="黑体"/>
                <w:color w:val="auto"/>
                <w:sz w:val="15"/>
              </w:rPr>
            </w:pPr>
          </w:p>
          <w:p>
            <w:pPr>
              <w:pStyle w:val="52"/>
              <w:keepNext w:val="0"/>
              <w:keepLines w:val="0"/>
              <w:suppressLineNumbers w:val="0"/>
              <w:spacing w:before="0" w:beforeAutospacing="0" w:after="0" w:afterAutospacing="0"/>
              <w:ind w:left="15" w:right="0"/>
              <w:jc w:val="center"/>
              <w:rPr>
                <w:rFonts w:hint="default"/>
                <w:color w:val="auto"/>
                <w:sz w:val="18"/>
              </w:rPr>
            </w:pPr>
            <w:r>
              <w:rPr>
                <w:rFonts w:hint="default"/>
                <w:color w:val="auto"/>
                <w:sz w:val="18"/>
              </w:rPr>
              <w:t>土壤质地</w:t>
            </w:r>
          </w:p>
        </w:tc>
        <w:tc>
          <w:tcPr>
            <w:tcW w:w="1134" w:type="dxa"/>
            <w:tcBorders>
              <w:top w:val="single" w:color="000000" w:sz="4" w:space="0"/>
              <w:left w:val="single" w:color="000000" w:sz="6" w:space="0"/>
              <w:right w:val="single" w:color="000000" w:sz="6" w:space="0"/>
            </w:tcBorders>
          </w:tcPr>
          <w:p>
            <w:pPr>
              <w:pStyle w:val="52"/>
              <w:keepNext w:val="0"/>
              <w:keepLines w:val="0"/>
              <w:suppressLineNumbers w:val="0"/>
              <w:spacing w:before="4" w:beforeAutospacing="0" w:after="0" w:afterAutospacing="0"/>
              <w:ind w:left="0" w:right="0"/>
              <w:rPr>
                <w:rFonts w:hint="default" w:ascii="黑体"/>
                <w:color w:val="auto"/>
                <w:sz w:val="15"/>
              </w:rPr>
            </w:pPr>
          </w:p>
          <w:p>
            <w:pPr>
              <w:pStyle w:val="52"/>
              <w:keepNext w:val="0"/>
              <w:keepLines w:val="0"/>
              <w:suppressLineNumbers w:val="0"/>
              <w:spacing w:before="0" w:beforeAutospacing="0" w:after="0" w:afterAutospacing="0"/>
              <w:ind w:left="21" w:right="0"/>
              <w:jc w:val="center"/>
              <w:rPr>
                <w:rFonts w:hint="default"/>
                <w:color w:val="auto"/>
                <w:sz w:val="18"/>
              </w:rPr>
            </w:pPr>
            <w:r>
              <w:rPr>
                <w:rFonts w:hint="default"/>
                <w:color w:val="auto"/>
                <w:sz w:val="18"/>
              </w:rPr>
              <w:t>黏土</w:t>
            </w:r>
          </w:p>
        </w:tc>
        <w:tc>
          <w:tcPr>
            <w:tcW w:w="1559" w:type="dxa"/>
            <w:tcBorders>
              <w:top w:val="single" w:color="000000" w:sz="4" w:space="0"/>
              <w:left w:val="single" w:color="000000" w:sz="6" w:space="0"/>
              <w:right w:val="single" w:color="000000" w:sz="6" w:space="0"/>
            </w:tcBorders>
          </w:tcPr>
          <w:p>
            <w:pPr>
              <w:pStyle w:val="52"/>
              <w:keepNext w:val="0"/>
              <w:keepLines w:val="0"/>
              <w:suppressLineNumbers w:val="0"/>
              <w:spacing w:before="4" w:beforeAutospacing="0" w:after="0" w:afterAutospacing="0"/>
              <w:ind w:left="0" w:right="0"/>
              <w:rPr>
                <w:rFonts w:hint="default" w:ascii="黑体"/>
                <w:color w:val="auto"/>
                <w:sz w:val="15"/>
              </w:rPr>
            </w:pPr>
          </w:p>
          <w:p>
            <w:pPr>
              <w:pStyle w:val="52"/>
              <w:keepNext w:val="0"/>
              <w:keepLines w:val="0"/>
              <w:suppressLineNumbers w:val="0"/>
              <w:spacing w:before="0" w:beforeAutospacing="0" w:after="0" w:afterAutospacing="0"/>
              <w:ind w:left="137" w:right="121"/>
              <w:jc w:val="center"/>
              <w:rPr>
                <w:rFonts w:hint="default"/>
                <w:color w:val="auto"/>
                <w:sz w:val="18"/>
              </w:rPr>
            </w:pPr>
            <w:r>
              <w:rPr>
                <w:rFonts w:hint="default"/>
                <w:color w:val="auto"/>
                <w:sz w:val="18"/>
              </w:rPr>
              <w:t>砂土</w:t>
            </w:r>
          </w:p>
        </w:tc>
        <w:tc>
          <w:tcPr>
            <w:tcW w:w="1559" w:type="dxa"/>
            <w:tcBorders>
              <w:top w:val="single" w:color="000000" w:sz="4" w:space="0"/>
              <w:left w:val="single" w:color="000000" w:sz="6" w:space="0"/>
              <w:right w:val="single" w:color="000000" w:sz="6" w:space="0"/>
            </w:tcBorders>
          </w:tcPr>
          <w:p>
            <w:pPr>
              <w:pStyle w:val="52"/>
              <w:keepNext w:val="0"/>
              <w:keepLines w:val="0"/>
              <w:suppressLineNumbers w:val="0"/>
              <w:spacing w:before="4" w:beforeAutospacing="0" w:after="0" w:afterAutospacing="0"/>
              <w:ind w:left="0" w:right="0"/>
              <w:rPr>
                <w:rFonts w:hint="default" w:ascii="黑体"/>
                <w:color w:val="auto"/>
                <w:sz w:val="15"/>
              </w:rPr>
            </w:pPr>
          </w:p>
          <w:p>
            <w:pPr>
              <w:pStyle w:val="52"/>
              <w:keepNext w:val="0"/>
              <w:keepLines w:val="0"/>
              <w:suppressLineNumbers w:val="0"/>
              <w:spacing w:before="0" w:beforeAutospacing="0" w:after="0" w:afterAutospacing="0"/>
              <w:ind w:left="139" w:right="121"/>
              <w:jc w:val="center"/>
              <w:rPr>
                <w:rFonts w:hint="default"/>
                <w:color w:val="auto"/>
                <w:sz w:val="18"/>
              </w:rPr>
            </w:pPr>
            <w:r>
              <w:rPr>
                <w:rFonts w:hint="default"/>
                <w:color w:val="auto"/>
                <w:sz w:val="18"/>
              </w:rPr>
              <w:t>壤土</w:t>
            </w:r>
          </w:p>
        </w:tc>
        <w:tc>
          <w:tcPr>
            <w:tcW w:w="1134" w:type="dxa"/>
            <w:tcBorders>
              <w:top w:val="single" w:color="000000" w:sz="4" w:space="0"/>
              <w:left w:val="single" w:color="000000" w:sz="6" w:space="0"/>
              <w:right w:val="single" w:color="000000" w:sz="6" w:space="0"/>
            </w:tcBorders>
          </w:tcPr>
          <w:p>
            <w:pPr>
              <w:pStyle w:val="52"/>
              <w:keepNext w:val="0"/>
              <w:keepLines w:val="0"/>
              <w:suppressLineNumbers w:val="0"/>
              <w:spacing w:before="40" w:beforeAutospacing="0" w:after="0" w:afterAutospacing="0"/>
              <w:ind w:left="109" w:right="0"/>
              <w:jc w:val="center"/>
              <w:rPr>
                <w:rFonts w:hint="default"/>
                <w:color w:val="auto"/>
                <w:sz w:val="18"/>
              </w:rPr>
            </w:pPr>
            <w:r>
              <w:rPr>
                <w:rFonts w:hint="default"/>
                <w:color w:val="auto"/>
                <w:spacing w:val="-17"/>
                <w:sz w:val="18"/>
              </w:rPr>
              <w:t>砂壤、粉土、</w:t>
            </w:r>
          </w:p>
          <w:p>
            <w:pPr>
              <w:pStyle w:val="52"/>
              <w:keepNext w:val="0"/>
              <w:keepLines w:val="0"/>
              <w:suppressLineNumbers w:val="0"/>
              <w:spacing w:before="81" w:beforeAutospacing="0" w:after="0" w:afterAutospacing="0"/>
              <w:ind w:left="20" w:right="0"/>
              <w:jc w:val="center"/>
              <w:rPr>
                <w:rFonts w:hint="default"/>
                <w:color w:val="auto"/>
                <w:sz w:val="18"/>
              </w:rPr>
            </w:pPr>
            <w:r>
              <w:rPr>
                <w:rFonts w:hint="default"/>
                <w:color w:val="auto"/>
                <w:sz w:val="18"/>
              </w:rPr>
              <w:t>砂粉土</w:t>
            </w:r>
          </w:p>
        </w:tc>
        <w:tc>
          <w:tcPr>
            <w:tcW w:w="980" w:type="dxa"/>
            <w:tcBorders>
              <w:top w:val="single" w:color="000000" w:sz="4" w:space="0"/>
              <w:left w:val="single" w:color="000000" w:sz="6" w:space="0"/>
            </w:tcBorders>
          </w:tcPr>
          <w:p>
            <w:pPr>
              <w:pStyle w:val="52"/>
              <w:keepNext w:val="0"/>
              <w:keepLines w:val="0"/>
              <w:suppressLineNumbers w:val="0"/>
              <w:spacing w:before="3" w:beforeAutospacing="0" w:after="0" w:afterAutospacing="0"/>
              <w:ind w:left="0" w:right="0"/>
              <w:rPr>
                <w:rFonts w:hint="default" w:ascii="黑体"/>
                <w:color w:val="auto"/>
                <w:sz w:val="16"/>
              </w:rPr>
            </w:pPr>
          </w:p>
          <w:p>
            <w:pPr>
              <w:pStyle w:val="52"/>
              <w:keepNext w:val="0"/>
              <w:keepLines w:val="0"/>
              <w:suppressLineNumbers w:val="0"/>
              <w:spacing w:before="0" w:beforeAutospacing="0" w:after="0" w:afterAutospacing="0"/>
              <w:ind w:left="314" w:right="292"/>
              <w:jc w:val="center"/>
              <w:rPr>
                <w:rFonts w:hint="default" w:ascii="Times New Roman"/>
                <w:color w:val="auto"/>
                <w:sz w:val="18"/>
              </w:rPr>
            </w:pPr>
            <w:r>
              <w:rPr>
                <w:rFonts w:hint="default" w:ascii="Times New Roman"/>
                <w:color w:val="auto"/>
                <w:sz w:val="18"/>
              </w:rPr>
              <w:t>0.10</w:t>
            </w:r>
          </w:p>
        </w:tc>
      </w:tr>
    </w:tbl>
    <w:p>
      <w:pPr>
        <w:pStyle w:val="16"/>
        <w:rPr>
          <w:rFonts w:ascii="黑体"/>
          <w:color w:val="auto"/>
          <w:sz w:val="20"/>
        </w:rPr>
      </w:pPr>
    </w:p>
    <w:p>
      <w:pPr>
        <w:pStyle w:val="16"/>
        <w:tabs>
          <w:tab w:val="left" w:pos="787"/>
        </w:tabs>
        <w:spacing w:before="163"/>
        <w:ind w:right="79"/>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表 6-11  土壤盐化影响因素赋值表</w:t>
      </w:r>
    </w:p>
    <w:tbl>
      <w:tblPr>
        <w:tblStyle w:val="25"/>
        <w:tblpPr w:leftFromText="180" w:rightFromText="180" w:vertAnchor="text" w:horzAnchor="page" w:tblpX="1895" w:tblpY="161"/>
        <w:tblOverlap w:val="never"/>
        <w:tblW w:w="47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0"/>
        <w:gridCol w:w="1086"/>
        <w:gridCol w:w="1246"/>
        <w:gridCol w:w="945"/>
        <w:gridCol w:w="1207"/>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633" w:type="pct"/>
            <w:vAlign w:val="center"/>
          </w:tcPr>
          <w:p>
            <w:pPr>
              <w:pStyle w:val="40"/>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影响因素</w:t>
            </w:r>
          </w:p>
        </w:tc>
        <w:tc>
          <w:tcPr>
            <w:tcW w:w="638" w:type="pct"/>
            <w:vAlign w:val="center"/>
          </w:tcPr>
          <w:p>
            <w:pPr>
              <w:pStyle w:val="40"/>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权重</w:t>
            </w:r>
          </w:p>
        </w:tc>
        <w:tc>
          <w:tcPr>
            <w:tcW w:w="732" w:type="pct"/>
            <w:vAlign w:val="center"/>
          </w:tcPr>
          <w:p>
            <w:pPr>
              <w:pStyle w:val="40"/>
              <w:keepNext w:val="0"/>
              <w:keepLines w:val="0"/>
              <w:suppressLineNumbers w:val="0"/>
              <w:bidi w:val="0"/>
              <w:spacing w:before="0" w:beforeAutospacing="0" w:after="0" w:afterAutospacing="0"/>
              <w:ind w:left="0" w:right="0"/>
              <w:rPr>
                <w:rFonts w:hint="eastAsia"/>
                <w:color w:val="auto"/>
                <w:sz w:val="21"/>
                <w:szCs w:val="21"/>
                <w:lang w:eastAsia="zh-CN"/>
              </w:rPr>
            </w:pPr>
            <w:r>
              <w:rPr>
                <w:rFonts w:hint="eastAsia"/>
                <w:color w:val="auto"/>
                <w:sz w:val="21"/>
                <w:szCs w:val="21"/>
                <w:lang w:eastAsia="zh-CN"/>
              </w:rPr>
              <w:t>数据</w:t>
            </w:r>
          </w:p>
        </w:tc>
        <w:tc>
          <w:tcPr>
            <w:tcW w:w="555" w:type="pct"/>
            <w:vAlign w:val="center"/>
          </w:tcPr>
          <w:p>
            <w:pPr>
              <w:pStyle w:val="40"/>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18"/>
              </w:rPr>
              <w:t>分值</w:t>
            </w:r>
          </w:p>
        </w:tc>
        <w:tc>
          <w:tcPr>
            <w:tcW w:w="709" w:type="pct"/>
            <w:vAlign w:val="center"/>
          </w:tcPr>
          <w:p>
            <w:pPr>
              <w:pStyle w:val="40"/>
              <w:keepNext w:val="0"/>
              <w:keepLines w:val="0"/>
              <w:suppressLineNumbers w:val="0"/>
              <w:bidi w:val="0"/>
              <w:spacing w:before="0" w:beforeAutospacing="0" w:after="0" w:afterAutospacing="0"/>
              <w:ind w:left="0" w:right="0"/>
              <w:rPr>
                <w:rFonts w:hint="eastAsia" w:eastAsia="宋体"/>
                <w:color w:val="auto"/>
                <w:sz w:val="21"/>
                <w:szCs w:val="21"/>
                <w:lang w:eastAsia="zh-CN"/>
              </w:rPr>
            </w:pPr>
            <w:r>
              <w:rPr>
                <w:rFonts w:hint="eastAsia"/>
                <w:color w:val="auto"/>
                <w:sz w:val="18"/>
                <w:lang w:eastAsia="zh-CN"/>
              </w:rPr>
              <w:t>权值</w:t>
            </w:r>
          </w:p>
        </w:tc>
        <w:tc>
          <w:tcPr>
            <w:tcW w:w="732" w:type="pct"/>
            <w:vAlign w:val="center"/>
          </w:tcPr>
          <w:p>
            <w:pPr>
              <w:pStyle w:val="40"/>
              <w:keepNext w:val="0"/>
              <w:keepLines w:val="0"/>
              <w:suppressLineNumbers w:val="0"/>
              <w:bidi w:val="0"/>
              <w:spacing w:before="0" w:beforeAutospacing="0" w:after="0" w:afterAutospacing="0"/>
              <w:ind w:left="0" w:right="0"/>
              <w:rPr>
                <w:rFonts w:hint="default"/>
                <w:color w:val="auto"/>
                <w:sz w:val="18"/>
              </w:rPr>
            </w:pPr>
            <w:r>
              <w:rPr>
                <w:rFonts w:hint="default"/>
                <w:color w:val="auto"/>
                <w:sz w:val="18"/>
              </w:rPr>
              <w:t>土壤盐化综合评分值（</w:t>
            </w:r>
            <w:r>
              <w:rPr>
                <w:rFonts w:hint="default" w:ascii="Times New Roman" w:eastAsia="Times New Roman"/>
                <w:color w:val="auto"/>
                <w:sz w:val="18"/>
              </w:rPr>
              <w:t>Sa</w:t>
            </w:r>
            <w:r>
              <w:rPr>
                <w:rFonts w:hint="default"/>
                <w:color w:val="auto"/>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633" w:type="pct"/>
            <w:vAlign w:val="center"/>
          </w:tcPr>
          <w:p>
            <w:pPr>
              <w:pStyle w:val="40"/>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地下水位埋深（GWD）/（m）</w:t>
            </w:r>
          </w:p>
        </w:tc>
        <w:tc>
          <w:tcPr>
            <w:tcW w:w="638" w:type="pct"/>
            <w:vAlign w:val="center"/>
          </w:tcPr>
          <w:p>
            <w:pPr>
              <w:pStyle w:val="40"/>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0.35</w:t>
            </w:r>
          </w:p>
        </w:tc>
        <w:tc>
          <w:tcPr>
            <w:tcW w:w="732" w:type="pct"/>
            <w:vAlign w:val="center"/>
          </w:tcPr>
          <w:p>
            <w:pPr>
              <w:pStyle w:val="40"/>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1.5</w:t>
            </w:r>
          </w:p>
        </w:tc>
        <w:tc>
          <w:tcPr>
            <w:tcW w:w="555" w:type="pct"/>
            <w:vAlign w:val="center"/>
          </w:tcPr>
          <w:p>
            <w:pPr>
              <w:pStyle w:val="40"/>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eastAsia"/>
                <w:color w:val="auto"/>
                <w:sz w:val="21"/>
                <w:szCs w:val="21"/>
                <w:lang w:val="en-US" w:eastAsia="zh-CN"/>
              </w:rPr>
              <w:t>2</w:t>
            </w:r>
          </w:p>
        </w:tc>
        <w:tc>
          <w:tcPr>
            <w:tcW w:w="709" w:type="pct"/>
            <w:vAlign w:val="center"/>
          </w:tcPr>
          <w:p>
            <w:pPr>
              <w:pStyle w:val="40"/>
              <w:keepNext w:val="0"/>
              <w:keepLines w:val="0"/>
              <w:suppressLineNumbers w:val="0"/>
              <w:bidi w:val="0"/>
              <w:spacing w:before="0" w:beforeAutospacing="0" w:after="0" w:afterAutospacing="0"/>
              <w:ind w:left="0" w:right="0"/>
              <w:rPr>
                <w:rFonts w:hint="default" w:eastAsia="宋体"/>
                <w:color w:val="auto"/>
                <w:sz w:val="21"/>
                <w:szCs w:val="21"/>
                <w:lang w:val="en-US" w:eastAsia="zh-CN"/>
              </w:rPr>
            </w:pPr>
            <w:r>
              <w:rPr>
                <w:rFonts w:hint="eastAsia"/>
                <w:color w:val="auto"/>
                <w:sz w:val="21"/>
                <w:szCs w:val="21"/>
                <w:lang w:val="en-US" w:eastAsia="zh-CN"/>
              </w:rPr>
              <w:t>0.7</w:t>
            </w:r>
          </w:p>
        </w:tc>
        <w:tc>
          <w:tcPr>
            <w:tcW w:w="732" w:type="pct"/>
            <w:vMerge w:val="restart"/>
            <w:vAlign w:val="center"/>
          </w:tcPr>
          <w:p>
            <w:pPr>
              <w:pStyle w:val="40"/>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633" w:type="pct"/>
            <w:vAlign w:val="center"/>
          </w:tcPr>
          <w:p>
            <w:pPr>
              <w:pStyle w:val="40"/>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干燥度（蒸降比值）（EPR）</w:t>
            </w:r>
          </w:p>
        </w:tc>
        <w:tc>
          <w:tcPr>
            <w:tcW w:w="638" w:type="pct"/>
            <w:vAlign w:val="center"/>
          </w:tcPr>
          <w:p>
            <w:pPr>
              <w:pStyle w:val="40"/>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0.25</w:t>
            </w:r>
          </w:p>
        </w:tc>
        <w:tc>
          <w:tcPr>
            <w:tcW w:w="732" w:type="pct"/>
            <w:vAlign w:val="center"/>
          </w:tcPr>
          <w:p>
            <w:pPr>
              <w:pStyle w:val="40"/>
              <w:keepNext w:val="0"/>
              <w:keepLines w:val="0"/>
              <w:suppressLineNumbers w:val="0"/>
              <w:bidi w:val="0"/>
              <w:spacing w:before="0" w:beforeAutospacing="0" w:after="0" w:afterAutospacing="0"/>
              <w:ind w:left="0" w:right="0"/>
              <w:rPr>
                <w:rFonts w:hint="default" w:eastAsia="宋体"/>
                <w:color w:val="auto"/>
                <w:sz w:val="21"/>
                <w:szCs w:val="21"/>
                <w:lang w:val="en-US" w:eastAsia="zh-CN"/>
              </w:rPr>
            </w:pPr>
            <w:r>
              <w:rPr>
                <w:rFonts w:hint="eastAsia"/>
                <w:color w:val="auto"/>
                <w:sz w:val="21"/>
                <w:szCs w:val="21"/>
                <w:lang w:val="en-US" w:eastAsia="zh-CN"/>
              </w:rPr>
              <w:t>0.9217</w:t>
            </w:r>
          </w:p>
        </w:tc>
        <w:tc>
          <w:tcPr>
            <w:tcW w:w="555" w:type="pct"/>
            <w:vAlign w:val="center"/>
          </w:tcPr>
          <w:p>
            <w:pPr>
              <w:pStyle w:val="40"/>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eastAsia"/>
                <w:color w:val="auto"/>
                <w:sz w:val="21"/>
                <w:szCs w:val="21"/>
                <w:lang w:val="en-US" w:eastAsia="zh-CN"/>
              </w:rPr>
              <w:t>0</w:t>
            </w:r>
          </w:p>
        </w:tc>
        <w:tc>
          <w:tcPr>
            <w:tcW w:w="709" w:type="pct"/>
            <w:vAlign w:val="center"/>
          </w:tcPr>
          <w:p>
            <w:pPr>
              <w:pStyle w:val="40"/>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eastAsia"/>
                <w:color w:val="auto"/>
                <w:sz w:val="21"/>
                <w:szCs w:val="21"/>
                <w:lang w:val="en-US" w:eastAsia="zh-CN"/>
              </w:rPr>
              <w:t>0</w:t>
            </w:r>
          </w:p>
        </w:tc>
        <w:tc>
          <w:tcPr>
            <w:tcW w:w="732" w:type="pct"/>
            <w:vMerge w:val="continue"/>
            <w:vAlign w:val="center"/>
          </w:tcPr>
          <w:p>
            <w:pPr>
              <w:pStyle w:val="40"/>
              <w:keepNext w:val="0"/>
              <w:keepLines w:val="0"/>
              <w:suppressLineNumbers w:val="0"/>
              <w:bidi w:val="0"/>
              <w:spacing w:before="0" w:beforeAutospacing="0" w:after="0" w:afterAutospacing="0"/>
              <w:ind w:left="0" w:right="0"/>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633" w:type="pct"/>
            <w:vAlign w:val="center"/>
          </w:tcPr>
          <w:p>
            <w:pPr>
              <w:pStyle w:val="40"/>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土壤本底含盐量（SSC）/（g/kg）</w:t>
            </w:r>
          </w:p>
        </w:tc>
        <w:tc>
          <w:tcPr>
            <w:tcW w:w="638" w:type="pct"/>
            <w:vAlign w:val="center"/>
          </w:tcPr>
          <w:p>
            <w:pPr>
              <w:pStyle w:val="40"/>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0.15</w:t>
            </w:r>
          </w:p>
        </w:tc>
        <w:tc>
          <w:tcPr>
            <w:tcW w:w="732" w:type="pct"/>
            <w:vAlign w:val="center"/>
          </w:tcPr>
          <w:p>
            <w:pPr>
              <w:pStyle w:val="40"/>
              <w:keepNext w:val="0"/>
              <w:keepLines w:val="0"/>
              <w:suppressLineNumbers w:val="0"/>
              <w:bidi w:val="0"/>
              <w:spacing w:before="0" w:beforeAutospacing="0" w:after="0" w:afterAutospacing="0"/>
              <w:ind w:left="0" w:right="0"/>
              <w:rPr>
                <w:rFonts w:hint="default" w:eastAsia="宋体"/>
                <w:color w:val="auto"/>
                <w:sz w:val="21"/>
                <w:szCs w:val="21"/>
                <w:lang w:val="en-US" w:eastAsia="zh-CN"/>
              </w:rPr>
            </w:pPr>
            <w:r>
              <w:rPr>
                <w:rFonts w:hint="eastAsia"/>
                <w:color w:val="auto"/>
                <w:sz w:val="21"/>
                <w:szCs w:val="21"/>
                <w:lang w:val="en-US" w:eastAsia="zh-CN"/>
              </w:rPr>
              <w:t>3</w:t>
            </w:r>
          </w:p>
        </w:tc>
        <w:tc>
          <w:tcPr>
            <w:tcW w:w="555" w:type="pct"/>
            <w:vAlign w:val="center"/>
          </w:tcPr>
          <w:p>
            <w:pPr>
              <w:pStyle w:val="40"/>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eastAsia"/>
                <w:color w:val="auto"/>
                <w:sz w:val="21"/>
                <w:szCs w:val="21"/>
                <w:lang w:val="en-US" w:eastAsia="zh-CN"/>
              </w:rPr>
              <w:t>4</w:t>
            </w:r>
          </w:p>
        </w:tc>
        <w:tc>
          <w:tcPr>
            <w:tcW w:w="709" w:type="pct"/>
            <w:vAlign w:val="center"/>
          </w:tcPr>
          <w:p>
            <w:pPr>
              <w:pStyle w:val="40"/>
              <w:keepNext w:val="0"/>
              <w:keepLines w:val="0"/>
              <w:suppressLineNumbers w:val="0"/>
              <w:bidi w:val="0"/>
              <w:spacing w:before="0" w:beforeAutospacing="0" w:after="0" w:afterAutospacing="0"/>
              <w:ind w:left="0" w:right="0"/>
              <w:rPr>
                <w:rFonts w:hint="default" w:eastAsia="宋体"/>
                <w:color w:val="auto"/>
                <w:sz w:val="21"/>
                <w:szCs w:val="21"/>
                <w:lang w:val="en-US" w:eastAsia="zh-CN"/>
              </w:rPr>
            </w:pPr>
            <w:r>
              <w:rPr>
                <w:rFonts w:hint="eastAsia"/>
                <w:color w:val="auto"/>
                <w:sz w:val="21"/>
                <w:szCs w:val="21"/>
                <w:lang w:val="en-US" w:eastAsia="zh-CN"/>
              </w:rPr>
              <w:t>0.6</w:t>
            </w:r>
          </w:p>
        </w:tc>
        <w:tc>
          <w:tcPr>
            <w:tcW w:w="732" w:type="pct"/>
            <w:vMerge w:val="continue"/>
            <w:vAlign w:val="center"/>
          </w:tcPr>
          <w:p>
            <w:pPr>
              <w:pStyle w:val="40"/>
              <w:keepNext w:val="0"/>
              <w:keepLines w:val="0"/>
              <w:suppressLineNumbers w:val="0"/>
              <w:bidi w:val="0"/>
              <w:spacing w:before="0" w:beforeAutospacing="0" w:after="0" w:afterAutospacing="0"/>
              <w:ind w:left="0" w:right="0"/>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3" w:type="pct"/>
            <w:vAlign w:val="center"/>
          </w:tcPr>
          <w:p>
            <w:pPr>
              <w:pStyle w:val="40"/>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地下水溶解性总固体</w:t>
            </w:r>
          </w:p>
          <w:p>
            <w:pPr>
              <w:pStyle w:val="40"/>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（TDS）/（g/L）</w:t>
            </w:r>
          </w:p>
        </w:tc>
        <w:tc>
          <w:tcPr>
            <w:tcW w:w="638" w:type="pct"/>
            <w:vAlign w:val="center"/>
          </w:tcPr>
          <w:p>
            <w:pPr>
              <w:pStyle w:val="40"/>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0.15</w:t>
            </w:r>
          </w:p>
        </w:tc>
        <w:tc>
          <w:tcPr>
            <w:tcW w:w="732" w:type="pct"/>
            <w:vAlign w:val="center"/>
          </w:tcPr>
          <w:p>
            <w:pPr>
              <w:pStyle w:val="40"/>
              <w:keepNext w:val="0"/>
              <w:keepLines w:val="0"/>
              <w:suppressLineNumbers w:val="0"/>
              <w:bidi w:val="0"/>
              <w:spacing w:before="0" w:beforeAutospacing="0" w:after="0" w:afterAutospacing="0"/>
              <w:ind w:left="0" w:right="0"/>
              <w:rPr>
                <w:rFonts w:hint="default" w:eastAsia="宋体"/>
                <w:color w:val="auto"/>
                <w:sz w:val="21"/>
                <w:szCs w:val="21"/>
                <w:lang w:val="en-US" w:eastAsia="zh-CN"/>
              </w:rPr>
            </w:pPr>
            <w:r>
              <w:rPr>
                <w:rFonts w:hint="eastAsia"/>
                <w:color w:val="auto"/>
                <w:sz w:val="21"/>
                <w:szCs w:val="21"/>
                <w:lang w:val="en-US" w:eastAsia="zh-CN"/>
              </w:rPr>
              <w:t>0.4</w:t>
            </w:r>
          </w:p>
        </w:tc>
        <w:tc>
          <w:tcPr>
            <w:tcW w:w="555" w:type="pct"/>
            <w:vAlign w:val="center"/>
          </w:tcPr>
          <w:p>
            <w:pPr>
              <w:pStyle w:val="40"/>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eastAsia"/>
                <w:color w:val="auto"/>
                <w:sz w:val="21"/>
                <w:szCs w:val="21"/>
                <w:lang w:val="en-US" w:eastAsia="zh-CN"/>
              </w:rPr>
              <w:t>0</w:t>
            </w:r>
          </w:p>
        </w:tc>
        <w:tc>
          <w:tcPr>
            <w:tcW w:w="709" w:type="pct"/>
            <w:vAlign w:val="center"/>
          </w:tcPr>
          <w:p>
            <w:pPr>
              <w:pStyle w:val="40"/>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eastAsia"/>
                <w:color w:val="auto"/>
                <w:sz w:val="21"/>
                <w:szCs w:val="21"/>
                <w:lang w:val="en-US" w:eastAsia="zh-CN"/>
              </w:rPr>
              <w:t>0</w:t>
            </w:r>
          </w:p>
        </w:tc>
        <w:tc>
          <w:tcPr>
            <w:tcW w:w="732" w:type="pct"/>
            <w:vMerge w:val="continue"/>
            <w:vAlign w:val="center"/>
          </w:tcPr>
          <w:p>
            <w:pPr>
              <w:pStyle w:val="40"/>
              <w:keepNext w:val="0"/>
              <w:keepLines w:val="0"/>
              <w:suppressLineNumbers w:val="0"/>
              <w:bidi w:val="0"/>
              <w:spacing w:before="0" w:beforeAutospacing="0" w:after="0" w:afterAutospacing="0"/>
              <w:ind w:left="0" w:right="0"/>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633" w:type="pct"/>
            <w:vAlign w:val="center"/>
          </w:tcPr>
          <w:p>
            <w:pPr>
              <w:pStyle w:val="40"/>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土壤质地</w:t>
            </w:r>
          </w:p>
        </w:tc>
        <w:tc>
          <w:tcPr>
            <w:tcW w:w="638" w:type="pct"/>
            <w:vAlign w:val="center"/>
          </w:tcPr>
          <w:p>
            <w:pPr>
              <w:pStyle w:val="40"/>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0.10</w:t>
            </w:r>
          </w:p>
        </w:tc>
        <w:tc>
          <w:tcPr>
            <w:tcW w:w="732" w:type="pct"/>
            <w:vAlign w:val="center"/>
          </w:tcPr>
          <w:p>
            <w:pPr>
              <w:pStyle w:val="40"/>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18"/>
              </w:rPr>
              <w:t>黏土</w:t>
            </w:r>
          </w:p>
        </w:tc>
        <w:tc>
          <w:tcPr>
            <w:tcW w:w="555" w:type="pct"/>
            <w:vAlign w:val="center"/>
          </w:tcPr>
          <w:p>
            <w:pPr>
              <w:pStyle w:val="40"/>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eastAsia"/>
                <w:color w:val="auto"/>
                <w:sz w:val="21"/>
                <w:szCs w:val="21"/>
                <w:lang w:val="en-US" w:eastAsia="zh-CN"/>
              </w:rPr>
              <w:t>0</w:t>
            </w:r>
          </w:p>
        </w:tc>
        <w:tc>
          <w:tcPr>
            <w:tcW w:w="709" w:type="pct"/>
            <w:vAlign w:val="center"/>
          </w:tcPr>
          <w:p>
            <w:pPr>
              <w:pStyle w:val="40"/>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eastAsia"/>
                <w:color w:val="auto"/>
                <w:sz w:val="21"/>
                <w:szCs w:val="21"/>
                <w:lang w:val="en-US" w:eastAsia="zh-CN"/>
              </w:rPr>
              <w:t>0</w:t>
            </w:r>
          </w:p>
        </w:tc>
        <w:tc>
          <w:tcPr>
            <w:tcW w:w="732" w:type="pct"/>
            <w:vMerge w:val="continue"/>
            <w:vAlign w:val="center"/>
          </w:tcPr>
          <w:p>
            <w:pPr>
              <w:pStyle w:val="40"/>
              <w:keepNext w:val="0"/>
              <w:keepLines w:val="0"/>
              <w:suppressLineNumbers w:val="0"/>
              <w:bidi w:val="0"/>
              <w:spacing w:before="0" w:beforeAutospacing="0" w:after="0" w:afterAutospacing="0"/>
              <w:ind w:left="0" w:right="0"/>
              <w:rPr>
                <w:rFonts w:hint="default"/>
                <w:color w:val="auto"/>
                <w:sz w:val="21"/>
                <w:szCs w:val="21"/>
              </w:rPr>
            </w:pPr>
          </w:p>
        </w:tc>
      </w:tr>
    </w:tbl>
    <w:p>
      <w:pPr>
        <w:rPr>
          <w:rFonts w:hint="eastAsia" w:ascii="Times New Roman" w:hAnsi="Times New Roman" w:eastAsia="宋体" w:cs="Times New Roman"/>
          <w:b/>
          <w:bCs/>
          <w:color w:val="auto"/>
          <w:kern w:val="2"/>
          <w:sz w:val="21"/>
          <w:szCs w:val="21"/>
          <w:lang w:val="en-US" w:eastAsia="zh-CN" w:bidi="ar-SA"/>
        </w:rPr>
      </w:pPr>
    </w:p>
    <w:p>
      <w:pPr>
        <w:pStyle w:val="16"/>
        <w:tabs>
          <w:tab w:val="left" w:pos="787"/>
        </w:tabs>
        <w:spacing w:before="163"/>
        <w:ind w:right="79"/>
        <w:jc w:val="center"/>
        <w:rPr>
          <w:rFonts w:hint="eastAsia" w:ascii="黑体" w:eastAsia="黑体"/>
          <w:b/>
          <w:bCs/>
          <w:color w:val="auto"/>
        </w:rPr>
      </w:pPr>
      <w:bookmarkStart w:id="504" w:name="F.3  土壤盐化预测表"/>
      <w:bookmarkEnd w:id="504"/>
      <w:bookmarkStart w:id="505" w:name="F.3  土壤盐化预测表"/>
      <w:bookmarkEnd w:id="505"/>
      <w:r>
        <w:rPr>
          <w:rFonts w:hint="eastAsia" w:ascii="黑体" w:eastAsia="黑体"/>
          <w:b/>
          <w:bCs/>
          <w:color w:val="auto"/>
        </w:rPr>
        <w:t>表</w:t>
      </w:r>
      <w:r>
        <w:rPr>
          <w:rFonts w:hint="eastAsia" w:ascii="黑体" w:eastAsia="黑体"/>
          <w:b/>
          <w:bCs/>
          <w:color w:val="auto"/>
          <w:spacing w:val="-54"/>
          <w:lang w:val="en-US" w:eastAsia="zh-CN"/>
        </w:rPr>
        <w:t>6-12</w:t>
      </w:r>
      <w:r>
        <w:rPr>
          <w:rFonts w:hint="eastAsia" w:ascii="黑体" w:eastAsia="黑体"/>
          <w:b/>
          <w:bCs/>
          <w:color w:val="auto"/>
        </w:rPr>
        <w:tab/>
      </w:r>
      <w:r>
        <w:rPr>
          <w:rFonts w:hint="eastAsia" w:ascii="黑体" w:eastAsia="黑体"/>
          <w:b/>
          <w:bCs/>
          <w:color w:val="auto"/>
        </w:rPr>
        <w:t>土壤盐化预测表</w:t>
      </w:r>
    </w:p>
    <w:p>
      <w:pPr>
        <w:pStyle w:val="16"/>
        <w:spacing w:before="6"/>
        <w:rPr>
          <w:rFonts w:ascii="黑体"/>
          <w:color w:val="auto"/>
          <w:sz w:val="6"/>
        </w:rPr>
      </w:pPr>
    </w:p>
    <w:tbl>
      <w:tblPr>
        <w:tblStyle w:val="24"/>
        <w:tblW w:w="0" w:type="auto"/>
        <w:tblInd w:w="1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614"/>
        <w:gridCol w:w="1308"/>
        <w:gridCol w:w="1307"/>
        <w:gridCol w:w="1454"/>
        <w:gridCol w:w="1307"/>
        <w:gridCol w:w="129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7" w:hRule="atLeast"/>
        </w:trPr>
        <w:tc>
          <w:tcPr>
            <w:tcW w:w="2614" w:type="dxa"/>
            <w:tcBorders>
              <w:right w:val="single" w:color="000000" w:sz="6" w:space="0"/>
            </w:tcBorders>
            <w:vAlign w:val="center"/>
          </w:tcPr>
          <w:p>
            <w:pPr>
              <w:pStyle w:val="52"/>
              <w:keepNext w:val="0"/>
              <w:keepLines w:val="0"/>
              <w:suppressLineNumbers w:val="0"/>
              <w:spacing w:before="42" w:beforeAutospacing="0" w:after="0" w:afterAutospacing="0"/>
              <w:ind w:left="205" w:right="191"/>
              <w:jc w:val="center"/>
              <w:rPr>
                <w:rFonts w:hint="default"/>
                <w:color w:val="auto"/>
                <w:sz w:val="18"/>
              </w:rPr>
            </w:pPr>
            <w:r>
              <w:rPr>
                <w:rFonts w:hint="default"/>
                <w:color w:val="auto"/>
                <w:sz w:val="18"/>
              </w:rPr>
              <w:t>土壤盐化综合评分值（</w:t>
            </w:r>
            <w:r>
              <w:rPr>
                <w:rFonts w:hint="default" w:ascii="Times New Roman" w:eastAsia="Times New Roman"/>
                <w:color w:val="auto"/>
                <w:sz w:val="18"/>
              </w:rPr>
              <w:t>Sa</w:t>
            </w:r>
            <w:r>
              <w:rPr>
                <w:rFonts w:hint="default"/>
                <w:color w:val="auto"/>
                <w:sz w:val="18"/>
              </w:rPr>
              <w:t>）</w:t>
            </w:r>
          </w:p>
        </w:tc>
        <w:tc>
          <w:tcPr>
            <w:tcW w:w="1308" w:type="dxa"/>
            <w:tcBorders>
              <w:left w:val="single" w:color="000000" w:sz="6" w:space="0"/>
              <w:right w:val="single" w:color="000000" w:sz="6" w:space="0"/>
            </w:tcBorders>
            <w:vAlign w:val="center"/>
          </w:tcPr>
          <w:p>
            <w:pPr>
              <w:pStyle w:val="52"/>
              <w:keepNext w:val="0"/>
              <w:keepLines w:val="0"/>
              <w:suppressLineNumbers w:val="0"/>
              <w:spacing w:before="42" w:beforeAutospacing="0" w:after="0" w:afterAutospacing="0"/>
              <w:ind w:left="366" w:right="346"/>
              <w:jc w:val="center"/>
              <w:rPr>
                <w:rFonts w:hint="default" w:ascii="Times New Roman" w:eastAsia="Times New Roman"/>
                <w:color w:val="auto"/>
                <w:sz w:val="18"/>
              </w:rPr>
            </w:pPr>
            <w:r>
              <w:rPr>
                <w:rFonts w:hint="default" w:ascii="Times New Roman" w:eastAsia="Times New Roman"/>
                <w:color w:val="auto"/>
                <w:sz w:val="18"/>
              </w:rPr>
              <w:t>Sa</w:t>
            </w:r>
            <w:r>
              <w:rPr>
                <w:rFonts w:hint="default"/>
                <w:color w:val="auto"/>
                <w:sz w:val="18"/>
              </w:rPr>
              <w:t>＜</w:t>
            </w:r>
            <w:r>
              <w:rPr>
                <w:rFonts w:hint="default" w:ascii="Times New Roman" w:eastAsia="Times New Roman"/>
                <w:color w:val="auto"/>
                <w:sz w:val="18"/>
              </w:rPr>
              <w:t>1</w:t>
            </w:r>
          </w:p>
        </w:tc>
        <w:tc>
          <w:tcPr>
            <w:tcW w:w="1307" w:type="dxa"/>
            <w:tcBorders>
              <w:left w:val="single" w:color="000000" w:sz="6" w:space="0"/>
              <w:right w:val="single" w:color="000000" w:sz="6" w:space="0"/>
            </w:tcBorders>
            <w:vAlign w:val="center"/>
          </w:tcPr>
          <w:p>
            <w:pPr>
              <w:pStyle w:val="52"/>
              <w:keepNext w:val="0"/>
              <w:keepLines w:val="0"/>
              <w:suppressLineNumbers w:val="0"/>
              <w:spacing w:before="42" w:beforeAutospacing="0" w:after="0" w:afterAutospacing="0"/>
              <w:ind w:left="207" w:right="188"/>
              <w:jc w:val="center"/>
              <w:rPr>
                <w:rFonts w:hint="default" w:ascii="Times New Roman" w:hAnsi="Times New Roman" w:eastAsia="Times New Roman"/>
                <w:color w:val="auto"/>
                <w:sz w:val="18"/>
              </w:rPr>
            </w:pPr>
            <w:r>
              <w:rPr>
                <w:rFonts w:hint="default" w:ascii="Times New Roman" w:hAnsi="Times New Roman" w:eastAsia="Times New Roman"/>
                <w:color w:val="auto"/>
                <w:sz w:val="18"/>
              </w:rPr>
              <w:t>1</w:t>
            </w:r>
            <w:r>
              <w:rPr>
                <w:rFonts w:hint="default"/>
                <w:color w:val="auto"/>
                <w:sz w:val="18"/>
              </w:rPr>
              <w:t>≤</w:t>
            </w:r>
            <w:r>
              <w:rPr>
                <w:rFonts w:hint="default" w:ascii="Times New Roman" w:hAnsi="Times New Roman" w:eastAsia="Times New Roman"/>
                <w:color w:val="auto"/>
                <w:sz w:val="18"/>
              </w:rPr>
              <w:t>Sa</w:t>
            </w:r>
            <w:r>
              <w:rPr>
                <w:rFonts w:hint="default"/>
                <w:color w:val="auto"/>
                <w:sz w:val="18"/>
              </w:rPr>
              <w:t>＜</w:t>
            </w:r>
            <w:r>
              <w:rPr>
                <w:rFonts w:hint="default" w:ascii="Times New Roman" w:hAnsi="Times New Roman" w:eastAsia="Times New Roman"/>
                <w:color w:val="auto"/>
                <w:sz w:val="18"/>
              </w:rPr>
              <w:t>2</w:t>
            </w:r>
          </w:p>
        </w:tc>
        <w:tc>
          <w:tcPr>
            <w:tcW w:w="1454" w:type="dxa"/>
            <w:tcBorders>
              <w:left w:val="single" w:color="000000" w:sz="6" w:space="0"/>
              <w:right w:val="single" w:color="000000" w:sz="6" w:space="0"/>
            </w:tcBorders>
            <w:vAlign w:val="center"/>
          </w:tcPr>
          <w:p>
            <w:pPr>
              <w:pStyle w:val="52"/>
              <w:keepNext w:val="0"/>
              <w:keepLines w:val="0"/>
              <w:suppressLineNumbers w:val="0"/>
              <w:spacing w:before="42" w:beforeAutospacing="0" w:after="0" w:afterAutospacing="0"/>
              <w:ind w:left="367" w:right="0"/>
              <w:jc w:val="center"/>
              <w:rPr>
                <w:rFonts w:hint="default" w:ascii="Times New Roman" w:hAnsi="Times New Roman" w:eastAsia="Times New Roman"/>
                <w:color w:val="auto"/>
                <w:sz w:val="18"/>
              </w:rPr>
            </w:pPr>
            <w:r>
              <w:rPr>
                <w:rFonts w:hint="default" w:ascii="Times New Roman" w:hAnsi="Times New Roman" w:eastAsia="Times New Roman"/>
                <w:color w:val="auto"/>
                <w:sz w:val="18"/>
              </w:rPr>
              <w:t>2</w:t>
            </w:r>
            <w:r>
              <w:rPr>
                <w:rFonts w:hint="default"/>
                <w:color w:val="auto"/>
                <w:sz w:val="18"/>
              </w:rPr>
              <w:t>≤</w:t>
            </w:r>
            <w:r>
              <w:rPr>
                <w:rFonts w:hint="default" w:ascii="Times New Roman" w:hAnsi="Times New Roman" w:eastAsia="Times New Roman"/>
                <w:color w:val="auto"/>
                <w:sz w:val="18"/>
              </w:rPr>
              <w:t>Sa</w:t>
            </w:r>
            <w:r>
              <w:rPr>
                <w:rFonts w:hint="default"/>
                <w:color w:val="auto"/>
                <w:sz w:val="18"/>
              </w:rPr>
              <w:t>＜</w:t>
            </w:r>
            <w:r>
              <w:rPr>
                <w:rFonts w:hint="default" w:ascii="Times New Roman" w:hAnsi="Times New Roman" w:eastAsia="Times New Roman"/>
                <w:color w:val="auto"/>
                <w:sz w:val="18"/>
              </w:rPr>
              <w:t>3</w:t>
            </w:r>
          </w:p>
        </w:tc>
        <w:tc>
          <w:tcPr>
            <w:tcW w:w="1307" w:type="dxa"/>
            <w:tcBorders>
              <w:left w:val="single" w:color="000000" w:sz="6" w:space="0"/>
              <w:right w:val="single" w:color="000000" w:sz="6" w:space="0"/>
            </w:tcBorders>
            <w:vAlign w:val="center"/>
          </w:tcPr>
          <w:p>
            <w:pPr>
              <w:pStyle w:val="52"/>
              <w:keepNext w:val="0"/>
              <w:keepLines w:val="0"/>
              <w:suppressLineNumbers w:val="0"/>
              <w:spacing w:before="42" w:beforeAutospacing="0" w:after="0" w:afterAutospacing="0"/>
              <w:ind w:left="209" w:right="188"/>
              <w:jc w:val="center"/>
              <w:rPr>
                <w:rFonts w:hint="default" w:ascii="Times New Roman" w:hAnsi="Times New Roman" w:eastAsia="Times New Roman"/>
                <w:color w:val="auto"/>
                <w:sz w:val="18"/>
              </w:rPr>
            </w:pPr>
            <w:r>
              <w:rPr>
                <w:rFonts w:hint="default" w:ascii="Times New Roman" w:hAnsi="Times New Roman" w:eastAsia="Times New Roman"/>
                <w:color w:val="auto"/>
                <w:sz w:val="18"/>
              </w:rPr>
              <w:t>3</w:t>
            </w:r>
            <w:r>
              <w:rPr>
                <w:rFonts w:hint="default"/>
                <w:color w:val="auto"/>
                <w:sz w:val="18"/>
              </w:rPr>
              <w:t>≤</w:t>
            </w:r>
            <w:r>
              <w:rPr>
                <w:rFonts w:hint="default" w:ascii="Times New Roman" w:hAnsi="Times New Roman" w:eastAsia="Times New Roman"/>
                <w:color w:val="auto"/>
                <w:sz w:val="18"/>
              </w:rPr>
              <w:t>Sa</w:t>
            </w:r>
            <w:r>
              <w:rPr>
                <w:rFonts w:hint="default"/>
                <w:color w:val="auto"/>
                <w:sz w:val="18"/>
              </w:rPr>
              <w:t>＜</w:t>
            </w:r>
            <w:r>
              <w:rPr>
                <w:rFonts w:hint="default" w:ascii="Times New Roman" w:hAnsi="Times New Roman" w:eastAsia="Times New Roman"/>
                <w:color w:val="auto"/>
                <w:sz w:val="18"/>
              </w:rPr>
              <w:t>4.5</w:t>
            </w:r>
          </w:p>
        </w:tc>
        <w:tc>
          <w:tcPr>
            <w:tcW w:w="1296" w:type="dxa"/>
            <w:tcBorders>
              <w:left w:val="single" w:color="000000" w:sz="6" w:space="0"/>
            </w:tcBorders>
            <w:vAlign w:val="center"/>
          </w:tcPr>
          <w:p>
            <w:pPr>
              <w:pStyle w:val="52"/>
              <w:keepNext w:val="0"/>
              <w:keepLines w:val="0"/>
              <w:suppressLineNumbers w:val="0"/>
              <w:spacing w:before="42" w:beforeAutospacing="0" w:after="0" w:afterAutospacing="0"/>
              <w:ind w:left="178" w:right="156"/>
              <w:jc w:val="center"/>
              <w:rPr>
                <w:rFonts w:hint="default" w:ascii="Times New Roman" w:hAnsi="Times New Roman"/>
                <w:color w:val="auto"/>
                <w:sz w:val="18"/>
              </w:rPr>
            </w:pPr>
            <w:r>
              <w:rPr>
                <w:rFonts w:hint="default" w:ascii="Times New Roman" w:hAnsi="Times New Roman"/>
                <w:color w:val="auto"/>
                <w:sz w:val="18"/>
              </w:rPr>
              <w:t>Sa</w:t>
            </w:r>
            <w:r>
              <w:rPr>
                <w:rFonts w:hint="default"/>
                <w:color w:val="auto"/>
                <w:sz w:val="18"/>
              </w:rPr>
              <w:t>≥</w:t>
            </w:r>
            <w:r>
              <w:rPr>
                <w:rFonts w:hint="default" w:ascii="Times New Roman" w:hAnsi="Times New Roman"/>
                <w:color w:val="auto"/>
                <w:sz w:val="18"/>
              </w:rPr>
              <w:t>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2614" w:type="dxa"/>
            <w:tcBorders>
              <w:right w:val="single" w:color="000000" w:sz="6" w:space="0"/>
            </w:tcBorders>
            <w:vAlign w:val="center"/>
          </w:tcPr>
          <w:p>
            <w:pPr>
              <w:pStyle w:val="52"/>
              <w:keepNext w:val="0"/>
              <w:keepLines w:val="0"/>
              <w:suppressLineNumbers w:val="0"/>
              <w:spacing w:before="41" w:beforeAutospacing="0" w:after="0" w:afterAutospacing="0"/>
              <w:ind w:left="205" w:right="191"/>
              <w:jc w:val="center"/>
              <w:rPr>
                <w:rFonts w:hint="default"/>
                <w:color w:val="auto"/>
                <w:sz w:val="18"/>
              </w:rPr>
            </w:pPr>
            <w:r>
              <w:rPr>
                <w:rFonts w:hint="default"/>
                <w:color w:val="auto"/>
                <w:sz w:val="18"/>
              </w:rPr>
              <w:t>土壤盐化综合评分预测结果</w:t>
            </w:r>
          </w:p>
        </w:tc>
        <w:tc>
          <w:tcPr>
            <w:tcW w:w="1308" w:type="dxa"/>
            <w:tcBorders>
              <w:left w:val="single" w:color="000000" w:sz="6" w:space="0"/>
              <w:right w:val="single" w:color="000000" w:sz="6" w:space="0"/>
            </w:tcBorders>
            <w:vAlign w:val="center"/>
          </w:tcPr>
          <w:p>
            <w:pPr>
              <w:pStyle w:val="52"/>
              <w:keepNext w:val="0"/>
              <w:keepLines w:val="0"/>
              <w:suppressLineNumbers w:val="0"/>
              <w:spacing w:before="41" w:beforeAutospacing="0" w:after="0" w:afterAutospacing="0"/>
              <w:ind w:left="366" w:right="347"/>
              <w:jc w:val="center"/>
              <w:rPr>
                <w:rFonts w:hint="default"/>
                <w:color w:val="auto"/>
                <w:sz w:val="18"/>
              </w:rPr>
            </w:pPr>
            <w:r>
              <w:rPr>
                <w:rFonts w:hint="default"/>
                <w:color w:val="auto"/>
                <w:sz w:val="18"/>
              </w:rPr>
              <w:t>未盐化</w:t>
            </w:r>
          </w:p>
        </w:tc>
        <w:tc>
          <w:tcPr>
            <w:tcW w:w="1307" w:type="dxa"/>
            <w:tcBorders>
              <w:left w:val="single" w:color="000000" w:sz="6" w:space="0"/>
              <w:right w:val="single" w:color="000000" w:sz="6" w:space="0"/>
            </w:tcBorders>
            <w:vAlign w:val="center"/>
          </w:tcPr>
          <w:p>
            <w:pPr>
              <w:pStyle w:val="52"/>
              <w:keepNext w:val="0"/>
              <w:keepLines w:val="0"/>
              <w:suppressLineNumbers w:val="0"/>
              <w:spacing w:before="41" w:beforeAutospacing="0" w:after="0" w:afterAutospacing="0"/>
              <w:ind w:left="205" w:right="188"/>
              <w:jc w:val="center"/>
              <w:rPr>
                <w:rFonts w:hint="default"/>
                <w:color w:val="auto"/>
                <w:sz w:val="18"/>
              </w:rPr>
            </w:pPr>
            <w:r>
              <w:rPr>
                <w:rFonts w:hint="default"/>
                <w:color w:val="auto"/>
                <w:sz w:val="18"/>
              </w:rPr>
              <w:t>轻度盐化</w:t>
            </w:r>
          </w:p>
        </w:tc>
        <w:tc>
          <w:tcPr>
            <w:tcW w:w="1454" w:type="dxa"/>
            <w:tcBorders>
              <w:left w:val="single" w:color="000000" w:sz="6" w:space="0"/>
              <w:right w:val="single" w:color="000000" w:sz="6" w:space="0"/>
            </w:tcBorders>
            <w:vAlign w:val="center"/>
          </w:tcPr>
          <w:p>
            <w:pPr>
              <w:pStyle w:val="52"/>
              <w:keepNext w:val="0"/>
              <w:keepLines w:val="0"/>
              <w:suppressLineNumbers w:val="0"/>
              <w:spacing w:before="41" w:beforeAutospacing="0" w:after="0" w:afterAutospacing="0"/>
              <w:ind w:left="367" w:right="0"/>
              <w:jc w:val="center"/>
              <w:rPr>
                <w:rFonts w:hint="default"/>
                <w:color w:val="auto"/>
                <w:sz w:val="18"/>
              </w:rPr>
            </w:pPr>
            <w:r>
              <w:rPr>
                <w:rFonts w:hint="default"/>
                <w:color w:val="auto"/>
                <w:sz w:val="18"/>
              </w:rPr>
              <w:t>中度盐化</w:t>
            </w:r>
          </w:p>
        </w:tc>
        <w:tc>
          <w:tcPr>
            <w:tcW w:w="1307" w:type="dxa"/>
            <w:tcBorders>
              <w:left w:val="single" w:color="000000" w:sz="6" w:space="0"/>
              <w:right w:val="single" w:color="000000" w:sz="6" w:space="0"/>
            </w:tcBorders>
            <w:vAlign w:val="center"/>
          </w:tcPr>
          <w:p>
            <w:pPr>
              <w:pStyle w:val="52"/>
              <w:keepNext w:val="0"/>
              <w:keepLines w:val="0"/>
              <w:suppressLineNumbers w:val="0"/>
              <w:spacing w:before="41" w:beforeAutospacing="0" w:after="0" w:afterAutospacing="0"/>
              <w:ind w:left="203" w:right="188"/>
              <w:jc w:val="center"/>
              <w:rPr>
                <w:rFonts w:hint="default"/>
                <w:color w:val="auto"/>
                <w:sz w:val="18"/>
              </w:rPr>
            </w:pPr>
            <w:r>
              <w:rPr>
                <w:rFonts w:hint="default"/>
                <w:color w:val="auto"/>
                <w:sz w:val="18"/>
              </w:rPr>
              <w:t>重度盐化</w:t>
            </w:r>
          </w:p>
        </w:tc>
        <w:tc>
          <w:tcPr>
            <w:tcW w:w="1296" w:type="dxa"/>
            <w:tcBorders>
              <w:left w:val="single" w:color="000000" w:sz="6" w:space="0"/>
            </w:tcBorders>
            <w:vAlign w:val="center"/>
          </w:tcPr>
          <w:p>
            <w:pPr>
              <w:pStyle w:val="52"/>
              <w:keepNext w:val="0"/>
              <w:keepLines w:val="0"/>
              <w:suppressLineNumbers w:val="0"/>
              <w:spacing w:before="41" w:beforeAutospacing="0" w:after="0" w:afterAutospacing="0"/>
              <w:ind w:left="178" w:right="159"/>
              <w:jc w:val="center"/>
              <w:rPr>
                <w:rFonts w:hint="default"/>
                <w:color w:val="auto"/>
                <w:sz w:val="18"/>
              </w:rPr>
            </w:pPr>
            <w:r>
              <w:rPr>
                <w:rFonts w:hint="default"/>
                <w:color w:val="auto"/>
                <w:sz w:val="18"/>
              </w:rPr>
              <w:t>极重度盐化</w:t>
            </w:r>
          </w:p>
        </w:tc>
      </w:tr>
    </w:tbl>
    <w:p>
      <w:pPr>
        <w:spacing w:after="0"/>
        <w:jc w:val="center"/>
        <w:rPr>
          <w:color w:val="auto"/>
          <w:sz w:val="18"/>
        </w:rPr>
      </w:pP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lang w:val="en-US" w:eastAsia="zh-CN"/>
        </w:rPr>
      </w:pPr>
      <w:r>
        <w:rPr>
          <w:rFonts w:hint="eastAsia"/>
          <w:color w:val="auto"/>
          <w:lang w:val="en-US" w:eastAsia="zh-CN"/>
        </w:rPr>
        <w:t>通过计算土壤盐化综合评分值（Sa），从</w:t>
      </w:r>
      <w:r>
        <w:rPr>
          <w:rFonts w:hint="eastAsia"/>
          <w:color w:val="auto"/>
        </w:rPr>
        <w:t>表</w:t>
      </w:r>
      <w:r>
        <w:rPr>
          <w:rFonts w:hint="eastAsia"/>
          <w:color w:val="auto"/>
          <w:lang w:val="en-US" w:eastAsia="zh-CN"/>
        </w:rPr>
        <w:t>6-12</w:t>
      </w:r>
      <w:r>
        <w:rPr>
          <w:rFonts w:hint="eastAsia"/>
          <w:color w:val="auto"/>
        </w:rPr>
        <w:tab/>
      </w:r>
      <w:r>
        <w:rPr>
          <w:rFonts w:hint="eastAsia"/>
          <w:color w:val="auto"/>
        </w:rPr>
        <w:t>土壤盐化预测表</w:t>
      </w:r>
      <w:r>
        <w:rPr>
          <w:rFonts w:hint="eastAsia"/>
          <w:color w:val="auto"/>
          <w:lang w:eastAsia="zh-CN"/>
        </w:rPr>
        <w:t>看出，</w:t>
      </w:r>
      <w:r>
        <w:rPr>
          <w:rFonts w:hint="eastAsia"/>
          <w:color w:val="auto"/>
          <w:lang w:val="en-US" w:eastAsia="zh-CN"/>
        </w:rPr>
        <w:t>土壤盐化综合评分值（Sa）为1.3，属于轻度盐化。</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color w:val="auto"/>
        </w:rPr>
        <w:t>因此本次评价认为，现状评价区域土壤和预测年份内土壤的环境质量符合GB36600-2018中相关要求，在落实好相关土壤防治措施的前提下，公司现有污染源不会对区域表层土壤造成明显影响，项目土壤环境影响可接受。</w:t>
      </w:r>
      <w:r>
        <w:rPr>
          <w:rFonts w:hint="default" w:ascii="Times New Roman" w:hAnsi="Times New Roman" w:cs="Times New Roman"/>
          <w:color w:val="auto"/>
        </w:rPr>
        <w:br w:type="page"/>
      </w:r>
    </w:p>
    <w:p>
      <w:pPr>
        <w:pStyle w:val="3"/>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sz w:val="44"/>
          <w:szCs w:val="44"/>
        </w:rPr>
      </w:pPr>
      <w:r>
        <w:rPr>
          <w:rFonts w:hint="default" w:ascii="Times New Roman" w:hAnsi="Times New Roman" w:cs="Times New Roman"/>
          <w:color w:val="auto"/>
          <w:sz w:val="44"/>
          <w:szCs w:val="44"/>
        </w:rPr>
        <w:t xml:space="preserve"> </w:t>
      </w:r>
      <w:bookmarkStart w:id="506" w:name="_Toc9994"/>
      <w:bookmarkStart w:id="507" w:name="_Toc26417"/>
      <w:r>
        <w:rPr>
          <w:rFonts w:hint="default" w:ascii="Times New Roman" w:hAnsi="Times New Roman" w:cs="Times New Roman"/>
          <w:color w:val="auto"/>
          <w:sz w:val="44"/>
          <w:szCs w:val="44"/>
          <w:lang w:val="en-US" w:eastAsia="zh-CN"/>
        </w:rPr>
        <w:t>环境</w:t>
      </w:r>
      <w:r>
        <w:rPr>
          <w:rFonts w:hint="default" w:ascii="Times New Roman" w:hAnsi="Times New Roman" w:cs="Times New Roman"/>
          <w:color w:val="auto"/>
          <w:sz w:val="44"/>
          <w:szCs w:val="44"/>
        </w:rPr>
        <w:t>风险</w:t>
      </w:r>
      <w:r>
        <w:rPr>
          <w:rFonts w:hint="default" w:ascii="Times New Roman" w:hAnsi="Times New Roman" w:cs="Times New Roman"/>
          <w:color w:val="auto"/>
          <w:sz w:val="44"/>
          <w:szCs w:val="44"/>
          <w:lang w:val="en-US" w:eastAsia="zh-CN"/>
        </w:rPr>
        <w:t>评价</w:t>
      </w:r>
      <w:bookmarkEnd w:id="506"/>
      <w:bookmarkEnd w:id="507"/>
    </w:p>
    <w:p>
      <w:pPr>
        <w:pStyle w:val="4"/>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lang w:val="en-US" w:eastAsia="zh-CN"/>
        </w:rPr>
      </w:pPr>
      <w:bookmarkStart w:id="508" w:name="_Toc20380"/>
      <w:bookmarkStart w:id="509" w:name="_Toc614"/>
      <w:bookmarkStart w:id="510" w:name="_Toc23403_WPSOffice_Level2"/>
      <w:bookmarkStart w:id="511" w:name="_Toc8421"/>
      <w:bookmarkStart w:id="512" w:name="_Toc12302"/>
      <w:bookmarkStart w:id="513" w:name="_Toc372124957"/>
      <w:bookmarkStart w:id="514" w:name="_Toc170311237"/>
      <w:bookmarkStart w:id="515" w:name="_Toc8581"/>
      <w:bookmarkStart w:id="516" w:name="_Toc3002"/>
      <w:bookmarkStart w:id="517" w:name="_Toc170376433"/>
      <w:bookmarkStart w:id="518" w:name="_Toc17119"/>
      <w:bookmarkStart w:id="519" w:name="_Toc31218_WPSOffice_Level2"/>
      <w:bookmarkStart w:id="520" w:name="_Toc8503_WPSOffice_Level2"/>
      <w:bookmarkStart w:id="521" w:name="_Toc10535_WPSOffice_Level2"/>
      <w:bookmarkStart w:id="522" w:name="_Toc4160"/>
      <w:bookmarkStart w:id="523" w:name="_Toc17906"/>
      <w:r>
        <w:rPr>
          <w:rFonts w:hint="default" w:ascii="Times New Roman" w:hAnsi="Times New Roman" w:cs="Times New Roman"/>
          <w:color w:val="auto"/>
          <w:lang w:val="en-US" w:eastAsia="zh-CN"/>
        </w:rPr>
        <w:t>环境风险评价目的</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在外界因素的破坏下，具有发生火灾、爆炸、有毒有害物料泄漏等突发性风险事故的可能性。为避免和控制风险事故的发生，对项目在环境风险方面的可行性论证，为项目审批部门的决策、以及项目运营后的环境风险管理提供技术依据。对项目进行风险评价是必要的。环境风险评价和管理的主要目的是：</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（1）根据项目特点，对项目装置和储运设施在生产过程中存在的各种事故风险因素及隐患进行识别，提出技术防范措施；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（2）分析和预测建设项目可能发生的突发性事件或事故，引起有毒、有害、易燃和易爆等物质泄漏到环境中所导致的后果（包括自然环境和社会环境），预测其对人身安全与环境的影响和损害程度；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（3）根据风险事件的预测结果，有针对性地提出合理、切实可行的防范减缓措施、应急处理计划和应急预案，以及现场监控报警系统，使得建设项目事故率、损失情况和环境影响达到可接受水平。</w:t>
      </w:r>
    </w:p>
    <w:p>
      <w:pPr>
        <w:pStyle w:val="4"/>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bookmarkStart w:id="524" w:name="_Toc19356"/>
      <w:bookmarkStart w:id="525" w:name="_Toc25982"/>
      <w:r>
        <w:rPr>
          <w:rFonts w:hint="default" w:ascii="Times New Roman" w:hAnsi="Times New Roman" w:cs="Times New Roman"/>
          <w:color w:val="auto"/>
        </w:rPr>
        <w:t>项目风险源调查</w:t>
      </w:r>
      <w:bookmarkEnd w:id="524"/>
      <w:bookmarkEnd w:id="525"/>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（1）危险物质</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根据《建设项目环境风险评价技术导则》（HJ169-2018）附录B对公司生产过程和使用原料所涉及的危险物质进行调查和识别，筛选出公司内生产区可能造成突发环境风险事件危险物质包括</w:t>
      </w:r>
      <w:r>
        <w:rPr>
          <w:rFonts w:hint="default" w:ascii="Times New Roman" w:hAnsi="Times New Roman" w:cs="Times New Roman"/>
          <w:color w:val="auto"/>
          <w:lang w:val="en-US" w:eastAsia="zh-CN"/>
        </w:rPr>
        <w:t>环己烷、镍及其化合物</w:t>
      </w:r>
      <w:r>
        <w:rPr>
          <w:rFonts w:hint="default" w:ascii="Times New Roman" w:hAnsi="Times New Roman" w:cs="Times New Roman"/>
          <w:color w:val="auto"/>
        </w:rPr>
        <w:t>等。</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本项目涉及的危险物质理化性质见</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REF _Ref9153 \h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表 7-</w:t>
      </w:r>
      <w:r>
        <w:rPr>
          <w:rFonts w:hint="default" w:ascii="Times New Roman" w:hAnsi="Times New Roman" w:cs="Times New Roman"/>
          <w:color w:val="auto"/>
          <w:kern w:val="2"/>
          <w:sz w:val="24"/>
          <w:szCs w:val="24"/>
          <w:lang w:val="en-US" w:eastAsia="zh-CN" w:bidi="ar-SA"/>
        </w:rPr>
        <w:t>1</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cs="Times New Roman"/>
          <w:color w:val="auto"/>
          <w:kern w:val="2"/>
          <w:sz w:val="24"/>
          <w:szCs w:val="24"/>
          <w:lang w:val="en-US" w:eastAsia="zh-CN" w:bidi="ar-SA"/>
        </w:rPr>
        <w:t>和</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REF _Ref9153 \h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表 7-</w:t>
      </w:r>
      <w:r>
        <w:rPr>
          <w:rFonts w:hint="default" w:ascii="Times New Roman" w:hAnsi="Times New Roman" w:cs="Times New Roman"/>
          <w:color w:val="auto"/>
          <w:kern w:val="2"/>
          <w:sz w:val="24"/>
          <w:szCs w:val="24"/>
          <w:lang w:val="en-US" w:eastAsia="zh-CN" w:bidi="ar-SA"/>
        </w:rPr>
        <w:t>2</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cs="Times New Roman"/>
          <w:color w:val="auto"/>
        </w:rPr>
        <w:t>。</w:t>
      </w:r>
    </w:p>
    <w:p>
      <w:pPr>
        <w:pStyle w:val="1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环己烷理化性质及危险特性</w:t>
      </w:r>
    </w:p>
    <w:tbl>
      <w:tblPr>
        <w:tblStyle w:val="25"/>
        <w:tblW w:w="941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
        <w:gridCol w:w="2149"/>
        <w:gridCol w:w="5"/>
        <w:gridCol w:w="2474"/>
        <w:gridCol w:w="899"/>
        <w:gridCol w:w="1695"/>
        <w:gridCol w:w="6"/>
        <w:gridCol w:w="2176"/>
        <w:gridCol w:w="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化学品中文名称</w:t>
            </w:r>
          </w:p>
        </w:tc>
        <w:tc>
          <w:tcPr>
            <w:tcW w:w="3378" w:type="dxa"/>
            <w:gridSpan w:val="3"/>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环己烷</w:t>
            </w:r>
          </w:p>
        </w:tc>
        <w:tc>
          <w:tcPr>
            <w:tcW w:w="1701"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化学品俗名</w:t>
            </w:r>
          </w:p>
        </w:tc>
        <w:tc>
          <w:tcPr>
            <w:tcW w:w="217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六氢化苯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技术说明书编码</w:t>
            </w:r>
          </w:p>
        </w:tc>
        <w:tc>
          <w:tcPr>
            <w:tcW w:w="3378" w:type="dxa"/>
            <w:gridSpan w:val="3"/>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292</w:t>
            </w:r>
          </w:p>
        </w:tc>
        <w:tc>
          <w:tcPr>
            <w:tcW w:w="1701"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CAS No.</w:t>
            </w:r>
          </w:p>
        </w:tc>
        <w:tc>
          <w:tcPr>
            <w:tcW w:w="2176"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110-82-7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危险性类别</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第3.1 类低闪点易燃液体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侵入途径</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皮肤接触、消化道、呼吸道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 w:type="dxa"/>
          <w:trHeight w:val="680"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健康危害</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对眼和上呼吸道有轻度刺激作用。持续吸入可引起头晕、恶心、倦睡和其他一些麻醉症状。液体污染皮肤可引起痒感。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环境危害</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燃爆危险</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本品极度易燃，具刺激性。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皮肤接触</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脱去污染的衣着，用肥皂水和清水彻底冲洗皮肤。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眼睛接触</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提起眼睑，用流动清水或生理盐水冲洗。就医。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 w:type="dxa"/>
          <w:trHeight w:val="680"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吸入</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迅速脱离现场至空气新鲜处。保持呼吸道通畅。如呼吸困难，给输氧。如呼吸停止，立即进行人工呼吸。就医。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食入</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饮足量温水，催吐。就医。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危险特性</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蒸气与空气可形成爆炸性混合物，遇明火、高热极易燃烧爆炸。与氧化剂能发生强烈反应。其蒸气比空气重，能在较低处扩散到相当远的地方，遇火源会着火回燃。若遇高热，容器内压增大，有开裂和爆炸的危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有害燃烧产物</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一氧化碳、二氧化碳。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灭火方法</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尽可能将容器从火场移至空旷处。喷水保持火场容器冷却，直至灭火结束。处在火场中的容器若已变色或从安全泄压装置中产生声音，必须马上撤离。灭火剂：抗溶性泡沫、二氧化碳、干粉、砂土。用水灭火无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应急处理</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迅速撤离泄漏污染区人员至安全区，并进行隔离，严格限制出入。切断火源。建议应急处理人员戴自给正压式呼吸器，穿防静电工作服。尽可能切断泄漏源。防止流入下水道、排洪沟等限制性空间。小量泄漏：用砂土或其它不燃材料吸附或吸收。也可以用大量水冲洗，洗水稀释后放入废水系统。大量泄漏：构筑围堤或挖坑收容。用泡沫覆盖，降低蒸气灾害。用防爆泵转移至槽车或专用收集器内，回收或运至废物处理场所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 w:type="dxa"/>
          <w:trHeight w:val="2655"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操作注意事项</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密闭操作，全面通风。操作人员必须经过专门培训，严格遵守操作规程。建议操作人员佩戴过滤式防毒面具（半面罩），戴安全防护眼镜，穿防静电工作服，戴橡胶耐油手套。远离火种、热源，工作场所严禁吸烟。使用防爆型的通风系统和设备。防止蒸气泄漏到工作场所空气中。避免与氧化剂、还原剂、碱类接触。灌装时应控制流速，且有接地装置，防止静电积聚。搬运时要轻装轻卸，防止包装及容器损坏。配备相应品种和数量的消防器材及泄漏应急处理设备。倒空的容器可能残留有害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 w:type="dxa"/>
          <w:trHeight w:val="1335"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储存注意事项</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存于阴凉、通风的库房。远离火种、热源。库温不宜超过26℃。保持容器密封。应与氧化剂、还原剂、碱类分开存放，切忌混储。采用防爆型照明、通风设施。禁止使用易产生火花的机械设备和工具。储区应备有泄漏应急处理设备和合适的收容材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监测方法</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气相色谱法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工程控制</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生产过程密闭，全面通风。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呼吸系统防护</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空气中浓度超标时，佩戴过滤式防毒面具（半面罩）。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眼睛防护</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一般不需要特殊防护，高浓度接触时可戴安全防护眼镜。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身体防护</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穿防静电工作服。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手防护</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戴橡胶耐油手套。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其他防护</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工作现场严禁吸烟。注意个人清洁卫生。避免长期反复接触。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外观与性状</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无色液体，有刺激性气味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熔点(℃)</w:t>
            </w:r>
          </w:p>
        </w:tc>
        <w:tc>
          <w:tcPr>
            <w:tcW w:w="2474"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259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相对密度(水=1)</w:t>
            </w:r>
          </w:p>
        </w:tc>
        <w:tc>
          <w:tcPr>
            <w:tcW w:w="2187" w:type="dxa"/>
            <w:gridSpan w:val="3"/>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沸点(℃)</w:t>
            </w:r>
          </w:p>
        </w:tc>
        <w:tc>
          <w:tcPr>
            <w:tcW w:w="2474"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80.7</w:t>
            </w:r>
          </w:p>
        </w:tc>
        <w:tc>
          <w:tcPr>
            <w:tcW w:w="259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相对蒸气密度(空气=1)</w:t>
            </w:r>
          </w:p>
        </w:tc>
        <w:tc>
          <w:tcPr>
            <w:tcW w:w="2187" w:type="dxa"/>
            <w:gridSpan w:val="3"/>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分子式</w:t>
            </w:r>
          </w:p>
        </w:tc>
        <w:tc>
          <w:tcPr>
            <w:tcW w:w="2474"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C6H12</w:t>
            </w:r>
          </w:p>
        </w:tc>
        <w:tc>
          <w:tcPr>
            <w:tcW w:w="259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分子量</w:t>
            </w:r>
          </w:p>
        </w:tc>
        <w:tc>
          <w:tcPr>
            <w:tcW w:w="2187" w:type="dxa"/>
            <w:gridSpan w:val="3"/>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84.16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主要成分</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纯品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饱和蒸气压(kPa)</w:t>
            </w:r>
          </w:p>
        </w:tc>
        <w:tc>
          <w:tcPr>
            <w:tcW w:w="2474"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13.33(60.8℃)</w:t>
            </w:r>
          </w:p>
        </w:tc>
        <w:tc>
          <w:tcPr>
            <w:tcW w:w="259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燃烧热(kJ/mol)</w:t>
            </w:r>
          </w:p>
        </w:tc>
        <w:tc>
          <w:tcPr>
            <w:tcW w:w="2187" w:type="dxa"/>
            <w:gridSpan w:val="3"/>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3916.1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临界温度(℃)</w:t>
            </w:r>
          </w:p>
        </w:tc>
        <w:tc>
          <w:tcPr>
            <w:tcW w:w="2474"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280.4</w:t>
            </w:r>
          </w:p>
        </w:tc>
        <w:tc>
          <w:tcPr>
            <w:tcW w:w="259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临界压力(MPa)</w:t>
            </w:r>
          </w:p>
        </w:tc>
        <w:tc>
          <w:tcPr>
            <w:tcW w:w="2187" w:type="dxa"/>
            <w:gridSpan w:val="3"/>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辛醇/水分配系数的对数值</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闪点(℃)</w:t>
            </w:r>
          </w:p>
        </w:tc>
        <w:tc>
          <w:tcPr>
            <w:tcW w:w="2474"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-16.5</w:t>
            </w:r>
          </w:p>
        </w:tc>
        <w:tc>
          <w:tcPr>
            <w:tcW w:w="259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爆炸上限%(V/V)</w:t>
            </w:r>
          </w:p>
        </w:tc>
        <w:tc>
          <w:tcPr>
            <w:tcW w:w="2187" w:type="dxa"/>
            <w:gridSpan w:val="3"/>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引燃温度(℃)</w:t>
            </w:r>
          </w:p>
        </w:tc>
        <w:tc>
          <w:tcPr>
            <w:tcW w:w="2474" w:type="dxa"/>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245</w:t>
            </w:r>
          </w:p>
        </w:tc>
        <w:tc>
          <w:tcPr>
            <w:tcW w:w="259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爆炸下限%(V/V)</w:t>
            </w:r>
          </w:p>
        </w:tc>
        <w:tc>
          <w:tcPr>
            <w:tcW w:w="2187" w:type="dxa"/>
            <w:gridSpan w:val="3"/>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溶解性</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不溶于水，溶于乙醇、乙醚、苯、丙酮等多数有机溶剂。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主要用途</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作为一般溶剂、色谱分析标准物质及用于有机合成。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稳定性</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稳定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禁配物</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强氧化剂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避免接触的条件</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明火、高温、高压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聚合危害</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不聚合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分解产物</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急性毒性</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LD50：12705 mg/kg(大鼠经口)</w:t>
            </w:r>
          </w:p>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LC50：无资料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刺激性</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家兔经皮：1548mg/2天(间歇)，皮肤刺激。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其它有害作用</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该物质对环境可能有危害，对水体应给予特别注意。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废弃物性质</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废弃处置方法</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用焚烧法处置。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5" w:type="dxa"/>
          <w:trHeight w:val="397"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包装标志</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易燃液体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Before w:val="1"/>
          <w:wBefore w:w="5" w:type="dxa"/>
          <w:trHeight w:val="2640" w:hRule="atLeast"/>
          <w:jc w:val="center"/>
        </w:trPr>
        <w:tc>
          <w:tcPr>
            <w:tcW w:w="2154" w:type="dxa"/>
            <w:gridSpan w:val="2"/>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运输注意事项</w:t>
            </w:r>
          </w:p>
        </w:tc>
        <w:tc>
          <w:tcPr>
            <w:tcW w:w="7255" w:type="dxa"/>
            <w:gridSpan w:val="6"/>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输时运输车辆应配备相应品种和数量的消防器材及泄漏应急处理设备。夏季最好早晚运输。运输时所用的槽（罐）车应有接地链，槽内可设孔隔板以减少震荡产生静电。严禁与氧化剂、还原剂、碱类、食用化学品等混装混运。运输途中应防曝晒、雨淋，防高温。中途停留时应远离火种、热源、高温区。装运该物品的车辆排气管必须配备阻火装置，禁止使用易产生火花的机械设备和工具装卸。公路运输时要按规定路线行驶，勿在居民区和人口稠密区停留。铁路运输时要禁止溜放。严禁用木船、水泥船散装运输。</w:t>
            </w:r>
          </w:p>
        </w:tc>
      </w:tr>
    </w:tbl>
    <w:p>
      <w:pPr>
        <w:pStyle w:val="39"/>
        <w:bidi w:val="0"/>
        <w:rPr>
          <w:rFonts w:hint="default" w:ascii="Times New Roman" w:hAnsi="Times New Roman" w:cs="Times New Roman"/>
          <w:color w:val="auto"/>
          <w:lang w:val="en-US" w:eastAsia="zh-CN"/>
        </w:rPr>
      </w:pPr>
      <w:bookmarkStart w:id="526" w:name="_Toc205110066"/>
    </w:p>
    <w:p>
      <w:pPr>
        <w:pStyle w:val="39"/>
        <w:bidi w:val="0"/>
        <w:rPr>
          <w:rFonts w:hint="default" w:ascii="Times New Roman" w:hAnsi="Times New Roman" w:cs="Times New Roman"/>
          <w:color w:val="auto"/>
          <w:lang w:val="en-US" w:eastAsia="zh-CN"/>
        </w:rPr>
      </w:pPr>
    </w:p>
    <w:p>
      <w:pPr>
        <w:pStyle w:val="39"/>
        <w:bidi w:val="0"/>
        <w:rPr>
          <w:rFonts w:hint="default" w:ascii="Times New Roman" w:hAnsi="Times New Roman" w:cs="Times New Roman"/>
          <w:color w:val="auto"/>
          <w:lang w:val="en-US" w:eastAsia="zh-CN"/>
        </w:rPr>
      </w:pPr>
    </w:p>
    <w:p>
      <w:pPr>
        <w:pStyle w:val="39"/>
        <w:bidi w:val="0"/>
        <w:rPr>
          <w:rFonts w:hint="default" w:ascii="Times New Roman" w:hAnsi="Times New Roman" w:cs="Times New Roman"/>
          <w:color w:val="auto"/>
          <w:lang w:val="en-US" w:eastAsia="zh-CN"/>
        </w:rPr>
      </w:pPr>
    </w:p>
    <w:p>
      <w:pPr>
        <w:pStyle w:val="39"/>
        <w:bidi w:val="0"/>
        <w:rPr>
          <w:rFonts w:hint="default" w:ascii="Times New Roman" w:hAnsi="Times New Roman" w:cs="Times New Roman"/>
          <w:color w:val="auto"/>
          <w:lang w:val="en-US" w:eastAsia="zh-CN"/>
        </w:rPr>
      </w:pPr>
    </w:p>
    <w:p>
      <w:pPr>
        <w:pStyle w:val="14"/>
        <w:bidi w:val="0"/>
        <w:rPr>
          <w:rFonts w:hint="default" w:ascii="Times New Roman" w:hAnsi="Times New Roman" w:cs="Times New Roman"/>
          <w:color w:val="auto"/>
        </w:rPr>
      </w:pPr>
    </w:p>
    <w:p>
      <w:pPr>
        <w:pStyle w:val="14"/>
        <w:bidi w:val="0"/>
        <w:rPr>
          <w:rFonts w:hint="default" w:ascii="Times New Roman" w:hAnsi="Times New Roman" w:cs="Times New Roman"/>
          <w:color w:val="auto"/>
        </w:rPr>
      </w:pPr>
    </w:p>
    <w:p>
      <w:pPr>
        <w:pStyle w:val="14"/>
        <w:bidi w:val="0"/>
        <w:rPr>
          <w:rFonts w:hint="default" w:ascii="Times New Roman" w:hAnsi="Times New Roman" w:cs="Times New Roman"/>
          <w:color w:val="auto"/>
        </w:rPr>
      </w:pPr>
    </w:p>
    <w:p>
      <w:pPr>
        <w:pStyle w:val="14"/>
        <w:bidi w:val="0"/>
        <w:rPr>
          <w:rFonts w:hint="default" w:ascii="Times New Roman" w:hAnsi="Times New Roman" w:cs="Times New Roman"/>
          <w:color w:val="auto"/>
        </w:rPr>
      </w:pPr>
    </w:p>
    <w:p>
      <w:pPr>
        <w:pStyle w:val="14"/>
        <w:bidi w:val="0"/>
        <w:rPr>
          <w:rFonts w:hint="default" w:ascii="Times New Roman" w:hAnsi="Times New Roman" w:cs="Times New Roman"/>
          <w:color w:val="auto"/>
        </w:rPr>
      </w:pPr>
    </w:p>
    <w:p>
      <w:pPr>
        <w:pStyle w:val="14"/>
        <w:bidi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硝酸镍的理化性质和危险特性</w:t>
      </w:r>
      <w:bookmarkEnd w:id="526"/>
    </w:p>
    <w:tbl>
      <w:tblPr>
        <w:tblStyle w:val="24"/>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694"/>
        <w:gridCol w:w="1097"/>
        <w:gridCol w:w="342"/>
        <w:gridCol w:w="247"/>
        <w:gridCol w:w="883"/>
        <w:gridCol w:w="1169"/>
        <w:gridCol w:w="1439"/>
        <w:gridCol w:w="19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62"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标识</w:t>
            </w:r>
          </w:p>
        </w:tc>
        <w:tc>
          <w:tcPr>
            <w:tcW w:w="5432" w:type="dxa"/>
            <w:gridSpan w:val="6"/>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中文名：硝酸镍；硝酸亚镍</w:t>
            </w:r>
          </w:p>
        </w:tc>
        <w:tc>
          <w:tcPr>
            <w:tcW w:w="3360" w:type="dxa"/>
            <w:gridSpan w:val="2"/>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危险货物编号：51522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62"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5432" w:type="dxa"/>
            <w:gridSpan w:val="6"/>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英文名：Nickel nitrate；Nickelous nitrate</w:t>
            </w:r>
          </w:p>
        </w:tc>
        <w:tc>
          <w:tcPr>
            <w:tcW w:w="3360" w:type="dxa"/>
            <w:gridSpan w:val="2"/>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UN编号：2725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62"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2791" w:type="dxa"/>
            <w:gridSpan w:val="2"/>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分子式：Ni(NO3)2. 6H2O</w:t>
            </w:r>
          </w:p>
        </w:tc>
        <w:tc>
          <w:tcPr>
            <w:tcW w:w="2641" w:type="dxa"/>
            <w:gridSpan w:val="4"/>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分子量：290.81</w:t>
            </w:r>
          </w:p>
        </w:tc>
        <w:tc>
          <w:tcPr>
            <w:tcW w:w="3360" w:type="dxa"/>
            <w:gridSpan w:val="2"/>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CAS号：13478-00-7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2"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理化性质</w:t>
            </w:r>
          </w:p>
        </w:tc>
        <w:tc>
          <w:tcPr>
            <w:tcW w:w="1694"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外观与性状</w:t>
            </w:r>
          </w:p>
        </w:tc>
        <w:tc>
          <w:tcPr>
            <w:tcW w:w="7098" w:type="dxa"/>
            <w:gridSpan w:val="7"/>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青绿色单斜结晶，易潮解。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2"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1694"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熔点（℃）</w:t>
            </w:r>
          </w:p>
        </w:tc>
        <w:tc>
          <w:tcPr>
            <w:tcW w:w="1686" w:type="dxa"/>
            <w:gridSpan w:val="3"/>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56.7</w:t>
            </w:r>
          </w:p>
        </w:tc>
        <w:tc>
          <w:tcPr>
            <w:tcW w:w="2052" w:type="dxa"/>
            <w:gridSpan w:val="2"/>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相对密度(水=1)</w:t>
            </w:r>
          </w:p>
        </w:tc>
        <w:tc>
          <w:tcPr>
            <w:tcW w:w="3360" w:type="dxa"/>
            <w:gridSpan w:val="2"/>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2"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1694"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沸点（℃）</w:t>
            </w:r>
          </w:p>
        </w:tc>
        <w:tc>
          <w:tcPr>
            <w:tcW w:w="1686" w:type="dxa"/>
            <w:gridSpan w:val="3"/>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136.7</w:t>
            </w:r>
          </w:p>
        </w:tc>
        <w:tc>
          <w:tcPr>
            <w:tcW w:w="2052" w:type="dxa"/>
            <w:gridSpan w:val="2"/>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饱和蒸气压（kPa）</w:t>
            </w:r>
          </w:p>
        </w:tc>
        <w:tc>
          <w:tcPr>
            <w:tcW w:w="3360" w:type="dxa"/>
            <w:gridSpan w:val="2"/>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2"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1694"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溶解性</w:t>
            </w:r>
          </w:p>
        </w:tc>
        <w:tc>
          <w:tcPr>
            <w:tcW w:w="7098" w:type="dxa"/>
            <w:gridSpan w:val="7"/>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易溶于水、乙醇、氨水。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2"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毒性及健康危害</w:t>
            </w:r>
          </w:p>
        </w:tc>
        <w:tc>
          <w:tcPr>
            <w:tcW w:w="1694"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侵入途径</w:t>
            </w:r>
          </w:p>
        </w:tc>
        <w:tc>
          <w:tcPr>
            <w:tcW w:w="7098" w:type="dxa"/>
            <w:gridSpan w:val="7"/>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吸入、食入、经皮吸收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2"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1694"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毒性</w:t>
            </w:r>
          </w:p>
        </w:tc>
        <w:tc>
          <w:tcPr>
            <w:tcW w:w="7098" w:type="dxa"/>
            <w:gridSpan w:val="7"/>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LD50：1620mg/kg(大鼠经口)。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504" w:hRule="atLeast"/>
          <w:jc w:val="center"/>
        </w:trPr>
        <w:tc>
          <w:tcPr>
            <w:tcW w:w="562"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1694"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健康危害</w:t>
            </w:r>
          </w:p>
        </w:tc>
        <w:tc>
          <w:tcPr>
            <w:tcW w:w="7098" w:type="dxa"/>
            <w:gridSpan w:val="7"/>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吸入本品粉尘对呼吸道有刺激性，个别敏感者可引起哮喘、支气管炎等。大量口服刺激胃肠道，引起呕吐、腹泻。粉尘对眼有刺激性，水溶液可引起灼伤。皮肤接触可引起皮炎。慢性影响：有皮炎、哮喘、慢性支气管炎、慢性鼻炎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2"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燃烧爆炸危险性</w:t>
            </w:r>
          </w:p>
        </w:tc>
        <w:tc>
          <w:tcPr>
            <w:tcW w:w="1694"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燃烧性</w:t>
            </w:r>
          </w:p>
        </w:tc>
        <w:tc>
          <w:tcPr>
            <w:tcW w:w="1686" w:type="dxa"/>
            <w:gridSpan w:val="3"/>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助燃</w:t>
            </w:r>
          </w:p>
        </w:tc>
        <w:tc>
          <w:tcPr>
            <w:tcW w:w="2052" w:type="dxa"/>
            <w:gridSpan w:val="2"/>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燃烧分解物</w:t>
            </w:r>
          </w:p>
        </w:tc>
        <w:tc>
          <w:tcPr>
            <w:tcW w:w="3360" w:type="dxa"/>
            <w:gridSpan w:val="2"/>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氧化氮。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2"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1694"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闪点(℃)</w:t>
            </w:r>
          </w:p>
        </w:tc>
        <w:tc>
          <w:tcPr>
            <w:tcW w:w="1686" w:type="dxa"/>
            <w:gridSpan w:val="3"/>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052" w:type="dxa"/>
            <w:gridSpan w:val="2"/>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爆炸上限（g/m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3360" w:type="dxa"/>
            <w:gridSpan w:val="2"/>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2"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1694"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自燃温度(℃)</w:t>
            </w:r>
          </w:p>
        </w:tc>
        <w:tc>
          <w:tcPr>
            <w:tcW w:w="1686" w:type="dxa"/>
            <w:gridSpan w:val="3"/>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052" w:type="dxa"/>
            <w:gridSpan w:val="2"/>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爆炸下限（g/m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3360" w:type="dxa"/>
            <w:gridSpan w:val="2"/>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58" w:hRule="atLeast"/>
          <w:jc w:val="center"/>
        </w:trPr>
        <w:tc>
          <w:tcPr>
            <w:tcW w:w="562"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1694"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危险特性</w:t>
            </w:r>
          </w:p>
        </w:tc>
        <w:tc>
          <w:tcPr>
            <w:tcW w:w="7098" w:type="dxa"/>
            <w:gridSpan w:val="7"/>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无机氧化剂。遇可燃物着火时，能助长火势。与还原剂、有机物、易燃物如硫、磷或金属粉末等混合可形成爆炸性混合物。高温时分解，释出剧毒的氮氧化物气体。急剧加热时可发生爆炸。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2"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1694"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建规火险分级</w:t>
            </w:r>
          </w:p>
        </w:tc>
        <w:tc>
          <w:tcPr>
            <w:tcW w:w="1439" w:type="dxa"/>
            <w:gridSpan w:val="2"/>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乙</w:t>
            </w:r>
          </w:p>
        </w:tc>
        <w:tc>
          <w:tcPr>
            <w:tcW w:w="1130" w:type="dxa"/>
            <w:gridSpan w:val="2"/>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稳定性</w:t>
            </w:r>
          </w:p>
        </w:tc>
        <w:tc>
          <w:tcPr>
            <w:tcW w:w="1169"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稳定</w:t>
            </w:r>
          </w:p>
        </w:tc>
        <w:tc>
          <w:tcPr>
            <w:tcW w:w="1439"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聚合危害</w:t>
            </w:r>
          </w:p>
        </w:tc>
        <w:tc>
          <w:tcPr>
            <w:tcW w:w="1921"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不聚合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2"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1694"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禁忌物</w:t>
            </w:r>
          </w:p>
        </w:tc>
        <w:tc>
          <w:tcPr>
            <w:tcW w:w="7098" w:type="dxa"/>
            <w:gridSpan w:val="7"/>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强还原剂、强酸。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73" w:hRule="atLeast"/>
          <w:jc w:val="center"/>
        </w:trPr>
        <w:tc>
          <w:tcPr>
            <w:tcW w:w="562"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1694"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灭火方式</w:t>
            </w:r>
          </w:p>
        </w:tc>
        <w:tc>
          <w:tcPr>
            <w:tcW w:w="7098" w:type="dxa"/>
            <w:gridSpan w:val="7"/>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消防人员必须佩戴过滤式防毒面具(全面罩)或隔离式呼吸器、穿全身防火防毒服，在上风向灭火。切勿将水流直接射至熔融物，以免引起严重的流淌火灾或引起剧烈的沸溅。灭火剂：雾状水、砂土。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445" w:hRule="atLeast"/>
          <w:jc w:val="center"/>
        </w:trPr>
        <w:tc>
          <w:tcPr>
            <w:tcW w:w="562"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急救措施</w:t>
            </w:r>
          </w:p>
        </w:tc>
        <w:tc>
          <w:tcPr>
            <w:tcW w:w="8792" w:type="dxa"/>
            <w:gridSpan w:val="8"/>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皮肤接触：脱去污染的衣着，用肥皂水和清水彻底冲洗皮肤。②眼睛接触：立即提起眼睑，用大量流动清水或生理盐水彻底冲洗至少15分钟。就医。③吸入：迅速脱离现场至空气新鲜处。保持呼吸道通畅。如呼吸困难，给输氧。如呼吸停止，立即进行人工呼吸。就医。④食入：饮足量温水，催吐。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435" w:hRule="atLeast"/>
          <w:jc w:val="center"/>
        </w:trPr>
        <w:tc>
          <w:tcPr>
            <w:tcW w:w="562"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泄漏处置</w:t>
            </w:r>
          </w:p>
        </w:tc>
        <w:tc>
          <w:tcPr>
            <w:tcW w:w="8792" w:type="dxa"/>
            <w:gridSpan w:val="8"/>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隔离泄漏污染区，限制出入。建议应急处理人员戴防尘面具（全面罩），穿防毒服。不要直接接触泄漏物。勿使泄漏物与还原剂、有机物、易燃物或金属粉末接触。小量泄漏：用洁净的铲子收集于干燥、洁净、有盖的容器中。大量泄漏：收集回收或运至废物处理场所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565" w:hRule="atLeast"/>
          <w:jc w:val="center"/>
        </w:trPr>
        <w:tc>
          <w:tcPr>
            <w:tcW w:w="562"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储运注意事项</w:t>
            </w:r>
          </w:p>
        </w:tc>
        <w:tc>
          <w:tcPr>
            <w:tcW w:w="8792" w:type="dxa"/>
            <w:gridSpan w:val="8"/>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①储存注意事项：储存于阴凉、通风的库房。远离火种、热源。包装必须密封，切勿受潮。与还原剂、酸类分开存放，切忌混储。储区应备有合适的材料收容泄漏物。</w:t>
            </w:r>
          </w:p>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运输注意事项：铁路运输时应严格按照铁道部《危险货物运输规则》中的危险货物配装表进行配装。运输时单独装运，运输过程中要确保容器不泄漏、不倒塌、不坠落、不损坏。运输时运输车辆应配备相应品种和数量的消防器材。严禁与酸类、易燃物、有机物、还原剂、自燃物品、遇湿易燃物品等并车混运。运输时车速不宜过快，不得强行超车。运输车辆装卸前后，均应彻底清扫、洗净，严禁混入有机物、易燃物等杂质。</w:t>
            </w:r>
          </w:p>
        </w:tc>
      </w:tr>
    </w:tbl>
    <w:p>
      <w:pPr>
        <w:pStyle w:val="39"/>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 xml:space="preserve">生产工艺特点 </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本项目属于化工企业，根据</w:t>
      </w:r>
      <w:r>
        <w:rPr>
          <w:rFonts w:hint="default" w:ascii="Times New Roman" w:hAnsi="Times New Roman" w:cs="Times New Roman"/>
          <w:color w:val="auto"/>
          <w:lang w:val="en-US" w:eastAsia="zh-CN"/>
        </w:rPr>
        <w:t>《</w:t>
      </w:r>
      <w:r>
        <w:rPr>
          <w:rFonts w:hint="default" w:ascii="Times New Roman" w:hAnsi="Times New Roman" w:cs="Times New Roman"/>
          <w:color w:val="auto"/>
        </w:rPr>
        <w:t>建设项目环境风险评价技术导则》（HJ169-2018）附录 C 中表 C.1 行业及生产工艺（M）</w:t>
      </w:r>
      <w:r>
        <w:rPr>
          <w:rFonts w:hint="default" w:ascii="Times New Roman" w:hAnsi="Times New Roman" w:cs="Times New Roman"/>
          <w:color w:val="auto"/>
          <w:lang w:eastAsia="zh-CN"/>
        </w:rPr>
        <w:t>），依照</w:t>
      </w:r>
      <w:r>
        <w:rPr>
          <w:rFonts w:hint="default" w:ascii="Times New Roman" w:hAnsi="Times New Roman" w:cs="Times New Roman"/>
          <w:color w:val="auto"/>
        </w:rPr>
        <w:t>项目建成后公司生产区所有装置的生产工艺特点，</w:t>
      </w:r>
      <w:r>
        <w:rPr>
          <w:rFonts w:hint="default" w:ascii="Times New Roman" w:hAnsi="Times New Roman" w:cs="Times New Roman"/>
          <w:color w:val="auto"/>
          <w:u w:val="single"/>
        </w:rPr>
        <w:t>生产装置</w:t>
      </w:r>
      <w:r>
        <w:rPr>
          <w:rFonts w:hint="default" w:ascii="Times New Roman" w:hAnsi="Times New Roman" w:cs="Times New Roman"/>
          <w:color w:val="auto"/>
          <w:u w:val="single"/>
          <w:lang w:eastAsia="zh-CN"/>
        </w:rPr>
        <w:t>属于</w:t>
      </w:r>
      <w:r>
        <w:rPr>
          <w:rFonts w:hint="default" w:ascii="Times New Roman" w:hAnsi="Times New Roman" w:cs="Times New Roman"/>
          <w:color w:val="auto"/>
          <w:u w:val="single"/>
        </w:rPr>
        <w:t>加氢工艺</w:t>
      </w:r>
      <w:r>
        <w:rPr>
          <w:rFonts w:hint="default" w:ascii="Times New Roman" w:hAnsi="Times New Roman" w:cs="Times New Roman"/>
          <w:color w:val="auto"/>
          <w:lang w:eastAsia="zh-CN"/>
        </w:rPr>
        <w:t>。</w:t>
      </w:r>
      <w:r>
        <w:rPr>
          <w:rFonts w:hint="default" w:ascii="Times New Roman" w:hAnsi="Times New Roman" w:cs="Times New Roman"/>
          <w:color w:val="auto"/>
        </w:rPr>
        <w:t>生产装置不涉及光气及光气化工艺、电解工艺（氯碱）、氯化工艺、硝化工艺、合成氨工艺、裂解（裂化）工艺、氟化工艺、重氮化工艺、氧化工艺、过氧化工艺、烷基化工艺、磺化工艺、聚合工艺、烷基化工艺、新型煤化工工艺、电石生产工艺、偶氮化工艺等高危危险工艺过程</w:t>
      </w:r>
      <w:r>
        <w:rPr>
          <w:rFonts w:hint="default" w:ascii="Times New Roman" w:hAnsi="Times New Roman" w:cs="Times New Roman"/>
          <w:color w:val="auto"/>
          <w:lang w:eastAsia="zh-CN"/>
        </w:rPr>
        <w:t>。</w:t>
      </w:r>
      <w:r>
        <w:rPr>
          <w:rFonts w:hint="default" w:ascii="Times New Roman" w:hAnsi="Times New Roman" w:cs="Times New Roman"/>
          <w:color w:val="auto"/>
        </w:rPr>
        <w:t>辅助工程区设有危险废物暂存间。</w:t>
      </w:r>
    </w:p>
    <w:p>
      <w:pPr>
        <w:pStyle w:val="4"/>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lang w:val="en-US" w:eastAsia="zh-CN"/>
        </w:rPr>
      </w:pPr>
      <w:bookmarkStart w:id="527" w:name="_Toc2202"/>
      <w:bookmarkStart w:id="528" w:name="_Toc11534_WPSOffice_Level3"/>
      <w:bookmarkStart w:id="529" w:name="_Toc17157"/>
      <w:bookmarkStart w:id="530" w:name="_Toc10006"/>
      <w:bookmarkStart w:id="531" w:name="_Toc23097"/>
      <w:bookmarkStart w:id="532" w:name="_Toc16040"/>
      <w:bookmarkStart w:id="533" w:name="_Toc12533"/>
      <w:bookmarkStart w:id="534" w:name="_Toc8958"/>
      <w:bookmarkStart w:id="535" w:name="_Toc32086"/>
      <w:bookmarkStart w:id="536" w:name="_Toc130790995"/>
      <w:bookmarkStart w:id="537" w:name="_Toc169409038"/>
      <w:bookmarkStart w:id="538" w:name="_Toc26168"/>
      <w:bookmarkStart w:id="539" w:name="_Toc18117"/>
      <w:bookmarkStart w:id="540" w:name="_Toc26409_WPSOffice_Level3"/>
      <w:bookmarkStart w:id="541" w:name="_Toc3100"/>
      <w:bookmarkStart w:id="542" w:name="_Toc5112"/>
      <w:bookmarkStart w:id="543" w:name="_Toc170311239"/>
      <w:bookmarkStart w:id="544" w:name="_Toc16407"/>
      <w:r>
        <w:rPr>
          <w:rFonts w:hint="default" w:ascii="Times New Roman" w:hAnsi="Times New Roman" w:cs="Times New Roman"/>
          <w:color w:val="auto"/>
          <w:lang w:val="en-US" w:eastAsia="zh-CN"/>
        </w:rPr>
        <w:t>环境风险评价等级</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根据《建设项目环境风险评价技术导则》（HJ169-2018），建设项目环境风险潜势划分为</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 1 \* ROMAN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I</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 2 \* ROMAN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II</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 3 \* ROMAN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III</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 4 \* ROMAN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IV</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 4 \* ROMAN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IV</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+级。根据建设项目涉及的物质和工艺系统的危险性及其所在地的环境敏感程度，结合事故情形下环境影响途径，对建设项目潜在环境危害程度进行概化分析，按照</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REF _Ref9153 \h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表 7-3</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确定环境风险潜势。</w:t>
      </w:r>
    </w:p>
    <w:p>
      <w:pPr>
        <w:pStyle w:val="14"/>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outlineLvl w:val="9"/>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eastAsia="宋体" w:cs="Times New Roman"/>
          <w:b/>
          <w:color w:val="auto"/>
          <w:kern w:val="2"/>
          <w:sz w:val="21"/>
          <w:szCs w:val="21"/>
          <w:lang w:val="en-US" w:eastAsia="zh-CN" w:bidi="ar-SA"/>
        </w:rPr>
        <w:t>建设项目环境风险潜势划分</w:t>
      </w:r>
    </w:p>
    <w:tbl>
      <w:tblPr>
        <w:tblStyle w:val="24"/>
        <w:tblW w:w="914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43"/>
        <w:gridCol w:w="1701"/>
        <w:gridCol w:w="1701"/>
        <w:gridCol w:w="1701"/>
        <w:gridCol w:w="17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43" w:type="dxa"/>
            <w:vMerge w:val="restart"/>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环境敏感程度（E）</w:t>
            </w:r>
          </w:p>
        </w:tc>
        <w:tc>
          <w:tcPr>
            <w:tcW w:w="6804" w:type="dxa"/>
            <w:gridSpan w:val="4"/>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危险物质及工艺系统危险性（P）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43" w:type="dxa"/>
            <w:vMerge w:val="continue"/>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p>
        </w:tc>
        <w:tc>
          <w:tcPr>
            <w:tcW w:w="1701"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极高危害（P1）</w:t>
            </w:r>
          </w:p>
        </w:tc>
        <w:tc>
          <w:tcPr>
            <w:tcW w:w="1701"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高度危害（P2）</w:t>
            </w:r>
          </w:p>
        </w:tc>
        <w:tc>
          <w:tcPr>
            <w:tcW w:w="1701"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中度危害（P3）</w:t>
            </w:r>
          </w:p>
        </w:tc>
        <w:tc>
          <w:tcPr>
            <w:tcW w:w="1701"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轻度危害（P4）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43"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环境高度敏感区（E1）</w:t>
            </w:r>
          </w:p>
        </w:tc>
        <w:tc>
          <w:tcPr>
            <w:tcW w:w="1701"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4 \* ROMAN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IV</w:t>
            </w:r>
            <w:r>
              <w:rPr>
                <w:rFonts w:hint="default" w:ascii="Times New Roman" w:hAnsi="Times New Roman" w:eastAsia="宋体" w:cs="Times New Roman"/>
                <w:color w:val="auto"/>
                <w:kern w:val="2"/>
                <w:sz w:val="21"/>
                <w:szCs w:val="21"/>
                <w:lang w:val="en-US" w:eastAsia="zh-CN" w:bidi="ar-SA"/>
              </w:rPr>
              <w:fldChar w:fldCharType="end"/>
            </w:r>
            <w:r>
              <w:rPr>
                <w:rFonts w:hint="default" w:ascii="Times New Roman" w:hAnsi="Times New Roman" w:eastAsia="宋体" w:cs="Times New Roman"/>
                <w:color w:val="auto"/>
                <w:kern w:val="2"/>
                <w:sz w:val="21"/>
                <w:szCs w:val="21"/>
                <w:lang w:val="en-US" w:eastAsia="zh-CN" w:bidi="ar-SA"/>
              </w:rPr>
              <w:t>+</w:t>
            </w:r>
          </w:p>
        </w:tc>
        <w:tc>
          <w:tcPr>
            <w:tcW w:w="1701"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4 \* ROMAN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IV</w:t>
            </w:r>
            <w:r>
              <w:rPr>
                <w:rFonts w:hint="default" w:ascii="Times New Roman" w:hAnsi="Times New Roman" w:eastAsia="宋体" w:cs="Times New Roman"/>
                <w:color w:val="auto"/>
                <w:kern w:val="2"/>
                <w:sz w:val="21"/>
                <w:szCs w:val="21"/>
                <w:lang w:val="en-US" w:eastAsia="zh-CN" w:bidi="ar-SA"/>
              </w:rPr>
              <w:fldChar w:fldCharType="end"/>
            </w:r>
          </w:p>
        </w:tc>
        <w:tc>
          <w:tcPr>
            <w:tcW w:w="1701"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3 \* ROMAN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III</w:t>
            </w:r>
            <w:r>
              <w:rPr>
                <w:rFonts w:hint="default" w:ascii="Times New Roman" w:hAnsi="Times New Roman" w:eastAsia="宋体" w:cs="Times New Roman"/>
                <w:color w:val="auto"/>
                <w:kern w:val="2"/>
                <w:sz w:val="21"/>
                <w:szCs w:val="21"/>
                <w:lang w:val="en-US" w:eastAsia="zh-CN" w:bidi="ar-SA"/>
              </w:rPr>
              <w:fldChar w:fldCharType="end"/>
            </w:r>
          </w:p>
        </w:tc>
        <w:tc>
          <w:tcPr>
            <w:tcW w:w="1701"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3 \* ROMAN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III</w:t>
            </w:r>
            <w:r>
              <w:rPr>
                <w:rFonts w:hint="default" w:ascii="Times New Roman" w:hAnsi="Times New Roman" w:eastAsia="宋体" w:cs="Times New Roman"/>
                <w:color w:val="auto"/>
                <w:kern w:val="2"/>
                <w:sz w:val="21"/>
                <w:szCs w:val="21"/>
                <w:lang w:val="en-US" w:eastAsia="zh-CN" w:bidi="ar-SA"/>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43"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环境中度敏感区（E2）</w:t>
            </w:r>
          </w:p>
        </w:tc>
        <w:tc>
          <w:tcPr>
            <w:tcW w:w="1701"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4 \* ROMAN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IV</w:t>
            </w:r>
            <w:r>
              <w:rPr>
                <w:rFonts w:hint="default" w:ascii="Times New Roman" w:hAnsi="Times New Roman" w:eastAsia="宋体" w:cs="Times New Roman"/>
                <w:color w:val="auto"/>
                <w:kern w:val="2"/>
                <w:sz w:val="21"/>
                <w:szCs w:val="21"/>
                <w:lang w:val="en-US" w:eastAsia="zh-CN" w:bidi="ar-SA"/>
              </w:rPr>
              <w:fldChar w:fldCharType="end"/>
            </w:r>
          </w:p>
        </w:tc>
        <w:tc>
          <w:tcPr>
            <w:tcW w:w="1701"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3 \* ROMAN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III</w:t>
            </w:r>
            <w:r>
              <w:rPr>
                <w:rFonts w:hint="default" w:ascii="Times New Roman" w:hAnsi="Times New Roman" w:eastAsia="宋体" w:cs="Times New Roman"/>
                <w:color w:val="auto"/>
                <w:kern w:val="2"/>
                <w:sz w:val="21"/>
                <w:szCs w:val="21"/>
                <w:lang w:val="en-US" w:eastAsia="zh-CN" w:bidi="ar-SA"/>
              </w:rPr>
              <w:fldChar w:fldCharType="end"/>
            </w:r>
          </w:p>
        </w:tc>
        <w:tc>
          <w:tcPr>
            <w:tcW w:w="1701"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3 \* ROMAN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III</w:t>
            </w:r>
            <w:r>
              <w:rPr>
                <w:rFonts w:hint="default" w:ascii="Times New Roman" w:hAnsi="Times New Roman" w:eastAsia="宋体" w:cs="Times New Roman"/>
                <w:color w:val="auto"/>
                <w:kern w:val="2"/>
                <w:sz w:val="21"/>
                <w:szCs w:val="21"/>
                <w:lang w:val="en-US" w:eastAsia="zh-CN" w:bidi="ar-SA"/>
              </w:rPr>
              <w:fldChar w:fldCharType="end"/>
            </w:r>
          </w:p>
        </w:tc>
        <w:tc>
          <w:tcPr>
            <w:tcW w:w="1701"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2 \* ROMAN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II</w:t>
            </w:r>
            <w:r>
              <w:rPr>
                <w:rFonts w:hint="default" w:ascii="Times New Roman" w:hAnsi="Times New Roman" w:eastAsia="宋体" w:cs="Times New Roman"/>
                <w:color w:val="auto"/>
                <w:kern w:val="2"/>
                <w:sz w:val="21"/>
                <w:szCs w:val="21"/>
                <w:lang w:val="en-US" w:eastAsia="zh-CN" w:bidi="ar-SA"/>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43"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环境低度敏感区（E3）</w:t>
            </w:r>
          </w:p>
        </w:tc>
        <w:tc>
          <w:tcPr>
            <w:tcW w:w="1701"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3 \* ROMAN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III</w:t>
            </w:r>
            <w:r>
              <w:rPr>
                <w:rFonts w:hint="default" w:ascii="Times New Roman" w:hAnsi="Times New Roman" w:eastAsia="宋体" w:cs="Times New Roman"/>
                <w:color w:val="auto"/>
                <w:kern w:val="2"/>
                <w:sz w:val="21"/>
                <w:szCs w:val="21"/>
                <w:lang w:val="en-US" w:eastAsia="zh-CN" w:bidi="ar-SA"/>
              </w:rPr>
              <w:fldChar w:fldCharType="end"/>
            </w:r>
          </w:p>
        </w:tc>
        <w:tc>
          <w:tcPr>
            <w:tcW w:w="1701"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3 \* ROMAN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III</w:t>
            </w:r>
            <w:r>
              <w:rPr>
                <w:rFonts w:hint="default" w:ascii="Times New Roman" w:hAnsi="Times New Roman" w:eastAsia="宋体" w:cs="Times New Roman"/>
                <w:color w:val="auto"/>
                <w:kern w:val="2"/>
                <w:sz w:val="21"/>
                <w:szCs w:val="21"/>
                <w:lang w:val="en-US" w:eastAsia="zh-CN" w:bidi="ar-SA"/>
              </w:rPr>
              <w:fldChar w:fldCharType="end"/>
            </w:r>
          </w:p>
        </w:tc>
        <w:tc>
          <w:tcPr>
            <w:tcW w:w="1701"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2 \* ROMAN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II</w:t>
            </w:r>
            <w:r>
              <w:rPr>
                <w:rFonts w:hint="default" w:ascii="Times New Roman" w:hAnsi="Times New Roman" w:eastAsia="宋体" w:cs="Times New Roman"/>
                <w:color w:val="auto"/>
                <w:kern w:val="2"/>
                <w:sz w:val="21"/>
                <w:szCs w:val="21"/>
                <w:lang w:val="en-US" w:eastAsia="zh-CN" w:bidi="ar-SA"/>
              </w:rPr>
              <w:fldChar w:fldCharType="end"/>
            </w:r>
          </w:p>
        </w:tc>
        <w:tc>
          <w:tcPr>
            <w:tcW w:w="1701"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1 \* ROMAN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I</w:t>
            </w:r>
            <w:r>
              <w:rPr>
                <w:rFonts w:hint="default" w:ascii="Times New Roman" w:hAnsi="Times New Roman" w:eastAsia="宋体" w:cs="Times New Roman"/>
                <w:color w:val="auto"/>
                <w:kern w:val="2"/>
                <w:sz w:val="21"/>
                <w:szCs w:val="21"/>
                <w:lang w:val="en-US" w:eastAsia="zh-CN" w:bidi="ar-SA"/>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147" w:type="dxa"/>
            <w:gridSpan w:val="5"/>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注：</w:t>
            </w: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4 \* ROMAN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IV</w:t>
            </w:r>
            <w:r>
              <w:rPr>
                <w:rFonts w:hint="default" w:ascii="Times New Roman" w:hAnsi="Times New Roman" w:eastAsia="宋体" w:cs="Times New Roman"/>
                <w:color w:val="auto"/>
                <w:kern w:val="2"/>
                <w:sz w:val="21"/>
                <w:szCs w:val="21"/>
                <w:lang w:val="en-US" w:eastAsia="zh-CN" w:bidi="ar-SA"/>
              </w:rPr>
              <w:fldChar w:fldCharType="end"/>
            </w:r>
            <w:r>
              <w:rPr>
                <w:rFonts w:hint="default" w:ascii="Times New Roman" w:hAnsi="Times New Roman" w:eastAsia="宋体" w:cs="Times New Roman"/>
                <w:color w:val="auto"/>
                <w:kern w:val="2"/>
                <w:sz w:val="21"/>
                <w:szCs w:val="21"/>
                <w:lang w:val="en-US" w:eastAsia="zh-CN" w:bidi="ar-SA"/>
              </w:rPr>
              <w:t>+为极高环境风险</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根据上表可知，风险潜势由危险物质及工艺系统危险性（P）与环境敏感程度（E）共同确定，而P的分级由危险物质数量与临界量的比值（Q）和所属行业及生产工艺特点（M）共同确定。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鑫达公司危险物质数量与临界量比Q值为14.4，10≦Q＜100，行业及生产工艺（M）分值15，属于第（2）级M2，判定该项目环境风险潜势为P2。项目周边500m范围内的总人口小于500人，周边5km范围总人口小于约5万。本项目大气环境敏感程度为E2。综上分析，判定鑫达项目环境风险潜势为</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 3 \* ROMAN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III</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级。</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highlight w:val="none"/>
          <w:lang w:val="en-US" w:eastAsia="zh-CN"/>
        </w:rPr>
      </w:pPr>
      <w:bookmarkStart w:id="545" w:name="_Toc14975"/>
      <w:bookmarkStart w:id="546" w:name="_Toc19012"/>
      <w:bookmarkStart w:id="547" w:name="_Toc29665"/>
      <w:r>
        <w:rPr>
          <w:rFonts w:hint="default" w:ascii="Times New Roman" w:hAnsi="Times New Roman" w:cs="Times New Roman"/>
          <w:color w:val="auto"/>
          <w:highlight w:val="none"/>
          <w:lang w:val="en-US" w:eastAsia="zh-CN"/>
        </w:rPr>
        <w:t>危险物质数量与临界量比值（Q）</w:t>
      </w:r>
      <w:bookmarkEnd w:id="545"/>
      <w:bookmarkEnd w:id="546"/>
      <w:bookmarkEnd w:id="547"/>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危险物质数量与临界量比值（Q）为每种危险物质在厂界内的最大存在总量与其在《建设项目环境风险评价技术导则》（HJ169-2018）附录B中对应临界量的比值Q，当只涉及一种危险物质时，计算该物质的总量与其临界量比值，即为Q；当存在多种危险物质时，则按照下式计算物质总量与其临界量比值（Q）：</w:t>
      </w:r>
    </w:p>
    <w:p>
      <w:pPr>
        <w:rPr>
          <w:rFonts w:hint="default" w:ascii="Times New Roman" w:hAnsi="Times New Roman" w:cs="Times New Roman"/>
          <w:color w:val="auto"/>
        </w:rPr>
      </w:pPr>
      <m:oMathPara>
        <m:oMath>
          <m:r>
            <m:rPr>
              <m:sty m:val="p"/>
            </m:rPr>
            <w:rPr>
              <w:rFonts w:hint="default" w:ascii="Cambria Math" w:hAnsi="Cambria Math" w:cs="Times New Roman"/>
              <w:color w:val="auto"/>
            </w:rPr>
            <m:t>Q=</m:t>
          </m:r>
          <m:f>
            <m:fPr>
              <m:ctrlPr>
                <w:rPr>
                  <w:rFonts w:hint="default" w:ascii="Cambria Math" w:hAnsi="Cambria Math" w:cs="Times New Roman"/>
                  <w:color w:val="auto"/>
                </w:rPr>
              </m:ctrlPr>
            </m:fPr>
            <m:num>
              <m:sSub>
                <m:sSubPr>
                  <m:ctrlPr>
                    <w:rPr>
                      <w:rFonts w:hint="default" w:ascii="Cambria Math" w:hAnsi="Cambria Math" w:cs="Times New Roman"/>
                      <w:color w:val="auto"/>
                    </w:rPr>
                  </m:ctrlPr>
                </m:sSubPr>
                <m:e>
                  <m:r>
                    <m:rPr>
                      <m:sty m:val="p"/>
                    </m:rPr>
                    <w:rPr>
                      <w:rFonts w:hint="default" w:ascii="Cambria Math" w:hAnsi="Cambria Math" w:cs="Times New Roman"/>
                      <w:color w:val="auto"/>
                    </w:rPr>
                    <m:t>q</m:t>
                  </m:r>
                  <m:ctrlPr>
                    <w:rPr>
                      <w:rFonts w:hint="default" w:ascii="Cambria Math" w:hAnsi="Cambria Math" w:cs="Times New Roman"/>
                      <w:color w:val="auto"/>
                    </w:rPr>
                  </m:ctrlPr>
                </m:e>
                <m:sub>
                  <m:r>
                    <m:rPr>
                      <m:sty m:val="p"/>
                    </m:rPr>
                    <w:rPr>
                      <w:rFonts w:hint="default" w:ascii="Cambria Math" w:hAnsi="Cambria Math" w:cs="Times New Roman"/>
                      <w:color w:val="auto"/>
                    </w:rPr>
                    <m:t>1</m:t>
                  </m:r>
                  <m:ctrlPr>
                    <w:rPr>
                      <w:rFonts w:hint="default" w:ascii="Cambria Math" w:hAnsi="Cambria Math" w:cs="Times New Roman"/>
                      <w:color w:val="auto"/>
                    </w:rPr>
                  </m:ctrlPr>
                </m:sub>
              </m:sSub>
              <m:ctrlPr>
                <w:rPr>
                  <w:rFonts w:hint="default" w:ascii="Cambria Math" w:hAnsi="Cambria Math" w:cs="Times New Roman"/>
                  <w:color w:val="auto"/>
                </w:rPr>
              </m:ctrlPr>
            </m:num>
            <m:den>
              <m:sSub>
                <m:sSubPr>
                  <m:ctrlPr>
                    <w:rPr>
                      <w:rFonts w:hint="default" w:ascii="Cambria Math" w:hAnsi="Cambria Math" w:cs="Times New Roman"/>
                      <w:color w:val="auto"/>
                    </w:rPr>
                  </m:ctrlPr>
                </m:sSubPr>
                <m:e>
                  <m:r>
                    <m:rPr>
                      <m:sty m:val="p"/>
                    </m:rPr>
                    <w:rPr>
                      <w:rFonts w:hint="default" w:ascii="Cambria Math" w:hAnsi="Cambria Math" w:cs="Times New Roman"/>
                      <w:color w:val="auto"/>
                    </w:rPr>
                    <m:t>Q</m:t>
                  </m:r>
                  <m:ctrlPr>
                    <w:rPr>
                      <w:rFonts w:hint="default" w:ascii="Cambria Math" w:hAnsi="Cambria Math" w:cs="Times New Roman"/>
                      <w:color w:val="auto"/>
                    </w:rPr>
                  </m:ctrlPr>
                </m:e>
                <m:sub>
                  <m:r>
                    <m:rPr>
                      <m:sty m:val="p"/>
                    </m:rPr>
                    <w:rPr>
                      <w:rFonts w:hint="default" w:ascii="Cambria Math" w:hAnsi="Cambria Math" w:cs="Times New Roman"/>
                      <w:color w:val="auto"/>
                    </w:rPr>
                    <m:t>1</m:t>
                  </m:r>
                  <m:ctrlPr>
                    <w:rPr>
                      <w:rFonts w:hint="default" w:ascii="Cambria Math" w:hAnsi="Cambria Math" w:cs="Times New Roman"/>
                      <w:color w:val="auto"/>
                    </w:rPr>
                  </m:ctrlPr>
                </m:sub>
              </m:sSub>
              <m:ctrlPr>
                <w:rPr>
                  <w:rFonts w:hint="default" w:ascii="Cambria Math" w:hAnsi="Cambria Math" w:cs="Times New Roman"/>
                  <w:color w:val="auto"/>
                </w:rPr>
              </m:ctrlPr>
            </m:den>
          </m:f>
          <m:r>
            <m:rPr>
              <m:sty m:val="p"/>
            </m:rPr>
            <w:rPr>
              <w:rFonts w:hint="default" w:ascii="Cambria Math" w:hAnsi="Cambria Math" w:cs="Times New Roman"/>
              <w:color w:val="auto"/>
            </w:rPr>
            <m:t>+</m:t>
          </m:r>
          <m:f>
            <m:fPr>
              <m:ctrlPr>
                <w:rPr>
                  <w:rFonts w:hint="default" w:ascii="Cambria Math" w:hAnsi="Cambria Math" w:cs="Times New Roman"/>
                  <w:color w:val="auto"/>
                </w:rPr>
              </m:ctrlPr>
            </m:fPr>
            <m:num>
              <m:sSub>
                <m:sSubPr>
                  <m:ctrlPr>
                    <w:rPr>
                      <w:rFonts w:hint="default" w:ascii="Cambria Math" w:hAnsi="Cambria Math" w:cs="Times New Roman"/>
                      <w:color w:val="auto"/>
                    </w:rPr>
                  </m:ctrlPr>
                </m:sSubPr>
                <m:e>
                  <m:r>
                    <m:rPr>
                      <m:sty m:val="p"/>
                    </m:rPr>
                    <w:rPr>
                      <w:rFonts w:hint="default" w:ascii="Cambria Math" w:hAnsi="Cambria Math" w:cs="Times New Roman"/>
                      <w:color w:val="auto"/>
                    </w:rPr>
                    <m:t>q</m:t>
                  </m:r>
                  <m:ctrlPr>
                    <w:rPr>
                      <w:rFonts w:hint="default" w:ascii="Cambria Math" w:hAnsi="Cambria Math" w:cs="Times New Roman"/>
                      <w:color w:val="auto"/>
                    </w:rPr>
                  </m:ctrlPr>
                </m:e>
                <m:sub>
                  <m:r>
                    <m:rPr>
                      <m:sty m:val="p"/>
                    </m:rPr>
                    <w:rPr>
                      <w:rFonts w:hint="default" w:ascii="Cambria Math" w:hAnsi="Cambria Math" w:cs="Times New Roman"/>
                      <w:color w:val="auto"/>
                    </w:rPr>
                    <m:t>2</m:t>
                  </m:r>
                  <m:ctrlPr>
                    <w:rPr>
                      <w:rFonts w:hint="default" w:ascii="Cambria Math" w:hAnsi="Cambria Math" w:cs="Times New Roman"/>
                      <w:color w:val="auto"/>
                    </w:rPr>
                  </m:ctrlPr>
                </m:sub>
              </m:sSub>
              <m:ctrlPr>
                <w:rPr>
                  <w:rFonts w:hint="default" w:ascii="Cambria Math" w:hAnsi="Cambria Math" w:cs="Times New Roman"/>
                  <w:color w:val="auto"/>
                </w:rPr>
              </m:ctrlPr>
            </m:num>
            <m:den>
              <m:sSub>
                <m:sSubPr>
                  <m:ctrlPr>
                    <w:rPr>
                      <w:rFonts w:hint="default" w:ascii="Cambria Math" w:hAnsi="Cambria Math" w:cs="Times New Roman"/>
                      <w:color w:val="auto"/>
                    </w:rPr>
                  </m:ctrlPr>
                </m:sSubPr>
                <m:e>
                  <m:r>
                    <m:rPr>
                      <m:sty m:val="p"/>
                    </m:rPr>
                    <w:rPr>
                      <w:rFonts w:hint="default" w:ascii="Cambria Math" w:hAnsi="Cambria Math" w:cs="Times New Roman"/>
                      <w:color w:val="auto"/>
                    </w:rPr>
                    <m:t>Q</m:t>
                  </m:r>
                  <m:ctrlPr>
                    <w:rPr>
                      <w:rFonts w:hint="default" w:ascii="Cambria Math" w:hAnsi="Cambria Math" w:cs="Times New Roman"/>
                      <w:color w:val="auto"/>
                    </w:rPr>
                  </m:ctrlPr>
                </m:e>
                <m:sub>
                  <m:r>
                    <m:rPr>
                      <m:sty m:val="p"/>
                    </m:rPr>
                    <w:rPr>
                      <w:rFonts w:hint="default" w:ascii="Cambria Math" w:hAnsi="Cambria Math" w:cs="Times New Roman"/>
                      <w:color w:val="auto"/>
                    </w:rPr>
                    <m:t>2</m:t>
                  </m:r>
                  <m:ctrlPr>
                    <w:rPr>
                      <w:rFonts w:hint="default" w:ascii="Cambria Math" w:hAnsi="Cambria Math" w:cs="Times New Roman"/>
                      <w:color w:val="auto"/>
                    </w:rPr>
                  </m:ctrlPr>
                </m:sub>
              </m:sSub>
              <m:ctrlPr>
                <w:rPr>
                  <w:rFonts w:hint="default" w:ascii="Cambria Math" w:hAnsi="Cambria Math" w:cs="Times New Roman"/>
                  <w:color w:val="auto"/>
                </w:rPr>
              </m:ctrlPr>
            </m:den>
          </m:f>
          <m:r>
            <m:rPr>
              <m:sty m:val="p"/>
            </m:rPr>
            <w:rPr>
              <w:rFonts w:hint="default" w:ascii="Cambria Math" w:hAnsi="Cambria Math" w:cs="Times New Roman"/>
              <w:color w:val="auto"/>
            </w:rPr>
            <m:t>+⋯</m:t>
          </m:r>
          <m:f>
            <m:fPr>
              <m:ctrlPr>
                <w:rPr>
                  <w:rFonts w:hint="default" w:ascii="Cambria Math" w:hAnsi="Cambria Math" w:cs="Times New Roman"/>
                  <w:color w:val="auto"/>
                </w:rPr>
              </m:ctrlPr>
            </m:fPr>
            <m:num>
              <m:sSub>
                <m:sSubPr>
                  <m:ctrlPr>
                    <w:rPr>
                      <w:rFonts w:hint="default" w:ascii="Cambria Math" w:hAnsi="Cambria Math" w:cs="Times New Roman"/>
                      <w:color w:val="auto"/>
                    </w:rPr>
                  </m:ctrlPr>
                </m:sSubPr>
                <m:e>
                  <m:r>
                    <m:rPr>
                      <m:sty m:val="p"/>
                    </m:rPr>
                    <w:rPr>
                      <w:rFonts w:hint="default" w:ascii="Cambria Math" w:hAnsi="Cambria Math" w:cs="Times New Roman"/>
                      <w:color w:val="auto"/>
                    </w:rPr>
                    <m:t>q</m:t>
                  </m:r>
                  <m:ctrlPr>
                    <w:rPr>
                      <w:rFonts w:hint="default" w:ascii="Cambria Math" w:hAnsi="Cambria Math" w:cs="Times New Roman"/>
                      <w:color w:val="auto"/>
                    </w:rPr>
                  </m:ctrlPr>
                </m:e>
                <m:sub>
                  <m:r>
                    <m:rPr>
                      <m:sty m:val="p"/>
                    </m:rPr>
                    <w:rPr>
                      <w:rFonts w:hint="default" w:ascii="Cambria Math" w:hAnsi="Cambria Math" w:cs="Times New Roman"/>
                      <w:color w:val="auto"/>
                    </w:rPr>
                    <m:t>n</m:t>
                  </m:r>
                  <m:ctrlPr>
                    <w:rPr>
                      <w:rFonts w:hint="default" w:ascii="Cambria Math" w:hAnsi="Cambria Math" w:cs="Times New Roman"/>
                      <w:color w:val="auto"/>
                    </w:rPr>
                  </m:ctrlPr>
                </m:sub>
              </m:sSub>
              <m:ctrlPr>
                <w:rPr>
                  <w:rFonts w:hint="default" w:ascii="Cambria Math" w:hAnsi="Cambria Math" w:cs="Times New Roman"/>
                  <w:color w:val="auto"/>
                </w:rPr>
              </m:ctrlPr>
            </m:num>
            <m:den>
              <m:sSub>
                <m:sSubPr>
                  <m:ctrlPr>
                    <w:rPr>
                      <w:rFonts w:hint="default" w:ascii="Cambria Math" w:hAnsi="Cambria Math" w:cs="Times New Roman"/>
                      <w:color w:val="auto"/>
                    </w:rPr>
                  </m:ctrlPr>
                </m:sSubPr>
                <m:e>
                  <m:r>
                    <m:rPr>
                      <m:sty m:val="p"/>
                    </m:rPr>
                    <w:rPr>
                      <w:rFonts w:hint="default" w:ascii="Cambria Math" w:hAnsi="Cambria Math" w:cs="Times New Roman"/>
                      <w:color w:val="auto"/>
                    </w:rPr>
                    <m:t>Q</m:t>
                  </m:r>
                  <m:ctrlPr>
                    <w:rPr>
                      <w:rFonts w:hint="default" w:ascii="Cambria Math" w:hAnsi="Cambria Math" w:cs="Times New Roman"/>
                      <w:color w:val="auto"/>
                    </w:rPr>
                  </m:ctrlPr>
                </m:e>
                <m:sub>
                  <m:r>
                    <m:rPr>
                      <m:sty m:val="p"/>
                    </m:rPr>
                    <w:rPr>
                      <w:rFonts w:hint="default" w:ascii="Cambria Math" w:hAnsi="Cambria Math" w:cs="Times New Roman"/>
                      <w:color w:val="auto"/>
                    </w:rPr>
                    <m:t>n</m:t>
                  </m:r>
                  <m:ctrlPr>
                    <w:rPr>
                      <w:rFonts w:hint="default" w:ascii="Cambria Math" w:hAnsi="Cambria Math" w:cs="Times New Roman"/>
                      <w:color w:val="auto"/>
                    </w:rPr>
                  </m:ctrlPr>
                </m:sub>
              </m:sSub>
              <m:ctrlPr>
                <w:rPr>
                  <w:rFonts w:hint="default" w:ascii="Cambria Math" w:hAnsi="Cambria Math" w:cs="Times New Roman"/>
                  <w:color w:val="auto"/>
                </w:rPr>
              </m:ctrlPr>
            </m:den>
          </m:f>
        </m:oMath>
      </m:oMathPara>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式中：q1，q2，…，qn——每种危险物质的最大存在量，t；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Q1，Q2，…，Qn——每种危险物质的临界量，t。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当Q＜1时，该项目风险潜势为</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 1 \* ROMAN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I</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当Q≧1时，将Q值划分为：（1）1≦Q＜10；（2）10≦Q＜100；（3）Q≧100。</w:t>
      </w:r>
    </w:p>
    <w:p>
      <w:pPr>
        <w:pStyle w:val="14"/>
        <w:widowControl w:val="0"/>
        <w:spacing w:line="240" w:lineRule="auto"/>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4</w:t>
      </w:r>
      <w:r>
        <w:rPr>
          <w:rFonts w:hint="default" w:ascii="Times New Roman" w:hAnsi="Times New Roman" w:cs="Times New Roman"/>
          <w:color w:val="auto"/>
        </w:rPr>
        <w:fldChar w:fldCharType="end"/>
      </w:r>
      <w:r>
        <w:rPr>
          <w:rFonts w:hint="default" w:ascii="Times New Roman" w:hAnsi="Times New Roman" w:eastAsia="宋体" w:cs="Times New Roman"/>
          <w:b/>
          <w:color w:val="auto"/>
          <w:kern w:val="2"/>
          <w:sz w:val="21"/>
          <w:szCs w:val="21"/>
          <w:lang w:val="en-US" w:eastAsia="zh-CN" w:bidi="ar-SA"/>
        </w:rPr>
        <w:t>涉及的风险物质及Q值计算一览表</w:t>
      </w:r>
    </w:p>
    <w:tbl>
      <w:tblPr>
        <w:tblStyle w:val="24"/>
        <w:tblW w:w="801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
      <w:tblGrid>
        <w:gridCol w:w="732"/>
        <w:gridCol w:w="1567"/>
        <w:gridCol w:w="1095"/>
        <w:gridCol w:w="1170"/>
        <w:gridCol w:w="1504"/>
        <w:gridCol w:w="1061"/>
        <w:gridCol w:w="8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454" w:hRule="atLeast"/>
          <w:jc w:val="center"/>
        </w:trPr>
        <w:tc>
          <w:tcPr>
            <w:tcW w:w="732"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序号</w:t>
            </w:r>
          </w:p>
        </w:tc>
        <w:tc>
          <w:tcPr>
            <w:tcW w:w="1567"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名称</w:t>
            </w:r>
          </w:p>
        </w:tc>
        <w:tc>
          <w:tcPr>
            <w:tcW w:w="1095"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理化性质</w:t>
            </w:r>
          </w:p>
        </w:tc>
        <w:tc>
          <w:tcPr>
            <w:tcW w:w="1170"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贮存场所</w:t>
            </w:r>
          </w:p>
        </w:tc>
        <w:tc>
          <w:tcPr>
            <w:tcW w:w="1504"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最大贮存量qi</w:t>
            </w:r>
          </w:p>
        </w:tc>
        <w:tc>
          <w:tcPr>
            <w:tcW w:w="1061"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临界量Qi</w:t>
            </w:r>
          </w:p>
        </w:tc>
        <w:tc>
          <w:tcPr>
            <w:tcW w:w="890"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qi/Qi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737" w:hRule="atLeast"/>
          <w:jc w:val="center"/>
        </w:trPr>
        <w:tc>
          <w:tcPr>
            <w:tcW w:w="732"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1567"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环己烷</w:t>
            </w:r>
          </w:p>
        </w:tc>
        <w:tc>
          <w:tcPr>
            <w:tcW w:w="1095"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液体</w:t>
            </w:r>
          </w:p>
        </w:tc>
        <w:tc>
          <w:tcPr>
            <w:tcW w:w="1170"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装置储罐</w:t>
            </w:r>
          </w:p>
        </w:tc>
        <w:tc>
          <w:tcPr>
            <w:tcW w:w="1504"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24t</w:t>
            </w:r>
          </w:p>
        </w:tc>
        <w:tc>
          <w:tcPr>
            <w:tcW w:w="1061"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10t</w:t>
            </w:r>
          </w:p>
        </w:tc>
        <w:tc>
          <w:tcPr>
            <w:tcW w:w="890"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692" w:hRule="atLeast"/>
          <w:jc w:val="center"/>
        </w:trPr>
        <w:tc>
          <w:tcPr>
            <w:tcW w:w="732"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p>
        </w:tc>
        <w:tc>
          <w:tcPr>
            <w:tcW w:w="1567"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硝酸镍</w:t>
            </w:r>
          </w:p>
        </w:tc>
        <w:tc>
          <w:tcPr>
            <w:tcW w:w="1095"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液体</w:t>
            </w:r>
          </w:p>
        </w:tc>
        <w:tc>
          <w:tcPr>
            <w:tcW w:w="1170"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装置储罐</w:t>
            </w:r>
          </w:p>
        </w:tc>
        <w:tc>
          <w:tcPr>
            <w:tcW w:w="150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3t（以镍计）</w:t>
            </w:r>
          </w:p>
        </w:tc>
        <w:tc>
          <w:tcPr>
            <w:tcW w:w="1061"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0.25t</w:t>
            </w:r>
          </w:p>
        </w:tc>
        <w:tc>
          <w:tcPr>
            <w:tcW w:w="890"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454" w:hRule="atLeast"/>
          <w:jc w:val="center"/>
        </w:trPr>
        <w:tc>
          <w:tcPr>
            <w:tcW w:w="7129" w:type="dxa"/>
            <w:gridSpan w:val="6"/>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合计</w:t>
            </w:r>
          </w:p>
        </w:tc>
        <w:tc>
          <w:tcPr>
            <w:tcW w:w="890"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737" w:hRule="atLeast"/>
          <w:jc w:val="center"/>
        </w:trPr>
        <w:tc>
          <w:tcPr>
            <w:tcW w:w="8019" w:type="dxa"/>
            <w:gridSpan w:val="7"/>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注：临界量Qi参照《建设项目环境风险评价技术导则》（HJ169-2018）附录B里所列的临界值，均以纯物质来计。</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由上表可知，本项目危险物质的数量与临界量比值10≦Q＜100。</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lang w:val="en-US" w:eastAsia="zh-CN"/>
        </w:rPr>
      </w:pPr>
      <w:bookmarkStart w:id="548" w:name="_Toc6058"/>
      <w:bookmarkStart w:id="549" w:name="_Toc8480"/>
      <w:bookmarkStart w:id="550" w:name="_Toc2112"/>
      <w:r>
        <w:rPr>
          <w:rFonts w:hint="default" w:ascii="Times New Roman" w:hAnsi="Times New Roman" w:cs="Times New Roman"/>
          <w:color w:val="auto"/>
          <w:lang w:val="en-US" w:eastAsia="zh-CN"/>
        </w:rPr>
        <w:t>行业及生产工艺（M）</w:t>
      </w:r>
      <w:bookmarkEnd w:id="548"/>
      <w:bookmarkEnd w:id="549"/>
      <w:bookmarkEnd w:id="55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本项目属于化工行业，根据风险导则，项目行业及生产工艺（M）由下表确定。将M划分为（1）M&gt;20；（2）10＜M≦20；（3）5＜M≦10；（4）M=5，分别以M1、M2、M3、M4表示。</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lang w:val="en-US" w:eastAsia="zh-CN"/>
        </w:rPr>
      </w:pP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lang w:val="en-US" w:eastAsia="zh-CN"/>
        </w:rPr>
      </w:pPr>
    </w:p>
    <w:p>
      <w:pPr>
        <w:pStyle w:val="14"/>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rPr>
      </w:pPr>
    </w:p>
    <w:p>
      <w:pPr>
        <w:pStyle w:val="14"/>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rPr>
      </w:pPr>
    </w:p>
    <w:p>
      <w:pPr>
        <w:pStyle w:val="14"/>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5</w:t>
      </w:r>
      <w:r>
        <w:rPr>
          <w:rFonts w:hint="default" w:ascii="Times New Roman" w:hAnsi="Times New Roman" w:cs="Times New Roman"/>
          <w:color w:val="auto"/>
        </w:rPr>
        <w:fldChar w:fldCharType="end"/>
      </w:r>
      <w:r>
        <w:rPr>
          <w:rFonts w:hint="default" w:ascii="Times New Roman" w:hAnsi="Times New Roman" w:eastAsia="宋体" w:cs="Times New Roman"/>
          <w:b/>
          <w:color w:val="auto"/>
          <w:kern w:val="2"/>
          <w:sz w:val="21"/>
          <w:szCs w:val="21"/>
          <w:lang w:val="en-US" w:eastAsia="zh-CN" w:bidi="ar-SA"/>
        </w:rPr>
        <w:t>项目行业及生产工艺（M）值</w:t>
      </w:r>
    </w:p>
    <w:tbl>
      <w:tblPr>
        <w:tblStyle w:val="24"/>
        <w:tblW w:w="8989" w:type="dxa"/>
        <w:tblInd w:w="-256"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95"/>
        <w:gridCol w:w="4240"/>
        <w:gridCol w:w="982"/>
        <w:gridCol w:w="1692"/>
        <w:gridCol w:w="68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39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行业</w:t>
            </w:r>
          </w:p>
        </w:tc>
        <w:tc>
          <w:tcPr>
            <w:tcW w:w="424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评估依据</w:t>
            </w:r>
          </w:p>
        </w:tc>
        <w:tc>
          <w:tcPr>
            <w:tcW w:w="98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分值</w:t>
            </w:r>
          </w:p>
        </w:tc>
        <w:tc>
          <w:tcPr>
            <w:tcW w:w="169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项目情况</w:t>
            </w:r>
          </w:p>
        </w:tc>
        <w:tc>
          <w:tcPr>
            <w:tcW w:w="68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11" w:hRule="exact"/>
        </w:trPr>
        <w:tc>
          <w:tcPr>
            <w:tcW w:w="1395"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石化、化 工、医药、 轻工、化 纤、有色冶 炼等</w:t>
            </w:r>
          </w:p>
        </w:tc>
        <w:tc>
          <w:tcPr>
            <w:tcW w:w="424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涉及光气及光气化工艺、电解工艺（氯碱）、氯化工艺、硝化工艺、合成氨工艺、裂解（裂化）工艺、氟化工艺、加氢工艺、重氮化工艺、氧化工艺、过氧化工艺、烷基化工艺、磺化工艺、聚合工艺、烷基化工艺、新型煤化工工艺、电石生产工艺、偶氮化工艺</w:t>
            </w:r>
          </w:p>
        </w:tc>
        <w:tc>
          <w:tcPr>
            <w:tcW w:w="98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10/套</w:t>
            </w:r>
          </w:p>
        </w:tc>
        <w:tc>
          <w:tcPr>
            <w:tcW w:w="169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公司</w:t>
            </w:r>
            <w:r>
              <w:rPr>
                <w:rFonts w:hint="default" w:ascii="Times New Roman" w:hAnsi="Times New Roman" w:cs="Times New Roman"/>
                <w:color w:val="auto"/>
                <w:sz w:val="21"/>
                <w:szCs w:val="21"/>
                <w:u w:val="single"/>
                <w:lang w:eastAsia="zh-CN"/>
              </w:rPr>
              <w:t>生产装置</w:t>
            </w:r>
            <w:r>
              <w:rPr>
                <w:rFonts w:hint="default" w:ascii="Times New Roman" w:hAnsi="Times New Roman" w:cs="Times New Roman"/>
                <w:color w:val="auto"/>
                <w:sz w:val="21"/>
                <w:szCs w:val="21"/>
                <w:u w:val="single"/>
              </w:rPr>
              <w:t>涉及加氢工艺类型</w:t>
            </w:r>
          </w:p>
        </w:tc>
        <w:tc>
          <w:tcPr>
            <w:tcW w:w="68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val="en-US" w:eastAsia="zh-CN"/>
              </w:rPr>
              <w:t>1</w:t>
            </w:r>
            <w:r>
              <w:rPr>
                <w:rFonts w:hint="default" w:ascii="Times New Roman" w:hAnsi="Times New Roman" w:cs="Times New Roman"/>
                <w:color w:val="auto"/>
                <w:sz w:val="21"/>
                <w:szCs w:val="21"/>
                <w:u w:val="singl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80" w:hRule="exact"/>
        </w:trPr>
        <w:tc>
          <w:tcPr>
            <w:tcW w:w="139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p>
        </w:tc>
        <w:tc>
          <w:tcPr>
            <w:tcW w:w="424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无机酸制酸工艺、焦化工艺</w:t>
            </w:r>
          </w:p>
        </w:tc>
        <w:tc>
          <w:tcPr>
            <w:tcW w:w="98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5/套</w:t>
            </w:r>
          </w:p>
        </w:tc>
        <w:tc>
          <w:tcPr>
            <w:tcW w:w="169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项目不涉及左述</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相关工艺</w:t>
            </w:r>
          </w:p>
        </w:tc>
        <w:tc>
          <w:tcPr>
            <w:tcW w:w="68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0" w:hRule="exact"/>
        </w:trPr>
        <w:tc>
          <w:tcPr>
            <w:tcW w:w="139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p>
        </w:tc>
        <w:tc>
          <w:tcPr>
            <w:tcW w:w="424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其他高温或高压，且涉及危险物质的工艺过程</w:t>
            </w:r>
            <w:r>
              <w:rPr>
                <w:rFonts w:hint="default" w:ascii="Times New Roman" w:hAnsi="Times New Roman" w:cs="Times New Roman"/>
                <w:color w:val="auto"/>
                <w:sz w:val="21"/>
                <w:szCs w:val="21"/>
                <w:vertAlign w:val="superscript"/>
              </w:rPr>
              <w:t>a</w:t>
            </w:r>
            <w:r>
              <w:rPr>
                <w:rFonts w:hint="default" w:ascii="Times New Roman" w:hAnsi="Times New Roman" w:cs="Times New Roman"/>
                <w:color w:val="auto"/>
                <w:sz w:val="21"/>
                <w:szCs w:val="21"/>
              </w:rPr>
              <w:t>、危险物质贮存罐区</w:t>
            </w:r>
          </w:p>
        </w:tc>
        <w:tc>
          <w:tcPr>
            <w:tcW w:w="98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5/套</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（罐区）</w:t>
            </w:r>
          </w:p>
        </w:tc>
        <w:tc>
          <w:tcPr>
            <w:tcW w:w="169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项目不涉及左述</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相关工艺</w:t>
            </w:r>
          </w:p>
        </w:tc>
        <w:tc>
          <w:tcPr>
            <w:tcW w:w="68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80" w:hRule="exact"/>
        </w:trPr>
        <w:tc>
          <w:tcPr>
            <w:tcW w:w="139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其他</w:t>
            </w:r>
          </w:p>
        </w:tc>
        <w:tc>
          <w:tcPr>
            <w:tcW w:w="424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涉及危险物质使用、贮存的项目</w:t>
            </w:r>
          </w:p>
        </w:tc>
        <w:tc>
          <w:tcPr>
            <w:tcW w:w="98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692"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公司内部设置危险废物暂存间</w:t>
            </w:r>
          </w:p>
        </w:tc>
        <w:tc>
          <w:tcPr>
            <w:tcW w:w="68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80" w:hRule="exact"/>
        </w:trPr>
        <w:tc>
          <w:tcPr>
            <w:tcW w:w="8309" w:type="dxa"/>
            <w:gridSpan w:val="4"/>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本项目合计</w:t>
            </w:r>
          </w:p>
        </w:tc>
        <w:tc>
          <w:tcPr>
            <w:tcW w:w="68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u w:val="single"/>
                <w:lang w:val="en-US" w:eastAsia="zh-CN"/>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80" w:hRule="exact"/>
        </w:trPr>
        <w:tc>
          <w:tcPr>
            <w:tcW w:w="8989" w:type="dxa"/>
            <w:gridSpan w:val="5"/>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说明</w:t>
            </w:r>
            <w:r>
              <w:rPr>
                <w:rFonts w:hint="default" w:ascii="Times New Roman" w:hAnsi="Times New Roman" w:cs="Times New Roman"/>
                <w:color w:val="auto"/>
                <w:sz w:val="21"/>
                <w:szCs w:val="21"/>
              </w:rPr>
              <w:t>：高温指工艺温度≥300℃，高压指压力容器的设计压力（p）≥10.0MPa；</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u w:val="single"/>
          <w:lang w:val="en-US" w:eastAsia="zh-CN" w:bidi="ar-SA"/>
        </w:rPr>
      </w:pPr>
      <w:r>
        <w:rPr>
          <w:rFonts w:hint="default" w:ascii="Times New Roman" w:hAnsi="Times New Roman" w:eastAsia="宋体" w:cs="Times New Roman"/>
          <w:color w:val="auto"/>
          <w:kern w:val="2"/>
          <w:sz w:val="24"/>
          <w:szCs w:val="24"/>
          <w:lang w:val="en-US" w:eastAsia="zh-CN" w:bidi="ar-SA"/>
        </w:rPr>
        <w:t>由上表可知</w:t>
      </w:r>
      <w:r>
        <w:rPr>
          <w:rFonts w:hint="default" w:ascii="Times New Roman" w:hAnsi="Times New Roman" w:eastAsia="宋体" w:cs="Times New Roman"/>
          <w:color w:val="auto"/>
          <w:kern w:val="2"/>
          <w:sz w:val="24"/>
          <w:szCs w:val="24"/>
          <w:u w:val="single"/>
          <w:lang w:val="en-US" w:eastAsia="zh-CN" w:bidi="ar-SA"/>
        </w:rPr>
        <w:t>，本项目行业及生产工艺（M）分值15，属于第（2）级，以M2表示。</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highlight w:val="none"/>
          <w:lang w:val="en-US" w:eastAsia="zh-CN"/>
        </w:rPr>
      </w:pPr>
      <w:bookmarkStart w:id="551" w:name="_Toc10913"/>
      <w:bookmarkStart w:id="552" w:name="_Toc15734"/>
      <w:bookmarkStart w:id="553" w:name="_Toc20066"/>
      <w:r>
        <w:rPr>
          <w:rFonts w:hint="default" w:ascii="Times New Roman" w:hAnsi="Times New Roman" w:cs="Times New Roman"/>
          <w:color w:val="auto"/>
          <w:highlight w:val="none"/>
          <w:lang w:val="en-US" w:eastAsia="zh-CN"/>
        </w:rPr>
        <w:t>危险物质及工艺系统危险性（P）分级</w:t>
      </w:r>
      <w:bookmarkEnd w:id="551"/>
      <w:bookmarkEnd w:id="552"/>
      <w:bookmarkEnd w:id="553"/>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根据确定的危险物质在项目厂区存储的数量与其规定的临界量比值和所属行业及生产工艺特点（M）</w:t>
      </w:r>
      <w:r>
        <w:rPr>
          <w:rFonts w:hint="default" w:ascii="Times New Roman" w:hAnsi="Times New Roman" w:cs="Times New Roman"/>
          <w:color w:val="auto"/>
          <w:lang w:val="en-US" w:eastAsia="zh-CN"/>
        </w:rPr>
        <w:t>，</w:t>
      </w:r>
      <w:r>
        <w:rPr>
          <w:rFonts w:hint="default" w:ascii="Times New Roman" w:hAnsi="Times New Roman" w:cs="Times New Roman"/>
          <w:color w:val="auto"/>
        </w:rPr>
        <w:t>确定项目危险物质及工艺系统危险性P等级，由于本项目</w:t>
      </w:r>
      <w:r>
        <w:rPr>
          <w:rFonts w:hint="default" w:ascii="Times New Roman" w:hAnsi="Times New Roman" w:cs="Times New Roman"/>
          <w:color w:val="auto"/>
          <w:lang w:val="en-US" w:eastAsia="zh-CN"/>
        </w:rPr>
        <w:t>10≦Q＜100</w:t>
      </w:r>
      <w:r>
        <w:rPr>
          <w:rFonts w:hint="default" w:ascii="Times New Roman" w:hAnsi="Times New Roman" w:cs="Times New Roman"/>
          <w:color w:val="auto"/>
        </w:rPr>
        <w:t>，项目危险物质及工艺系统危险性P等级</w:t>
      </w:r>
      <w:r>
        <w:rPr>
          <w:rFonts w:hint="default" w:ascii="Times New Roman" w:hAnsi="Times New Roman" w:cs="Times New Roman"/>
          <w:color w:val="auto"/>
          <w:lang w:eastAsia="zh-CN"/>
        </w:rPr>
        <w:t>为</w:t>
      </w:r>
      <w:r>
        <w:rPr>
          <w:rFonts w:hint="default" w:ascii="Times New Roman" w:hAnsi="Times New Roman" w:cs="Times New Roman"/>
          <w:color w:val="auto"/>
          <w:lang w:val="en-US" w:eastAsia="zh-CN"/>
        </w:rPr>
        <w:t>P4</w:t>
      </w:r>
      <w:r>
        <w:rPr>
          <w:rFonts w:hint="default" w:ascii="Times New Roman" w:hAnsi="Times New Roman" w:cs="Times New Roman"/>
          <w:color w:val="auto"/>
        </w:rPr>
        <w:t>。</w:t>
      </w:r>
    </w:p>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color w:val="auto"/>
          <w:highlight w:val="none"/>
        </w:rPr>
        <w:t xml:space="preserve">表 </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STYLEREF 1 \s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7</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SEQ 表 \* ARABIC \s 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6</w:t>
      </w:r>
      <w:r>
        <w:rPr>
          <w:rFonts w:hint="default" w:ascii="Times New Roman" w:hAnsi="Times New Roman" w:cs="Times New Roman"/>
          <w:color w:val="auto"/>
          <w:highlight w:val="none"/>
        </w:rPr>
        <w:fldChar w:fldCharType="end"/>
      </w:r>
      <w:r>
        <w:rPr>
          <w:rFonts w:hint="default" w:ascii="Times New Roman" w:hAnsi="Times New Roman" w:eastAsia="宋体" w:cs="Times New Roman"/>
          <w:b/>
          <w:color w:val="auto"/>
          <w:kern w:val="2"/>
          <w:sz w:val="21"/>
          <w:szCs w:val="21"/>
          <w:highlight w:val="none"/>
          <w:lang w:val="en-US" w:eastAsia="zh-CN" w:bidi="ar-SA"/>
        </w:rPr>
        <w:t>危险物质及工艺系统危险性等级判断（P）</w:t>
      </w:r>
    </w:p>
    <w:tbl>
      <w:tblPr>
        <w:tblStyle w:val="24"/>
        <w:tblW w:w="881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030"/>
        <w:gridCol w:w="1698"/>
        <w:gridCol w:w="1698"/>
        <w:gridCol w:w="1697"/>
        <w:gridCol w:w="169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030" w:type="dxa"/>
            <w:vMerge w:val="restart"/>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危险物质数量与临界量比值（Q）</w:t>
            </w:r>
          </w:p>
        </w:tc>
        <w:tc>
          <w:tcPr>
            <w:tcW w:w="6787" w:type="dxa"/>
            <w:gridSpan w:val="4"/>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行业及生产工艺（M）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030" w:type="dxa"/>
            <w:vMerge w:val="continue"/>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1698"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M1</w:t>
            </w:r>
          </w:p>
        </w:tc>
        <w:tc>
          <w:tcPr>
            <w:tcW w:w="1698"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M2</w:t>
            </w:r>
          </w:p>
        </w:tc>
        <w:tc>
          <w:tcPr>
            <w:tcW w:w="1697"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M3</w:t>
            </w:r>
          </w:p>
        </w:tc>
        <w:tc>
          <w:tcPr>
            <w:tcW w:w="1694"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M4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030"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Q≧100</w:t>
            </w:r>
          </w:p>
        </w:tc>
        <w:tc>
          <w:tcPr>
            <w:tcW w:w="1698"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P1</w:t>
            </w:r>
          </w:p>
        </w:tc>
        <w:tc>
          <w:tcPr>
            <w:tcW w:w="1698"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P1</w:t>
            </w:r>
          </w:p>
        </w:tc>
        <w:tc>
          <w:tcPr>
            <w:tcW w:w="1697"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P2</w:t>
            </w:r>
          </w:p>
        </w:tc>
        <w:tc>
          <w:tcPr>
            <w:tcW w:w="1694"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P3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030"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10≦Q＜100</w:t>
            </w:r>
          </w:p>
        </w:tc>
        <w:tc>
          <w:tcPr>
            <w:tcW w:w="1698"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P1</w:t>
            </w:r>
          </w:p>
        </w:tc>
        <w:tc>
          <w:tcPr>
            <w:tcW w:w="1698"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P2</w:t>
            </w:r>
          </w:p>
        </w:tc>
        <w:tc>
          <w:tcPr>
            <w:tcW w:w="1697"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P3</w:t>
            </w:r>
          </w:p>
        </w:tc>
        <w:tc>
          <w:tcPr>
            <w:tcW w:w="1694"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P4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030"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1≦Q＜10</w:t>
            </w:r>
          </w:p>
        </w:tc>
        <w:tc>
          <w:tcPr>
            <w:tcW w:w="1698"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P2</w:t>
            </w:r>
          </w:p>
        </w:tc>
        <w:tc>
          <w:tcPr>
            <w:tcW w:w="1698"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P3</w:t>
            </w:r>
          </w:p>
        </w:tc>
        <w:tc>
          <w:tcPr>
            <w:tcW w:w="1697"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P4</w:t>
            </w:r>
          </w:p>
        </w:tc>
        <w:tc>
          <w:tcPr>
            <w:tcW w:w="1694" w:type="dxa"/>
            <w:vAlign w:val="center"/>
          </w:tcPr>
          <w:p>
            <w:pPr>
              <w:keepNext w:val="0"/>
              <w:keepLines w:val="0"/>
              <w:widowControl w:val="0"/>
              <w:suppressLineNumbers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P4</w:t>
            </w:r>
          </w:p>
        </w:tc>
      </w:tr>
    </w:tbl>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color w:val="auto"/>
          <w:u w:val="single"/>
        </w:rPr>
      </w:pPr>
      <w:r>
        <w:rPr>
          <w:rFonts w:hint="default" w:ascii="Times New Roman" w:hAnsi="Times New Roman" w:cs="Times New Roman"/>
          <w:color w:val="auto"/>
        </w:rPr>
        <w:t>根据《建设项目环境风险评价技术导则》</w:t>
      </w:r>
      <w:r>
        <w:rPr>
          <w:rFonts w:hint="default" w:ascii="Times New Roman" w:hAnsi="Times New Roman" w:cs="Times New Roman"/>
          <w:color w:val="auto"/>
          <w:lang w:val="en-US" w:eastAsia="zh-CN"/>
        </w:rPr>
        <w:t>（</w:t>
      </w:r>
      <w:r>
        <w:rPr>
          <w:rFonts w:hint="default" w:ascii="Times New Roman" w:hAnsi="Times New Roman" w:cs="Times New Roman"/>
          <w:color w:val="auto"/>
        </w:rPr>
        <w:t>HJ169-2018）附 C中C.1.1相关要求，公司</w:t>
      </w:r>
      <w:r>
        <w:rPr>
          <w:rFonts w:hint="default" w:ascii="Times New Roman" w:hAnsi="Times New Roman" w:cs="Times New Roman"/>
          <w:color w:val="auto"/>
          <w:u w:val="single"/>
        </w:rPr>
        <w:t>危险物质数量与临界量比</w:t>
      </w:r>
      <w:r>
        <w:rPr>
          <w:rFonts w:hint="default" w:ascii="Times New Roman" w:hAnsi="Times New Roman" w:eastAsia="宋体" w:cs="Times New Roman"/>
          <w:color w:val="auto"/>
          <w:kern w:val="2"/>
          <w:sz w:val="24"/>
          <w:szCs w:val="24"/>
          <w:u w:val="single"/>
          <w:lang w:val="en-US" w:eastAsia="zh-CN" w:bidi="ar-SA"/>
        </w:rPr>
        <w:t>Q</w:t>
      </w:r>
      <w:r>
        <w:rPr>
          <w:rFonts w:hint="default" w:ascii="Times New Roman" w:hAnsi="Times New Roman" w:cs="Times New Roman"/>
          <w:color w:val="auto"/>
          <w:kern w:val="2"/>
          <w:sz w:val="24"/>
          <w:szCs w:val="24"/>
          <w:u w:val="single"/>
          <w:lang w:val="en-US" w:eastAsia="zh-CN" w:bidi="ar-SA"/>
        </w:rPr>
        <w:t>值为14.4，</w:t>
      </w:r>
      <w:r>
        <w:rPr>
          <w:rFonts w:hint="default" w:ascii="Times New Roman" w:hAnsi="Times New Roman" w:eastAsia="宋体" w:cs="Times New Roman"/>
          <w:color w:val="auto"/>
          <w:kern w:val="2"/>
          <w:sz w:val="24"/>
          <w:szCs w:val="24"/>
          <w:u w:val="single"/>
          <w:lang w:val="en-US" w:eastAsia="zh-CN" w:bidi="ar-SA"/>
        </w:rPr>
        <w:t>10≦Q＜100</w:t>
      </w:r>
      <w:r>
        <w:rPr>
          <w:rFonts w:hint="default" w:ascii="Times New Roman" w:hAnsi="Times New Roman" w:cs="Times New Roman"/>
          <w:color w:val="auto"/>
          <w:u w:val="single"/>
        </w:rPr>
        <w:t>，</w:t>
      </w:r>
      <w:r>
        <w:rPr>
          <w:rFonts w:hint="default" w:ascii="Times New Roman" w:hAnsi="Times New Roman" w:eastAsia="宋体" w:cs="Times New Roman"/>
          <w:color w:val="auto"/>
          <w:kern w:val="2"/>
          <w:sz w:val="24"/>
          <w:szCs w:val="24"/>
          <w:u w:val="single"/>
          <w:lang w:val="en-US" w:eastAsia="zh-CN" w:bidi="ar-SA"/>
        </w:rPr>
        <w:t>行业及生产工艺（M）分值15，属于第（2）级M2</w:t>
      </w:r>
      <w:r>
        <w:rPr>
          <w:rFonts w:hint="default" w:ascii="Times New Roman" w:hAnsi="Times New Roman" w:cs="Times New Roman"/>
          <w:color w:val="auto"/>
          <w:kern w:val="2"/>
          <w:sz w:val="24"/>
          <w:szCs w:val="24"/>
          <w:u w:val="single"/>
          <w:lang w:val="en-US" w:eastAsia="zh-CN" w:bidi="ar-SA"/>
        </w:rPr>
        <w:t>，</w:t>
      </w:r>
      <w:r>
        <w:rPr>
          <w:rFonts w:hint="default" w:ascii="Times New Roman" w:hAnsi="Times New Roman" w:cs="Times New Roman"/>
          <w:color w:val="auto"/>
          <w:u w:val="single"/>
        </w:rPr>
        <w:t>判定该项目环境风险潜势为</w:t>
      </w:r>
      <w:r>
        <w:rPr>
          <w:rFonts w:hint="default" w:ascii="Times New Roman" w:hAnsi="Times New Roman" w:cs="Times New Roman"/>
          <w:color w:val="auto"/>
          <w:u w:val="single"/>
          <w:lang w:val="en-US" w:eastAsia="zh-CN"/>
        </w:rPr>
        <w:t>P2</w:t>
      </w:r>
      <w:r>
        <w:rPr>
          <w:rFonts w:hint="default" w:ascii="Times New Roman" w:hAnsi="Times New Roman" w:cs="Times New Roman"/>
          <w:color w:val="auto"/>
          <w:u w:val="single"/>
        </w:rPr>
        <w:t>。</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rPr>
      </w:pPr>
      <w:bookmarkStart w:id="554" w:name="_Toc17806"/>
      <w:bookmarkStart w:id="555" w:name="_Toc12981"/>
      <w:bookmarkStart w:id="556" w:name="_Toc15133"/>
      <w:r>
        <w:rPr>
          <w:rFonts w:hint="default" w:ascii="Times New Roman" w:hAnsi="Times New Roman" w:cs="Times New Roman"/>
          <w:color w:val="auto"/>
          <w:lang w:val="en-US" w:eastAsia="zh-CN"/>
        </w:rPr>
        <w:t>项目各环境要素敏感程度（E）的分级</w:t>
      </w:r>
      <w:bookmarkEnd w:id="554"/>
      <w:bookmarkEnd w:id="555"/>
      <w:bookmarkEnd w:id="556"/>
    </w:p>
    <w:p>
      <w:pPr>
        <w:pStyle w:val="7"/>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rPr>
      </w:pPr>
      <w:r>
        <w:rPr>
          <w:rFonts w:hint="default" w:ascii="Times New Roman" w:hAnsi="Times New Roman" w:cs="Times New Roman"/>
          <w:color w:val="auto"/>
        </w:rPr>
        <w:t>大气环境</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大气环境敏感程度依据环境敏感目标环境敏感性及人口密度划分环境风险受体的敏感性，共分为三种类型</w:t>
      </w:r>
      <w:r>
        <w:rPr>
          <w:rFonts w:hint="default" w:ascii="Times New Roman" w:hAnsi="Times New Roman" w:cs="Times New Roman"/>
          <w:color w:val="auto"/>
          <w:lang w:eastAsia="zh-CN"/>
        </w:rPr>
        <w:t>，</w:t>
      </w:r>
      <w:r>
        <w:rPr>
          <w:rFonts w:hint="default" w:ascii="Times New Roman" w:hAnsi="Times New Roman" w:cs="Times New Roman"/>
          <w:color w:val="auto"/>
        </w:rPr>
        <w:t>E1为环境高度敏感区</w:t>
      </w:r>
      <w:r>
        <w:rPr>
          <w:rFonts w:hint="default" w:ascii="Times New Roman" w:hAnsi="Times New Roman" w:cs="Times New Roman"/>
          <w:color w:val="auto"/>
          <w:lang w:eastAsia="zh-CN"/>
        </w:rPr>
        <w:t>，</w:t>
      </w:r>
      <w:r>
        <w:rPr>
          <w:rFonts w:hint="default" w:ascii="Times New Roman" w:hAnsi="Times New Roman" w:cs="Times New Roman"/>
          <w:color w:val="auto"/>
        </w:rPr>
        <w:t>E2为环境中度敏感区，E3为环境低度敏感区，分级原则见表</w:t>
      </w:r>
      <w:r>
        <w:rPr>
          <w:rFonts w:hint="default" w:ascii="Times New Roman" w:hAnsi="Times New Roman" w:cs="Times New Roman"/>
          <w:color w:val="auto"/>
          <w:lang w:val="en-US" w:eastAsia="zh-CN"/>
        </w:rPr>
        <w:t xml:space="preserve"> 7-7</w:t>
      </w:r>
      <w:r>
        <w:rPr>
          <w:rFonts w:hint="default" w:ascii="Times New Roman" w:hAnsi="Times New Roman" w:cs="Times New Roman"/>
          <w:color w:val="auto"/>
        </w:rPr>
        <w:t>。</w:t>
      </w:r>
    </w:p>
    <w:p>
      <w:pPr>
        <w:pStyle w:val="14"/>
        <w:bidi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rPr>
        <w:t>大气环境敏感程度分级</w:t>
      </w:r>
    </w:p>
    <w:tbl>
      <w:tblPr>
        <w:tblStyle w:val="24"/>
        <w:tblW w:w="901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50"/>
        <w:gridCol w:w="816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85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分级</w:t>
            </w:r>
          </w:p>
        </w:tc>
        <w:tc>
          <w:tcPr>
            <w:tcW w:w="8164"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大气环境敏感性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04" w:hRule="exact"/>
          <w:jc w:val="center"/>
        </w:trPr>
        <w:tc>
          <w:tcPr>
            <w:tcW w:w="85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E1</w:t>
            </w:r>
          </w:p>
        </w:tc>
        <w:tc>
          <w:tcPr>
            <w:tcW w:w="8164"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周边5km范围内居住区、医疗卫生、文化教育、科研、行政办公等机构人口总数大于5万人，或其他需要特殊保护区域；或周边500m范围内人口总数大于1000人；油气、化学品输送管线管段周边200m范围内，每千米管段人口数大于200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04" w:hRule="exact"/>
          <w:jc w:val="center"/>
        </w:trPr>
        <w:tc>
          <w:tcPr>
            <w:tcW w:w="85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 xml:space="preserve"> </w:t>
            </w:r>
            <w:r>
              <w:rPr>
                <w:rFonts w:hint="default" w:ascii="Times New Roman" w:hAnsi="Times New Roman" w:cs="Times New Roman"/>
                <w:color w:val="auto"/>
                <w:sz w:val="21"/>
                <w:szCs w:val="21"/>
              </w:rPr>
              <w:t>E2</w:t>
            </w:r>
          </w:p>
        </w:tc>
        <w:tc>
          <w:tcPr>
            <w:tcW w:w="8164"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周边5km范围内居住区、医疗卫生、文化教育、科研、行政办公等机构人口总数大于1万人，小于5万人；或周边500m范围内人口总数大于500人，小于1000人；油气、化学品输送管线管段周边200m范围内，每千米管段人口数大于100人，小于200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77" w:hRule="exact"/>
          <w:jc w:val="center"/>
        </w:trPr>
        <w:tc>
          <w:tcPr>
            <w:tcW w:w="85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E3</w:t>
            </w:r>
          </w:p>
        </w:tc>
        <w:tc>
          <w:tcPr>
            <w:tcW w:w="8164"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周边5km范围内居住区、医疗卫生、文化教育、科研、行政办公等机构人口总数小于1万人；或周边500m范围内人口总数小于500人；油气、化学品输送管线管段周边200m范围内，每千米管段人口数小于100人；</w:t>
            </w:r>
          </w:p>
        </w:tc>
      </w:tr>
    </w:tbl>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color w:val="auto"/>
        </w:rPr>
      </w:pPr>
      <w:r>
        <w:rPr>
          <w:rFonts w:hint="default" w:ascii="Times New Roman" w:hAnsi="Times New Roman" w:cs="Times New Roman"/>
          <w:color w:val="auto"/>
        </w:rPr>
        <w:t>本项目周边500m范围内的总人口小于500人</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周</w:t>
      </w:r>
      <w:r>
        <w:rPr>
          <w:rFonts w:hint="default" w:ascii="Times New Roman" w:hAnsi="Times New Roman" w:cs="Times New Roman"/>
          <w:color w:val="auto"/>
        </w:rPr>
        <w:t>边5km范围总人口</w:t>
      </w:r>
      <w:r>
        <w:rPr>
          <w:rFonts w:hint="default" w:ascii="Times New Roman" w:hAnsi="Times New Roman" w:cs="Times New Roman"/>
          <w:color w:val="auto"/>
          <w:lang w:eastAsia="zh-CN"/>
        </w:rPr>
        <w:t>小</w:t>
      </w:r>
      <w:r>
        <w:rPr>
          <w:rFonts w:hint="default" w:ascii="Times New Roman" w:hAnsi="Times New Roman" w:cs="Times New Roman"/>
          <w:color w:val="auto"/>
        </w:rPr>
        <w:t>于约5万。本项目大气环境敏感程度为E</w:t>
      </w:r>
      <w:r>
        <w:rPr>
          <w:rFonts w:hint="default" w:ascii="Times New Roman" w:hAnsi="Times New Roman" w:cs="Times New Roman"/>
          <w:color w:val="auto"/>
          <w:lang w:val="en-US" w:eastAsia="zh-CN"/>
        </w:rPr>
        <w:t>2</w:t>
      </w:r>
      <w:r>
        <w:rPr>
          <w:rFonts w:hint="default" w:ascii="Times New Roman" w:hAnsi="Times New Roman" w:cs="Times New Roman"/>
          <w:color w:val="auto"/>
        </w:rPr>
        <w:t>。</w:t>
      </w:r>
    </w:p>
    <w:p>
      <w:pPr>
        <w:pStyle w:val="7"/>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r>
        <w:rPr>
          <w:rFonts w:hint="default" w:ascii="Times New Roman" w:hAnsi="Times New Roman" w:cs="Times New Roman"/>
          <w:color w:val="auto"/>
        </w:rPr>
        <w:t xml:space="preserve">地表水环境 </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 xml:space="preserve">项目地表水环境敏感程度依据事故情况下危险物质泄漏到水体的排放点受纳地表水体功能敏感性，与下游环境敏感目标情况确定。 </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地表水功能敏感性分区见表</w:t>
      </w:r>
      <w:r>
        <w:rPr>
          <w:rFonts w:hint="default" w:ascii="Times New Roman" w:hAnsi="Times New Roman" w:cs="Times New Roman"/>
          <w:color w:val="auto"/>
          <w:lang w:val="en-US" w:eastAsia="zh-CN"/>
        </w:rPr>
        <w:t xml:space="preserve"> 7-8</w:t>
      </w:r>
      <w:r>
        <w:rPr>
          <w:rFonts w:hint="default" w:ascii="Times New Roman" w:hAnsi="Times New Roman" w:cs="Times New Roman"/>
          <w:color w:val="auto"/>
        </w:rPr>
        <w:t>。</w:t>
      </w: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8</w:t>
      </w:r>
      <w:r>
        <w:rPr>
          <w:rFonts w:hint="default" w:ascii="Times New Roman" w:hAnsi="Times New Roman" w:cs="Times New Roman"/>
          <w:color w:val="auto"/>
        </w:rPr>
        <w:fldChar w:fldCharType="end"/>
      </w:r>
      <w:r>
        <w:rPr>
          <w:rFonts w:hint="default" w:ascii="Times New Roman" w:hAnsi="Times New Roman" w:cs="Times New Roman"/>
          <w:color w:val="auto"/>
        </w:rPr>
        <w:t>地表水功能敏感性分区</w:t>
      </w:r>
    </w:p>
    <w:tbl>
      <w:tblPr>
        <w:tblStyle w:val="24"/>
        <w:tblW w:w="883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94"/>
        <w:gridCol w:w="764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1194"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敏感性</w:t>
            </w:r>
          </w:p>
        </w:tc>
        <w:tc>
          <w:tcPr>
            <w:tcW w:w="7641"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地表水环境敏感特征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64" w:hRule="exact"/>
          <w:jc w:val="center"/>
        </w:trPr>
        <w:tc>
          <w:tcPr>
            <w:tcW w:w="1194"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敏感F1</w:t>
            </w:r>
          </w:p>
        </w:tc>
        <w:tc>
          <w:tcPr>
            <w:tcW w:w="7641"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排放点进入地表水水域环境功能为Ⅱ类及以上，或海水水质分类第一类；</w:t>
            </w:r>
          </w:p>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或以发生事故时，危险物质泄漏到水体的排放点算起，排放进入受纳河流最 大流速时，24h流经范围内涉跨国界的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64" w:hRule="exact"/>
          <w:jc w:val="center"/>
        </w:trPr>
        <w:tc>
          <w:tcPr>
            <w:tcW w:w="1194"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较敏感F2</w:t>
            </w:r>
          </w:p>
        </w:tc>
        <w:tc>
          <w:tcPr>
            <w:tcW w:w="7641"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排放点进入地表水水域环境功能为Ⅲ类，或海水水质分类第二类；或以发生事故时，危险物质泄漏到水体的排放点算起，排放进入受纳河流最大流速时，24h流经范围内涉跨省界的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1194"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低敏感F3</w:t>
            </w:r>
          </w:p>
        </w:tc>
        <w:tc>
          <w:tcPr>
            <w:tcW w:w="7641"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上述地区之外的其他地区</w:t>
            </w:r>
          </w:p>
        </w:tc>
      </w:tr>
    </w:tbl>
    <w:p>
      <w:pPr>
        <w:pStyle w:val="39"/>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color w:val="auto"/>
        </w:rPr>
      </w:pPr>
    </w:p>
    <w:p>
      <w:pPr>
        <w:pStyle w:val="39"/>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color w:val="auto"/>
        </w:rPr>
      </w:pPr>
      <w:r>
        <w:rPr>
          <w:rFonts w:hint="default" w:ascii="Times New Roman" w:hAnsi="Times New Roman" w:cs="Times New Roman"/>
          <w:color w:val="auto"/>
        </w:rPr>
        <w:t>本项目废水设置有三级防控体系，事故状态下，应急消防废水进入污水收集池和污水收集罐、事故应急池，储罐区设置有围堰，罐区发生泄漏全部由围堰收集，不会外排周围环境，雨水管网排放口设置切换阀，均作为储存事故废水与调控手段，可确保发生较大或重大事故时泄漏物料和污染消防水控制在厂区，或通过厂区事故水排放系统接入园区应急事故池内。项目属于三级B间接排放项目，废水排入</w:t>
      </w:r>
      <w:r>
        <w:rPr>
          <w:rFonts w:hint="default" w:ascii="Times New Roman" w:hAnsi="Times New Roman" w:cs="Times New Roman"/>
          <w:color w:val="auto"/>
          <w:lang w:val="en-US" w:eastAsia="zh-CN"/>
        </w:rPr>
        <w:t>巴陵</w:t>
      </w:r>
      <w:r>
        <w:rPr>
          <w:rFonts w:hint="default" w:ascii="Times New Roman" w:hAnsi="Times New Roman" w:cs="Times New Roman"/>
          <w:color w:val="auto"/>
        </w:rPr>
        <w:t>污水处理厂工业废水处理，不直接外排地表水体，不对地表水环境进行相应的敏感程度分级。</w:t>
      </w:r>
    </w:p>
    <w:p>
      <w:pPr>
        <w:pStyle w:val="39"/>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color w:val="auto"/>
          <w:u w:val="single"/>
          <w:lang w:eastAsia="zh-CN"/>
        </w:rPr>
      </w:pPr>
      <w:r>
        <w:rPr>
          <w:rFonts w:hint="default" w:ascii="Times New Roman" w:hAnsi="Times New Roman" w:cs="Times New Roman"/>
          <w:color w:val="auto"/>
          <w:u w:val="single"/>
          <w:lang w:eastAsia="zh-CN"/>
        </w:rPr>
        <w:t>接纳鑫达公司加氢催化剂项目废水的巴陵石化污水处理厂分为生物预处理+曝气系统、A/O2系统生化处理系统、环氧污水处理系统三个系列，其中生物预处理+曝气系统为400t/h、A/O2系统生化处理系统为300t/h、环氧污水系列为500 t/h（单独处理环氧污水）。污水处理厂（包括生物预处理+曝气系统和A/O2系统生化处理系统）总规模达700m3/h，目前实际处理废水量为520m3/h，还有180m3/h的剩余处理规模。现有的污水处理厂接纳岳阳鑫达实业有限公司</w:t>
      </w:r>
      <w:r>
        <w:rPr>
          <w:rFonts w:hint="default" w:ascii="Times New Roman" w:hAnsi="Times New Roman" w:cs="Times New Roman"/>
          <w:color w:val="auto"/>
          <w:u w:val="single"/>
          <w:lang w:val="en-US" w:eastAsia="zh-CN"/>
        </w:rPr>
        <w:t>500吨/年加氢催化剂生产项目的</w:t>
      </w:r>
      <w:r>
        <w:rPr>
          <w:rFonts w:hint="default" w:ascii="Times New Roman" w:hAnsi="Times New Roman" w:cs="Times New Roman"/>
          <w:color w:val="auto"/>
          <w:u w:val="single"/>
          <w:lang w:eastAsia="zh-CN"/>
        </w:rPr>
        <w:t>废水是可行的。巴陵石化污水处理厂已出具巴陵石化分公司水务部同意接纳本工程废水证明，详见附件。</w:t>
      </w:r>
    </w:p>
    <w:p>
      <w:pPr>
        <w:pStyle w:val="7"/>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rPr>
      </w:pPr>
      <w:r>
        <w:rPr>
          <w:rFonts w:hint="default" w:ascii="Times New Roman" w:hAnsi="Times New Roman" w:cs="Times New Roman"/>
          <w:color w:val="auto"/>
        </w:rPr>
        <w:t xml:space="preserve">地下水环境 </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地下水环境敏感程度依据地下水功能敏感性与包气带防污性能确定，分级</w:t>
      </w:r>
      <w:r>
        <w:rPr>
          <w:rFonts w:hint="default" w:ascii="Times New Roman" w:hAnsi="Times New Roman" w:cs="Times New Roman"/>
          <w:color w:val="auto"/>
          <w:lang w:val="en-US" w:eastAsia="zh-CN"/>
        </w:rPr>
        <w:t>原</w:t>
      </w:r>
      <w:r>
        <w:rPr>
          <w:rFonts w:hint="default" w:ascii="Times New Roman" w:hAnsi="Times New Roman" w:cs="Times New Roman"/>
          <w:color w:val="auto"/>
        </w:rPr>
        <w:t>则见下表。</w:t>
      </w:r>
    </w:p>
    <w:p>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9</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地下水环境敏感程度分级</w:t>
      </w:r>
    </w:p>
    <w:tbl>
      <w:tblPr>
        <w:tblStyle w:val="24"/>
        <w:tblW w:w="8317" w:type="dxa"/>
        <w:tblInd w:w="13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669"/>
        <w:gridCol w:w="1488"/>
        <w:gridCol w:w="2079"/>
        <w:gridCol w:w="208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2669" w:type="dxa"/>
            <w:vMerge w:val="restart"/>
            <w:tcBorders>
              <w:tl2br w:val="nil"/>
              <w:tr2bl w:val="nil"/>
            </w:tcBorders>
            <w:shd w:val="clear" w:color="auto" w:fill="FFFFFF"/>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包气带防污性能</w:t>
            </w:r>
          </w:p>
        </w:tc>
        <w:tc>
          <w:tcPr>
            <w:tcW w:w="5648" w:type="dxa"/>
            <w:gridSpan w:val="3"/>
            <w:tcBorders>
              <w:tl2br w:val="nil"/>
              <w:tr2bl w:val="nil"/>
            </w:tcBorders>
            <w:shd w:val="clear" w:color="auto" w:fill="FFFFFF"/>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地下水功能敏感性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2669" w:type="dxa"/>
            <w:vMerge w:val="continue"/>
            <w:tcBorders>
              <w:tl2br w:val="nil"/>
              <w:tr2bl w:val="nil"/>
            </w:tcBorders>
            <w:shd w:val="clear" w:color="auto" w:fill="FFFFFF"/>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1488" w:type="dxa"/>
            <w:tcBorders>
              <w:tl2br w:val="nil"/>
              <w:tr2bl w:val="nil"/>
            </w:tcBorders>
            <w:shd w:val="clear" w:color="auto" w:fill="FFFFFF"/>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G1</w:t>
            </w:r>
          </w:p>
        </w:tc>
        <w:tc>
          <w:tcPr>
            <w:tcW w:w="2079" w:type="dxa"/>
            <w:tcBorders>
              <w:tl2br w:val="nil"/>
              <w:tr2bl w:val="nil"/>
            </w:tcBorders>
            <w:shd w:val="clear" w:color="auto" w:fill="FFFFFF"/>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G2</w:t>
            </w:r>
          </w:p>
        </w:tc>
        <w:tc>
          <w:tcPr>
            <w:tcW w:w="2081" w:type="dxa"/>
            <w:tcBorders>
              <w:tl2br w:val="nil"/>
              <w:tr2bl w:val="nil"/>
            </w:tcBorders>
            <w:shd w:val="clear" w:color="auto" w:fill="FFFFFF"/>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2669" w:type="dxa"/>
            <w:tcBorders>
              <w:tl2br w:val="nil"/>
              <w:tr2bl w:val="nil"/>
            </w:tcBorders>
            <w:shd w:val="clear" w:color="auto" w:fill="FFFFFF"/>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D1</w:t>
            </w:r>
          </w:p>
        </w:tc>
        <w:tc>
          <w:tcPr>
            <w:tcW w:w="1488" w:type="dxa"/>
            <w:tcBorders>
              <w:tl2br w:val="nil"/>
              <w:tr2bl w:val="nil"/>
            </w:tcBorders>
            <w:shd w:val="clear" w:color="auto" w:fill="FFFFFF"/>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E1</w:t>
            </w:r>
          </w:p>
        </w:tc>
        <w:tc>
          <w:tcPr>
            <w:tcW w:w="2079" w:type="dxa"/>
            <w:tcBorders>
              <w:tl2br w:val="nil"/>
              <w:tr2bl w:val="nil"/>
            </w:tcBorders>
            <w:shd w:val="clear" w:color="auto" w:fill="FFFFFF"/>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E1</w:t>
            </w:r>
          </w:p>
        </w:tc>
        <w:tc>
          <w:tcPr>
            <w:tcW w:w="2081" w:type="dxa"/>
            <w:tcBorders>
              <w:tl2br w:val="nil"/>
              <w:tr2bl w:val="nil"/>
            </w:tcBorders>
            <w:shd w:val="clear" w:color="auto" w:fill="FFFFFF"/>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2669" w:type="dxa"/>
            <w:tcBorders>
              <w:tl2br w:val="nil"/>
              <w:tr2bl w:val="nil"/>
            </w:tcBorders>
            <w:shd w:val="clear" w:color="auto" w:fill="FFFFFF"/>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D2</w:t>
            </w:r>
          </w:p>
        </w:tc>
        <w:tc>
          <w:tcPr>
            <w:tcW w:w="1488" w:type="dxa"/>
            <w:tcBorders>
              <w:tl2br w:val="nil"/>
              <w:tr2bl w:val="nil"/>
            </w:tcBorders>
            <w:shd w:val="clear" w:color="auto" w:fill="FFFFFF"/>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E1</w:t>
            </w:r>
          </w:p>
        </w:tc>
        <w:tc>
          <w:tcPr>
            <w:tcW w:w="2079" w:type="dxa"/>
            <w:tcBorders>
              <w:tl2br w:val="nil"/>
              <w:tr2bl w:val="nil"/>
            </w:tcBorders>
            <w:shd w:val="clear" w:color="auto" w:fill="FFFFFF"/>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E2</w:t>
            </w:r>
          </w:p>
        </w:tc>
        <w:tc>
          <w:tcPr>
            <w:tcW w:w="2081" w:type="dxa"/>
            <w:tcBorders>
              <w:tl2br w:val="nil"/>
              <w:tr2bl w:val="nil"/>
            </w:tcBorders>
            <w:shd w:val="clear" w:color="auto" w:fill="FFFFFF"/>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2669" w:type="dxa"/>
            <w:tcBorders>
              <w:tl2br w:val="nil"/>
              <w:tr2bl w:val="nil"/>
            </w:tcBorders>
            <w:shd w:val="clear" w:color="auto" w:fill="FFFFFF"/>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D3</w:t>
            </w:r>
          </w:p>
        </w:tc>
        <w:tc>
          <w:tcPr>
            <w:tcW w:w="1488" w:type="dxa"/>
            <w:tcBorders>
              <w:tl2br w:val="nil"/>
              <w:tr2bl w:val="nil"/>
            </w:tcBorders>
            <w:shd w:val="clear" w:color="auto" w:fill="FFFFFF"/>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E2</w:t>
            </w:r>
          </w:p>
        </w:tc>
        <w:tc>
          <w:tcPr>
            <w:tcW w:w="2079" w:type="dxa"/>
            <w:tcBorders>
              <w:tl2br w:val="nil"/>
              <w:tr2bl w:val="nil"/>
            </w:tcBorders>
            <w:shd w:val="clear" w:color="auto" w:fill="FFFFFF"/>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E3</w:t>
            </w:r>
          </w:p>
        </w:tc>
        <w:tc>
          <w:tcPr>
            <w:tcW w:w="2081" w:type="dxa"/>
            <w:tcBorders>
              <w:tl2br w:val="nil"/>
              <w:tr2bl w:val="nil"/>
            </w:tcBorders>
            <w:shd w:val="clear" w:color="auto" w:fill="FFFFFF"/>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E3</w:t>
            </w:r>
          </w:p>
        </w:tc>
      </w:tr>
    </w:tbl>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color w:val="auto"/>
        </w:rPr>
      </w:pP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color w:val="auto"/>
        </w:rPr>
      </w:pPr>
      <w:r>
        <w:rPr>
          <w:rFonts w:hint="default" w:ascii="Times New Roman" w:hAnsi="Times New Roman" w:cs="Times New Roman"/>
          <w:color w:val="auto"/>
        </w:rPr>
        <w:t>根据园区地下水环境影响专题评价报告中关于项目所在园区地勘资料，项目区包气带岩土层单层厚度约为4m，渗透系数约为5.79×10</w:t>
      </w:r>
      <w:r>
        <w:rPr>
          <w:rFonts w:hint="default" w:ascii="Times New Roman" w:hAnsi="Times New Roman" w:cs="Times New Roman"/>
          <w:color w:val="auto"/>
          <w:vertAlign w:val="superscript"/>
        </w:rPr>
        <w:t>-4</w:t>
      </w:r>
      <w:r>
        <w:rPr>
          <w:rFonts w:hint="default" w:ascii="Times New Roman" w:hAnsi="Times New Roman" w:cs="Times New Roman"/>
          <w:color w:val="auto"/>
        </w:rPr>
        <w:t>cm/s，根据风险导则表D.7，项目区包气带防护性能分级为D1，项目区地下水不属于集中式饮用水源等敏感区和分散式饮用水源等较敏感区，地下水功能敏感程度为不敏感G3。因此，本项目地下水环境敏感程度为E2。</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557" w:name="_Toc3994"/>
      <w:r>
        <w:rPr>
          <w:rFonts w:hint="default" w:ascii="Times New Roman" w:hAnsi="Times New Roman" w:cs="Times New Roman"/>
          <w:color w:val="auto"/>
          <w:lang w:eastAsia="zh-CN"/>
        </w:rPr>
        <w:t>评价等级判定</w:t>
      </w:r>
      <w:bookmarkEnd w:id="557"/>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 xml:space="preserve">根据《建设项目环境风险评价技术导则》（HJ169-2018）的有关规定，风险评价工作等级判定详见表 </w:t>
      </w:r>
      <w:r>
        <w:rPr>
          <w:rFonts w:hint="default" w:ascii="Times New Roman" w:hAnsi="Times New Roman" w:cs="Times New Roman"/>
          <w:color w:val="auto"/>
          <w:lang w:val="en-US" w:eastAsia="zh-CN"/>
        </w:rPr>
        <w:t>7-10</w:t>
      </w:r>
      <w:r>
        <w:rPr>
          <w:rFonts w:hint="default" w:ascii="Times New Roman" w:hAnsi="Times New Roman" w:cs="Times New Roman"/>
          <w:color w:val="auto"/>
        </w:rPr>
        <w:t>。</w:t>
      </w: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10</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环境风险评价等级划分</w:t>
      </w:r>
    </w:p>
    <w:tbl>
      <w:tblPr>
        <w:tblStyle w:val="24"/>
        <w:tblW w:w="890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815"/>
        <w:gridCol w:w="1723"/>
        <w:gridCol w:w="1723"/>
        <w:gridCol w:w="1726"/>
        <w:gridCol w:w="192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1815"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环境风险潜势</w:t>
            </w:r>
          </w:p>
        </w:tc>
        <w:tc>
          <w:tcPr>
            <w:tcW w:w="172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Ⅳ、Ⅳ+</w:t>
            </w:r>
          </w:p>
        </w:tc>
        <w:tc>
          <w:tcPr>
            <w:tcW w:w="172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c>
          <w:tcPr>
            <w:tcW w:w="1726"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c>
          <w:tcPr>
            <w:tcW w:w="1922"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1815"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评价工作等级</w:t>
            </w:r>
          </w:p>
        </w:tc>
        <w:tc>
          <w:tcPr>
            <w:tcW w:w="172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w:t>
            </w:r>
          </w:p>
        </w:tc>
        <w:tc>
          <w:tcPr>
            <w:tcW w:w="172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w:t>
            </w:r>
          </w:p>
        </w:tc>
        <w:tc>
          <w:tcPr>
            <w:tcW w:w="1726"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w:t>
            </w:r>
          </w:p>
        </w:tc>
        <w:tc>
          <w:tcPr>
            <w:tcW w:w="1922"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简单分析</w:t>
            </w:r>
            <w:r>
              <w:rPr>
                <w:rFonts w:hint="default" w:ascii="Times New Roman" w:hAnsi="Times New Roman" w:cs="Times New Roman"/>
                <w:color w:val="auto"/>
                <w:sz w:val="21"/>
                <w:szCs w:val="21"/>
                <w:vertAlign w:val="superscript"/>
              </w:rPr>
              <w: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80" w:hRule="exact"/>
          <w:jc w:val="center"/>
        </w:trPr>
        <w:tc>
          <w:tcPr>
            <w:tcW w:w="8909" w:type="dxa"/>
            <w:gridSpan w:val="5"/>
            <w:tcBorders>
              <w:tl2br w:val="nil"/>
              <w:tr2bl w:val="nil"/>
            </w:tcBorders>
            <w:vAlign w:val="center"/>
          </w:tcPr>
          <w:p>
            <w:pPr>
              <w:pStyle w:val="40"/>
              <w:keepNext w:val="0"/>
              <w:keepLines w:val="0"/>
              <w:suppressLineNumbers w:val="0"/>
              <w:bidi w:val="0"/>
              <w:spacing w:before="0" w:beforeAutospacing="0" w:after="0" w:afterAutospacing="0"/>
              <w:ind w:left="0" w:right="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注：a是相对于详细评价工作内容而言，在描述危险物质、环境影响途径、环境危险后果、风险防范措施等方面给出定性的说明。见附录 A。</w:t>
            </w:r>
          </w:p>
        </w:tc>
      </w:tr>
    </w:tbl>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lang w:eastAsia="zh-CN"/>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 xml:space="preserve">11 </w:t>
      </w:r>
      <w:r>
        <w:rPr>
          <w:rFonts w:hint="default" w:ascii="Times New Roman" w:hAnsi="Times New Roman" w:cs="Times New Roman"/>
          <w:color w:val="auto"/>
          <w:lang w:eastAsia="zh-CN"/>
        </w:rPr>
        <w:t>建设项目环境风险潜势划分</w:t>
      </w:r>
    </w:p>
    <w:tbl>
      <w:tblPr>
        <w:tblStyle w:val="25"/>
        <w:tblW w:w="900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76"/>
        <w:gridCol w:w="1631"/>
        <w:gridCol w:w="1631"/>
        <w:gridCol w:w="1631"/>
        <w:gridCol w:w="16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2476" w:type="dxa"/>
            <w:vMerge w:val="restart"/>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环境敏感程度（</w:t>
            </w:r>
            <w:r>
              <w:rPr>
                <w:rFonts w:hint="default" w:ascii="Times New Roman" w:hAnsi="Times New Roman" w:cs="Times New Roman"/>
                <w:color w:val="auto"/>
                <w:sz w:val="21"/>
                <w:szCs w:val="21"/>
                <w:vertAlign w:val="baseline"/>
                <w:lang w:val="en-US" w:eastAsia="zh-CN"/>
              </w:rPr>
              <w:t>E</w:t>
            </w:r>
            <w:r>
              <w:rPr>
                <w:rFonts w:hint="default" w:ascii="Times New Roman" w:hAnsi="Times New Roman" w:cs="Times New Roman"/>
                <w:color w:val="auto"/>
                <w:sz w:val="21"/>
                <w:szCs w:val="21"/>
                <w:vertAlign w:val="baseline"/>
                <w:lang w:eastAsia="zh-CN"/>
              </w:rPr>
              <w:t>）</w:t>
            </w:r>
          </w:p>
        </w:tc>
        <w:tc>
          <w:tcPr>
            <w:tcW w:w="6527" w:type="dxa"/>
            <w:gridSpan w:val="4"/>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危险物质及工艺系统危险性（</w:t>
            </w:r>
            <w:r>
              <w:rPr>
                <w:rFonts w:hint="default" w:ascii="Times New Roman" w:hAnsi="Times New Roman" w:cs="Times New Roman"/>
                <w:color w:val="auto"/>
                <w:sz w:val="21"/>
                <w:szCs w:val="21"/>
                <w:vertAlign w:val="baseline"/>
                <w:lang w:val="en-US" w:eastAsia="zh-CN"/>
              </w:rPr>
              <w:t>P</w:t>
            </w:r>
            <w:r>
              <w:rPr>
                <w:rFonts w:hint="default" w:ascii="Times New Roman" w:hAnsi="Times New Roman" w:cs="Times New Roman"/>
                <w:color w:val="auto"/>
                <w:sz w:val="21"/>
                <w:szCs w:val="21"/>
                <w:vertAlign w:val="baseli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2476" w:type="dxa"/>
            <w:vMerge w:val="continue"/>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sz w:val="21"/>
                <w:szCs w:val="21"/>
                <w:vertAlign w:val="baseline"/>
                <w:lang w:eastAsia="zh-CN"/>
              </w:rPr>
            </w:pPr>
          </w:p>
        </w:tc>
        <w:tc>
          <w:tcPr>
            <w:tcW w:w="163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firstLine="0" w:firstLineChars="0"/>
              <w:jc w:val="center"/>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极高危害（</w:t>
            </w:r>
            <w:r>
              <w:rPr>
                <w:rFonts w:hint="default" w:ascii="Times New Roman" w:hAnsi="Times New Roman" w:cs="Times New Roman"/>
                <w:color w:val="auto"/>
                <w:sz w:val="21"/>
                <w:szCs w:val="21"/>
                <w:vertAlign w:val="baseline"/>
                <w:lang w:val="en-US" w:eastAsia="zh-CN"/>
              </w:rPr>
              <w:t>P1</w:t>
            </w:r>
            <w:r>
              <w:rPr>
                <w:rFonts w:hint="default" w:ascii="Times New Roman" w:hAnsi="Times New Roman" w:cs="Times New Roman"/>
                <w:color w:val="auto"/>
                <w:sz w:val="21"/>
                <w:szCs w:val="21"/>
                <w:vertAlign w:val="baseline"/>
                <w:lang w:eastAsia="zh-CN"/>
              </w:rPr>
              <w:t>）</w:t>
            </w:r>
          </w:p>
        </w:tc>
        <w:tc>
          <w:tcPr>
            <w:tcW w:w="163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firstLine="0" w:firstLineChars="0"/>
              <w:jc w:val="both"/>
              <w:textAlignment w:val="auto"/>
              <w:outlineLvl w:val="9"/>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eastAsia="zh-CN"/>
              </w:rPr>
              <w:t>高度危害（</w:t>
            </w:r>
            <w:r>
              <w:rPr>
                <w:rFonts w:hint="default" w:ascii="Times New Roman" w:hAnsi="Times New Roman" w:cs="Times New Roman"/>
                <w:color w:val="auto"/>
                <w:sz w:val="21"/>
                <w:szCs w:val="21"/>
                <w:vertAlign w:val="baseline"/>
                <w:lang w:val="en-US" w:eastAsia="zh-CN"/>
              </w:rPr>
              <w:t>P2</w:t>
            </w:r>
            <w:r>
              <w:rPr>
                <w:rFonts w:hint="default" w:ascii="Times New Roman" w:hAnsi="Times New Roman" w:cs="Times New Roman"/>
                <w:color w:val="auto"/>
                <w:sz w:val="21"/>
                <w:szCs w:val="21"/>
                <w:vertAlign w:val="baseline"/>
                <w:lang w:eastAsia="zh-CN"/>
              </w:rPr>
              <w:t>）</w:t>
            </w:r>
          </w:p>
        </w:tc>
        <w:tc>
          <w:tcPr>
            <w:tcW w:w="163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firstLine="0" w:firstLineChars="0"/>
              <w:jc w:val="both"/>
              <w:textAlignment w:val="auto"/>
              <w:outlineLvl w:val="9"/>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eastAsia="zh-CN"/>
              </w:rPr>
              <w:t>中度危害（</w:t>
            </w:r>
            <w:r>
              <w:rPr>
                <w:rFonts w:hint="default" w:ascii="Times New Roman" w:hAnsi="Times New Roman" w:cs="Times New Roman"/>
                <w:color w:val="auto"/>
                <w:sz w:val="21"/>
                <w:szCs w:val="21"/>
                <w:vertAlign w:val="baseline"/>
                <w:lang w:val="en-US" w:eastAsia="zh-CN"/>
              </w:rPr>
              <w:t>P3</w:t>
            </w:r>
            <w:r>
              <w:rPr>
                <w:rFonts w:hint="default" w:ascii="Times New Roman" w:hAnsi="Times New Roman" w:cs="Times New Roman"/>
                <w:color w:val="auto"/>
                <w:sz w:val="21"/>
                <w:szCs w:val="21"/>
                <w:vertAlign w:val="baseline"/>
                <w:lang w:eastAsia="zh-CN"/>
              </w:rPr>
              <w:t>）</w:t>
            </w:r>
          </w:p>
        </w:tc>
        <w:tc>
          <w:tcPr>
            <w:tcW w:w="1634"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firstLine="0" w:firstLineChars="0"/>
              <w:jc w:val="both"/>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轻度危害（</w:t>
            </w:r>
            <w:r>
              <w:rPr>
                <w:rFonts w:hint="default" w:ascii="Times New Roman" w:hAnsi="Times New Roman" w:cs="Times New Roman"/>
                <w:color w:val="auto"/>
                <w:sz w:val="21"/>
                <w:szCs w:val="21"/>
                <w:vertAlign w:val="baseline"/>
                <w:lang w:val="en-US" w:eastAsia="zh-CN"/>
              </w:rPr>
              <w:t>P4</w:t>
            </w:r>
            <w:r>
              <w:rPr>
                <w:rFonts w:hint="default" w:ascii="Times New Roman" w:hAnsi="Times New Roman" w:cs="Times New Roman"/>
                <w:color w:val="auto"/>
                <w:sz w:val="21"/>
                <w:szCs w:val="21"/>
                <w:vertAlign w:val="baseli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2476"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9"/>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eastAsia="zh-CN"/>
              </w:rPr>
              <w:t>环境高度敏感区（</w:t>
            </w:r>
            <w:r>
              <w:rPr>
                <w:rFonts w:hint="default" w:ascii="Times New Roman" w:hAnsi="Times New Roman" w:cs="Times New Roman"/>
                <w:color w:val="auto"/>
                <w:sz w:val="21"/>
                <w:szCs w:val="21"/>
                <w:vertAlign w:val="baseline"/>
                <w:lang w:val="en-US" w:eastAsia="zh-CN"/>
              </w:rPr>
              <w:t>E1</w:t>
            </w:r>
            <w:r>
              <w:rPr>
                <w:rFonts w:hint="default" w:ascii="Times New Roman" w:hAnsi="Times New Roman" w:cs="Times New Roman"/>
                <w:color w:val="auto"/>
                <w:sz w:val="21"/>
                <w:szCs w:val="21"/>
                <w:vertAlign w:val="baseline"/>
                <w:lang w:eastAsia="zh-CN"/>
              </w:rPr>
              <w:t>）</w:t>
            </w:r>
          </w:p>
        </w:tc>
        <w:tc>
          <w:tcPr>
            <w:tcW w:w="163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rPr>
              <w:t>Ⅳ</w:t>
            </w:r>
            <w:r>
              <w:rPr>
                <w:rFonts w:hint="default" w:ascii="Times New Roman" w:hAnsi="Times New Roman" w:cs="Times New Roman"/>
                <w:color w:val="auto"/>
                <w:sz w:val="21"/>
                <w:szCs w:val="21"/>
                <w:vertAlign w:val="superscript"/>
                <w:lang w:val="en-US" w:eastAsia="zh-CN"/>
              </w:rPr>
              <w:t>+</w:t>
            </w:r>
          </w:p>
        </w:tc>
        <w:tc>
          <w:tcPr>
            <w:tcW w:w="163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firstLine="0" w:firstLineChars="0"/>
              <w:jc w:val="center"/>
              <w:textAlignment w:val="auto"/>
              <w:outlineLvl w:val="9"/>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Ⅳ</w:t>
            </w:r>
          </w:p>
        </w:tc>
        <w:tc>
          <w:tcPr>
            <w:tcW w:w="163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firstLine="0" w:firstLineChars="0"/>
              <w:jc w:val="center"/>
              <w:textAlignment w:val="auto"/>
              <w:outlineLvl w:val="9"/>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Ⅲ</w:t>
            </w:r>
          </w:p>
        </w:tc>
        <w:tc>
          <w:tcPr>
            <w:tcW w:w="1634"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firstLine="0" w:firstLineChars="0"/>
              <w:jc w:val="center"/>
              <w:textAlignment w:val="auto"/>
              <w:outlineLvl w:val="9"/>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2476"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9"/>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eastAsia="zh-CN"/>
              </w:rPr>
              <w:t>环境中度敏感区（</w:t>
            </w:r>
            <w:r>
              <w:rPr>
                <w:rFonts w:hint="default" w:ascii="Times New Roman" w:hAnsi="Times New Roman" w:cs="Times New Roman"/>
                <w:color w:val="auto"/>
                <w:sz w:val="21"/>
                <w:szCs w:val="21"/>
                <w:vertAlign w:val="baseline"/>
                <w:lang w:val="en-US" w:eastAsia="zh-CN"/>
              </w:rPr>
              <w:t>E2</w:t>
            </w:r>
            <w:r>
              <w:rPr>
                <w:rFonts w:hint="default" w:ascii="Times New Roman" w:hAnsi="Times New Roman" w:cs="Times New Roman"/>
                <w:color w:val="auto"/>
                <w:sz w:val="21"/>
                <w:szCs w:val="21"/>
                <w:vertAlign w:val="baseline"/>
                <w:lang w:eastAsia="zh-CN"/>
              </w:rPr>
              <w:t>）</w:t>
            </w:r>
          </w:p>
        </w:tc>
        <w:tc>
          <w:tcPr>
            <w:tcW w:w="163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firstLine="0" w:firstLineChars="0"/>
              <w:jc w:val="center"/>
              <w:textAlignment w:val="auto"/>
              <w:outlineLvl w:val="9"/>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Ⅳ</w:t>
            </w:r>
          </w:p>
        </w:tc>
        <w:tc>
          <w:tcPr>
            <w:tcW w:w="163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firstLine="0" w:firstLineChars="0"/>
              <w:jc w:val="center"/>
              <w:textAlignment w:val="auto"/>
              <w:outlineLvl w:val="9"/>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Ⅲ</w:t>
            </w:r>
          </w:p>
        </w:tc>
        <w:tc>
          <w:tcPr>
            <w:tcW w:w="163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firstLine="0" w:firstLineChars="0"/>
              <w:jc w:val="center"/>
              <w:textAlignment w:val="auto"/>
              <w:outlineLvl w:val="9"/>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Ⅲ</w:t>
            </w:r>
          </w:p>
        </w:tc>
        <w:tc>
          <w:tcPr>
            <w:tcW w:w="1634"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firstLine="0" w:firstLineChars="0"/>
              <w:jc w:val="center"/>
              <w:textAlignment w:val="auto"/>
              <w:outlineLvl w:val="9"/>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2476"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9"/>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eastAsia="zh-CN"/>
              </w:rPr>
              <w:t>环境低度敏感区（</w:t>
            </w:r>
            <w:r>
              <w:rPr>
                <w:rFonts w:hint="default" w:ascii="Times New Roman" w:hAnsi="Times New Roman" w:cs="Times New Roman"/>
                <w:color w:val="auto"/>
                <w:sz w:val="21"/>
                <w:szCs w:val="21"/>
                <w:vertAlign w:val="baseline"/>
                <w:lang w:val="en-US" w:eastAsia="zh-CN"/>
              </w:rPr>
              <w:t>E3</w:t>
            </w:r>
            <w:r>
              <w:rPr>
                <w:rFonts w:hint="default" w:ascii="Times New Roman" w:hAnsi="Times New Roman" w:cs="Times New Roman"/>
                <w:color w:val="auto"/>
                <w:sz w:val="21"/>
                <w:szCs w:val="21"/>
                <w:vertAlign w:val="baseline"/>
                <w:lang w:eastAsia="zh-CN"/>
              </w:rPr>
              <w:t>）</w:t>
            </w:r>
          </w:p>
        </w:tc>
        <w:tc>
          <w:tcPr>
            <w:tcW w:w="163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firstLine="0" w:firstLineChars="0"/>
              <w:jc w:val="center"/>
              <w:textAlignment w:val="auto"/>
              <w:outlineLvl w:val="9"/>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Ⅲ</w:t>
            </w:r>
          </w:p>
        </w:tc>
        <w:tc>
          <w:tcPr>
            <w:tcW w:w="163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firstLine="0" w:firstLineChars="0"/>
              <w:jc w:val="center"/>
              <w:textAlignment w:val="auto"/>
              <w:outlineLvl w:val="9"/>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Ⅲ</w:t>
            </w:r>
          </w:p>
        </w:tc>
        <w:tc>
          <w:tcPr>
            <w:tcW w:w="1631"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firstLine="0" w:firstLineChars="0"/>
              <w:jc w:val="center"/>
              <w:textAlignment w:val="auto"/>
              <w:outlineLvl w:val="9"/>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Ⅱ</w:t>
            </w:r>
          </w:p>
        </w:tc>
        <w:tc>
          <w:tcPr>
            <w:tcW w:w="1634" w:type="dxa"/>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firstLine="0" w:firstLineChars="0"/>
              <w:jc w:val="center"/>
              <w:textAlignment w:val="auto"/>
              <w:outlineLvl w:val="9"/>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003" w:type="dxa"/>
            <w:gridSpan w:val="5"/>
            <w:tcBorders>
              <w:tl2br w:val="nil"/>
              <w:tr2bl w:val="nil"/>
            </w:tcBorders>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leftChars="0" w:right="0" w:firstLine="0" w:firstLineChars="0"/>
              <w:jc w:val="both"/>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注：</w:t>
            </w:r>
            <w:r>
              <w:rPr>
                <w:rFonts w:hint="default" w:ascii="Times New Roman" w:hAnsi="Times New Roman" w:cs="Times New Roman"/>
                <w:color w:val="auto"/>
                <w:sz w:val="21"/>
                <w:szCs w:val="21"/>
                <w:vertAlign w:val="baseline"/>
              </w:rPr>
              <w:t>Ⅳ</w:t>
            </w:r>
            <w:r>
              <w:rPr>
                <w:rFonts w:hint="default" w:ascii="Times New Roman" w:hAnsi="Times New Roman" w:cs="Times New Roman"/>
                <w:color w:val="auto"/>
                <w:sz w:val="21"/>
                <w:szCs w:val="21"/>
                <w:vertAlign w:val="superscript"/>
                <w:lang w:val="en-US" w:eastAsia="zh-CN"/>
              </w:rPr>
              <w:t>+</w:t>
            </w:r>
            <w:r>
              <w:rPr>
                <w:rFonts w:hint="default" w:ascii="Times New Roman" w:hAnsi="Times New Roman" w:cs="Times New Roman"/>
                <w:color w:val="auto"/>
                <w:sz w:val="21"/>
                <w:szCs w:val="21"/>
                <w:vertAlign w:val="baseline"/>
                <w:lang w:val="en-US" w:eastAsia="zh-CN"/>
              </w:rPr>
              <w:t>为极高环境风险。</w:t>
            </w:r>
          </w:p>
        </w:tc>
      </w:tr>
    </w:tbl>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color w:val="auto"/>
          <w:u w:val="single"/>
        </w:rPr>
      </w:pP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color w:val="auto"/>
          <w:u w:val="single"/>
          <w:lang w:eastAsia="zh-CN"/>
        </w:rPr>
      </w:pPr>
      <w:r>
        <w:rPr>
          <w:rFonts w:hint="default" w:ascii="Times New Roman" w:hAnsi="Times New Roman" w:cs="Times New Roman"/>
          <w:color w:val="auto"/>
          <w:u w:val="single"/>
        </w:rPr>
        <w:t>根据《建设项目环境风险评价技术导则》（HJ169-2018）附录C中C.1.1相关要求，</w:t>
      </w:r>
      <w:r>
        <w:rPr>
          <w:rFonts w:hint="default" w:ascii="Times New Roman" w:hAnsi="Times New Roman" w:cs="Times New Roman"/>
          <w:color w:val="auto"/>
          <w:u w:val="single"/>
          <w:lang w:val="en-US" w:eastAsia="zh-CN"/>
        </w:rPr>
        <w:t>鑫达公司危险物质数量与临界量比Q值为14.4，10≦Q＜100，行业及生产工艺（M）分值15，属于第（2）级M2，判定该项目环境风险潜势为P2。项目周边500m范围内的总人口小于500人，周边5km范围总人口小于约5万。本项目大气环境敏感程度为E2。综上分析，判定鑫达项目环境风险潜势为</w:t>
      </w:r>
      <w:r>
        <w:rPr>
          <w:rFonts w:hint="default" w:ascii="Times New Roman" w:hAnsi="Times New Roman" w:cs="Times New Roman"/>
          <w:color w:val="auto"/>
          <w:u w:val="single"/>
          <w:lang w:val="en-US" w:eastAsia="zh-CN"/>
        </w:rPr>
        <w:fldChar w:fldCharType="begin"/>
      </w:r>
      <w:r>
        <w:rPr>
          <w:rFonts w:hint="default" w:ascii="Times New Roman" w:hAnsi="Times New Roman" w:cs="Times New Roman"/>
          <w:color w:val="auto"/>
          <w:u w:val="single"/>
          <w:lang w:val="en-US" w:eastAsia="zh-CN"/>
        </w:rPr>
        <w:instrText xml:space="preserve"> = 3 \* ROMAN </w:instrText>
      </w:r>
      <w:r>
        <w:rPr>
          <w:rFonts w:hint="default" w:ascii="Times New Roman" w:hAnsi="Times New Roman" w:cs="Times New Roman"/>
          <w:color w:val="auto"/>
          <w:u w:val="single"/>
          <w:lang w:val="en-US" w:eastAsia="zh-CN"/>
        </w:rPr>
        <w:fldChar w:fldCharType="separate"/>
      </w:r>
      <w:r>
        <w:rPr>
          <w:rFonts w:hint="default" w:ascii="Times New Roman" w:hAnsi="Times New Roman" w:cs="Times New Roman"/>
          <w:color w:val="auto"/>
          <w:u w:val="single"/>
          <w:lang w:val="en-US" w:eastAsia="zh-CN"/>
        </w:rPr>
        <w:t>III</w:t>
      </w:r>
      <w:r>
        <w:rPr>
          <w:rFonts w:hint="default" w:ascii="Times New Roman" w:hAnsi="Times New Roman" w:cs="Times New Roman"/>
          <w:color w:val="auto"/>
          <w:u w:val="single"/>
          <w:lang w:val="en-US" w:eastAsia="zh-CN"/>
        </w:rPr>
        <w:fldChar w:fldCharType="end"/>
      </w:r>
      <w:r>
        <w:rPr>
          <w:rFonts w:hint="default" w:ascii="Times New Roman" w:hAnsi="Times New Roman" w:cs="Times New Roman"/>
          <w:color w:val="auto"/>
          <w:u w:val="single"/>
          <w:lang w:val="en-US" w:eastAsia="zh-CN"/>
        </w:rPr>
        <w:t>级</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确定</w:t>
      </w:r>
      <w:r>
        <w:rPr>
          <w:rFonts w:hint="default" w:ascii="Times New Roman" w:hAnsi="Times New Roman" w:cs="Times New Roman"/>
          <w:color w:val="auto"/>
          <w:u w:val="single"/>
          <w:lang w:eastAsia="zh-CN"/>
        </w:rPr>
        <w:t>大气</w:t>
      </w:r>
      <w:r>
        <w:rPr>
          <w:rFonts w:hint="default" w:ascii="Times New Roman" w:hAnsi="Times New Roman" w:cs="Times New Roman"/>
          <w:color w:val="auto"/>
          <w:u w:val="single"/>
        </w:rPr>
        <w:t>风险评价工作</w:t>
      </w:r>
      <w:r>
        <w:rPr>
          <w:rFonts w:hint="default" w:ascii="Times New Roman" w:hAnsi="Times New Roman" w:cs="Times New Roman"/>
          <w:color w:val="auto"/>
          <w:u w:val="single"/>
          <w:lang w:eastAsia="zh-CN"/>
        </w:rPr>
        <w:t>等级</w:t>
      </w:r>
      <w:r>
        <w:rPr>
          <w:rFonts w:hint="default" w:ascii="Times New Roman" w:hAnsi="Times New Roman" w:cs="Times New Roman"/>
          <w:color w:val="auto"/>
          <w:u w:val="single"/>
        </w:rPr>
        <w:t>为</w:t>
      </w:r>
      <w:r>
        <w:rPr>
          <w:rFonts w:hint="default" w:ascii="Times New Roman" w:hAnsi="Times New Roman" w:cs="Times New Roman"/>
          <w:color w:val="auto"/>
          <w:u w:val="single"/>
          <w:lang w:eastAsia="zh-CN"/>
        </w:rPr>
        <w:t>二级。</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color w:val="auto"/>
        </w:rPr>
      </w:pPr>
      <w:r>
        <w:rPr>
          <w:rFonts w:hint="default" w:ascii="Times New Roman" w:hAnsi="Times New Roman" w:cs="Times New Roman"/>
          <w:color w:val="auto"/>
          <w:lang w:eastAsia="zh-CN"/>
        </w:rPr>
        <w:t>地下水</w:t>
      </w:r>
      <w:r>
        <w:rPr>
          <w:rFonts w:hint="default" w:ascii="Times New Roman" w:hAnsi="Times New Roman" w:cs="Times New Roman"/>
          <w:color w:val="auto"/>
        </w:rPr>
        <w:t>环境风险潜势为Ⅱ</w:t>
      </w:r>
      <w:r>
        <w:rPr>
          <w:rFonts w:hint="default" w:ascii="Times New Roman" w:hAnsi="Times New Roman" w:cs="Times New Roman"/>
          <w:color w:val="auto"/>
          <w:lang w:eastAsia="zh-CN"/>
        </w:rPr>
        <w:t>，</w:t>
      </w:r>
      <w:r>
        <w:rPr>
          <w:rFonts w:hint="default" w:ascii="Times New Roman" w:hAnsi="Times New Roman" w:cs="Times New Roman"/>
          <w:color w:val="auto"/>
        </w:rPr>
        <w:t>确定</w:t>
      </w:r>
      <w:r>
        <w:rPr>
          <w:rFonts w:hint="default" w:ascii="Times New Roman" w:hAnsi="Times New Roman" w:cs="Times New Roman"/>
          <w:color w:val="auto"/>
          <w:lang w:eastAsia="zh-CN"/>
        </w:rPr>
        <w:t>地下水</w:t>
      </w:r>
      <w:r>
        <w:rPr>
          <w:rFonts w:hint="default" w:ascii="Times New Roman" w:hAnsi="Times New Roman" w:cs="Times New Roman"/>
          <w:color w:val="auto"/>
        </w:rPr>
        <w:t>风险评价工作</w:t>
      </w:r>
      <w:r>
        <w:rPr>
          <w:rFonts w:hint="default" w:ascii="Times New Roman" w:hAnsi="Times New Roman" w:cs="Times New Roman"/>
          <w:color w:val="auto"/>
          <w:lang w:eastAsia="zh-CN"/>
        </w:rPr>
        <w:t>等级</w:t>
      </w:r>
      <w:r>
        <w:rPr>
          <w:rFonts w:hint="default" w:ascii="Times New Roman" w:hAnsi="Times New Roman" w:cs="Times New Roman"/>
          <w:color w:val="auto"/>
        </w:rPr>
        <w:t>为</w:t>
      </w:r>
      <w:r>
        <w:rPr>
          <w:rFonts w:hint="default" w:ascii="Times New Roman" w:hAnsi="Times New Roman" w:cs="Times New Roman"/>
          <w:color w:val="auto"/>
          <w:lang w:eastAsia="zh-CN"/>
        </w:rPr>
        <w:t>三级</w:t>
      </w:r>
      <w:r>
        <w:rPr>
          <w:rFonts w:hint="default" w:ascii="Times New Roman" w:hAnsi="Times New Roman" w:cs="Times New Roman"/>
          <w:color w:val="auto"/>
        </w:rPr>
        <w:t>。</w:t>
      </w:r>
    </w:p>
    <w:p>
      <w:pPr>
        <w:pStyle w:val="4"/>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highlight w:val="none"/>
        </w:rPr>
      </w:pPr>
      <w:bookmarkStart w:id="558" w:name="_bookmark38"/>
      <w:bookmarkEnd w:id="558"/>
      <w:bookmarkStart w:id="559" w:name="_Toc13068"/>
      <w:bookmarkStart w:id="560" w:name="_Toc6533"/>
      <w:r>
        <w:rPr>
          <w:rFonts w:hint="default" w:ascii="Times New Roman" w:hAnsi="Times New Roman" w:cs="Times New Roman"/>
          <w:color w:val="auto"/>
          <w:highlight w:val="none"/>
        </w:rPr>
        <w:t>环境风险评价范围</w:t>
      </w:r>
      <w:bookmarkEnd w:id="559"/>
      <w:r>
        <w:rPr>
          <w:rFonts w:hint="default" w:ascii="Times New Roman" w:hAnsi="Times New Roman" w:cs="Times New Roman"/>
          <w:color w:val="auto"/>
          <w:highlight w:val="none"/>
          <w:lang w:eastAsia="zh-CN"/>
        </w:rPr>
        <w:t>及保护目标</w:t>
      </w:r>
      <w:bookmarkEnd w:id="560"/>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highlight w:val="none"/>
        </w:rPr>
      </w:pPr>
      <w:bookmarkStart w:id="561" w:name="_Toc8012"/>
      <w:r>
        <w:rPr>
          <w:rFonts w:hint="default" w:ascii="Times New Roman" w:hAnsi="Times New Roman" w:cs="Times New Roman"/>
          <w:color w:val="auto"/>
          <w:highlight w:val="none"/>
        </w:rPr>
        <w:t>风险评价范围</w:t>
      </w:r>
      <w:bookmarkEnd w:id="561"/>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color w:val="auto"/>
        </w:rPr>
      </w:pPr>
      <w:r>
        <w:rPr>
          <w:rFonts w:hint="default" w:ascii="Times New Roman" w:hAnsi="Times New Roman" w:cs="Times New Roman"/>
          <w:color w:val="auto"/>
        </w:rPr>
        <w:t>（1）大气环境风险评价范围</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color w:val="auto"/>
        </w:rPr>
      </w:pPr>
      <w:r>
        <w:rPr>
          <w:rFonts w:hint="default" w:ascii="Times New Roman" w:hAnsi="Times New Roman" w:cs="Times New Roman"/>
          <w:color w:val="auto"/>
        </w:rPr>
        <w:t>本项目环境风险评价等级为</w:t>
      </w:r>
      <w:r>
        <w:rPr>
          <w:rFonts w:hint="default" w:ascii="Times New Roman" w:hAnsi="Times New Roman" w:cs="Times New Roman"/>
          <w:color w:val="auto"/>
          <w:lang w:eastAsia="zh-CN"/>
        </w:rPr>
        <w:t>三</w:t>
      </w:r>
      <w:r>
        <w:rPr>
          <w:rFonts w:hint="default" w:ascii="Times New Roman" w:hAnsi="Times New Roman" w:cs="Times New Roman"/>
          <w:color w:val="auto"/>
        </w:rPr>
        <w:t>级，大气环境风险评价范围为距离本项目边界3km</w:t>
      </w:r>
    </w:p>
    <w:p>
      <w:pPr>
        <w:pStyle w:val="39"/>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outlineLvl w:val="9"/>
        <w:rPr>
          <w:rFonts w:hint="default" w:ascii="Times New Roman" w:hAnsi="Times New Roman" w:cs="Times New Roman"/>
          <w:color w:val="auto"/>
        </w:rPr>
      </w:pPr>
      <w:r>
        <w:rPr>
          <w:rFonts w:hint="default" w:ascii="Times New Roman" w:hAnsi="Times New Roman" w:cs="Times New Roman"/>
          <w:color w:val="auto"/>
        </w:rPr>
        <w:t>范围内。</w:t>
      </w:r>
    </w:p>
    <w:p>
      <w:pPr>
        <w:pStyle w:val="39"/>
        <w:keepNext w:val="0"/>
        <w:keepLines w:val="0"/>
        <w:pageBreakBefore w:val="0"/>
        <w:widowControl w:val="0"/>
        <w:numPr>
          <w:ilvl w:val="0"/>
          <w:numId w:val="12"/>
        </w:numPr>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default" w:ascii="Times New Roman" w:hAnsi="Times New Roman" w:cs="Times New Roman"/>
          <w:color w:val="auto"/>
          <w:vertAlign w:val="baseline"/>
          <w:lang w:val="en-US" w:eastAsia="zh-CN"/>
        </w:rPr>
      </w:pPr>
      <w:r>
        <w:rPr>
          <w:rFonts w:hint="default" w:ascii="Times New Roman" w:hAnsi="Times New Roman" w:cs="Times New Roman"/>
          <w:color w:val="auto"/>
          <w:lang w:eastAsia="zh-CN"/>
        </w:rPr>
        <w:t>地下水</w:t>
      </w:r>
      <w:r>
        <w:rPr>
          <w:rFonts w:hint="default" w:ascii="Times New Roman" w:hAnsi="Times New Roman" w:cs="Times New Roman"/>
          <w:color w:val="auto"/>
        </w:rPr>
        <w:t>环境风险评价范围</w:t>
      </w:r>
    </w:p>
    <w:p>
      <w:pPr>
        <w:pStyle w:val="3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outlineLvl w:val="9"/>
        <w:rPr>
          <w:rFonts w:hint="default" w:ascii="Times New Roman" w:hAnsi="Times New Roman" w:cs="Times New Roman"/>
          <w:color w:val="auto"/>
          <w:vertAlign w:val="baseline"/>
          <w:lang w:val="en-US" w:eastAsia="zh-CN"/>
        </w:rPr>
      </w:pPr>
      <w:r>
        <w:rPr>
          <w:rFonts w:hint="default" w:ascii="Times New Roman" w:hAnsi="Times New Roman" w:cs="Times New Roman"/>
          <w:color w:val="auto"/>
          <w:lang w:eastAsia="zh-CN"/>
        </w:rPr>
        <w:t>地下水风险评价等级为三级，地下水环</w:t>
      </w:r>
      <w:r>
        <w:rPr>
          <w:rFonts w:hint="default" w:ascii="Times New Roman" w:hAnsi="Times New Roman" w:cs="Times New Roman"/>
          <w:color w:val="auto"/>
        </w:rPr>
        <w:t>境风险评价范围为</w:t>
      </w:r>
      <w:r>
        <w:rPr>
          <w:rFonts w:hint="default" w:ascii="Times New Roman" w:hAnsi="Times New Roman" w:cs="Times New Roman"/>
          <w:color w:val="auto"/>
          <w:lang w:val="en-US" w:eastAsia="zh-CN"/>
        </w:rPr>
        <w:t>6~20km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vertAlign w:val="baseline"/>
          <w:lang w:val="en-US" w:eastAsia="zh-CN"/>
        </w:rPr>
        <w:t>内。</w:t>
      </w:r>
    </w:p>
    <w:p>
      <w:pPr>
        <w:pStyle w:val="39"/>
        <w:keepNext w:val="0"/>
        <w:keepLines w:val="0"/>
        <w:pageBreakBefore w:val="0"/>
        <w:widowControl w:val="0"/>
        <w:numPr>
          <w:ilvl w:val="0"/>
          <w:numId w:val="12"/>
        </w:numPr>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default" w:ascii="Times New Roman" w:hAnsi="Times New Roman" w:cs="Times New Roman"/>
          <w:color w:val="auto"/>
          <w:vertAlign w:val="baseline"/>
          <w:lang w:val="en-US" w:eastAsia="zh-CN"/>
        </w:rPr>
      </w:pPr>
      <w:r>
        <w:rPr>
          <w:rFonts w:hint="default" w:ascii="Times New Roman" w:hAnsi="Times New Roman" w:cs="Times New Roman"/>
          <w:color w:val="auto"/>
          <w:lang w:eastAsia="zh-CN"/>
        </w:rPr>
        <w:t>地表水</w:t>
      </w:r>
      <w:r>
        <w:rPr>
          <w:rFonts w:hint="default" w:ascii="Times New Roman" w:hAnsi="Times New Roman" w:cs="Times New Roman"/>
          <w:color w:val="auto"/>
        </w:rPr>
        <w:t>环境风险评价范围</w:t>
      </w:r>
    </w:p>
    <w:p>
      <w:pPr>
        <w:pStyle w:val="3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outlineLvl w:val="9"/>
        <w:rPr>
          <w:rFonts w:hint="default" w:ascii="Times New Roman" w:hAnsi="Times New Roman" w:cs="Times New Roman"/>
          <w:color w:val="auto"/>
          <w:vertAlign w:val="baseline"/>
          <w:lang w:val="en-US" w:eastAsia="zh-CN"/>
        </w:rPr>
      </w:pPr>
      <w:r>
        <w:rPr>
          <w:rFonts w:hint="default" w:ascii="Times New Roman" w:hAnsi="Times New Roman" w:cs="Times New Roman"/>
          <w:color w:val="auto"/>
        </w:rPr>
        <w:t>废水排入</w:t>
      </w:r>
      <w:r>
        <w:rPr>
          <w:rFonts w:hint="default" w:ascii="Times New Roman" w:hAnsi="Times New Roman" w:cs="Times New Roman"/>
          <w:color w:val="auto"/>
          <w:lang w:val="en-US" w:eastAsia="zh-CN"/>
        </w:rPr>
        <w:t>巴陵</w:t>
      </w:r>
      <w:r>
        <w:rPr>
          <w:rFonts w:hint="default" w:ascii="Times New Roman" w:hAnsi="Times New Roman" w:cs="Times New Roman"/>
          <w:color w:val="auto"/>
        </w:rPr>
        <w:t>污水处理厂工业废水处理，不直接外排地表水体，不对地表水环境进行相应的敏感程度分级。</w:t>
      </w:r>
    </w:p>
    <w:p>
      <w:pPr>
        <w:pStyle w:val="5"/>
        <w:keepNext w:val="0"/>
        <w:keepLines w:val="0"/>
        <w:pageBreakBefore w:val="0"/>
        <w:widowControl w:val="0"/>
        <w:numPr>
          <w:ilvl w:val="2"/>
          <w:numId w:val="0"/>
        </w:numPr>
        <w:kinsoku/>
        <w:wordWrap/>
        <w:overflowPunct/>
        <w:topLinePunct w:val="0"/>
        <w:autoSpaceDE/>
        <w:autoSpaceDN/>
        <w:bidi w:val="0"/>
        <w:adjustRightInd w:val="0"/>
        <w:snapToGrid w:val="0"/>
        <w:spacing w:before="0" w:beforeLines="0" w:after="0" w:afterLines="0" w:line="360" w:lineRule="auto"/>
        <w:ind w:leftChars="0"/>
        <w:jc w:val="left"/>
        <w:textAlignment w:val="auto"/>
        <w:rPr>
          <w:rFonts w:hint="default" w:ascii="Times New Roman" w:hAnsi="Times New Roman" w:cs="Times New Roman"/>
          <w:color w:val="auto"/>
        </w:rPr>
      </w:pPr>
      <w:bookmarkStart w:id="562" w:name="_Toc24757"/>
      <w:bookmarkStart w:id="563" w:name="_Toc13903"/>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r>
        <w:rPr>
          <w:rFonts w:hint="default" w:ascii="Times New Roman" w:hAnsi="Times New Roman" w:cs="Times New Roman"/>
          <w:color w:val="auto"/>
        </w:rPr>
        <w:t>环境</w:t>
      </w:r>
      <w:bookmarkEnd w:id="562"/>
      <w:r>
        <w:rPr>
          <w:rFonts w:hint="default" w:ascii="Times New Roman" w:hAnsi="Times New Roman" w:cs="Times New Roman"/>
          <w:color w:val="auto"/>
          <w:lang w:eastAsia="zh-CN"/>
        </w:rPr>
        <w:t>风险保护目标</w:t>
      </w:r>
      <w:bookmarkEnd w:id="563"/>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根据《建设项目环境风险评价技术导则》（HJ/169-2018）相关要求，通过对评价范围内大气环境、地表水环境、地下水环境可能受影响的环境敏感目标进行调查。项目周围主要环境敏感目标分布情况见下表</w:t>
      </w:r>
      <w:r>
        <w:rPr>
          <w:rFonts w:hint="default" w:ascii="Times New Roman" w:hAnsi="Times New Roman" w:cs="Times New Roman"/>
          <w:color w:val="auto"/>
          <w:lang w:val="en-US" w:eastAsia="zh-CN"/>
        </w:rPr>
        <w:t xml:space="preserve"> 7-12</w:t>
      </w:r>
      <w:r>
        <w:rPr>
          <w:rFonts w:hint="default" w:ascii="Times New Roman" w:hAnsi="Times New Roman" w:cs="Times New Roman"/>
          <w:color w:val="auto"/>
        </w:rPr>
        <w:t>。</w:t>
      </w:r>
    </w:p>
    <w:p>
      <w:pPr>
        <w:pStyle w:val="1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lang w:val="en-US" w:eastAsia="zh-CN"/>
        </w:rPr>
        <w:t>2</w:t>
      </w:r>
      <w:r>
        <w:rPr>
          <w:rFonts w:hint="default" w:ascii="Times New Roman" w:hAnsi="Times New Roman" w:cs="Times New Roman"/>
          <w:color w:val="auto"/>
        </w:rPr>
        <w:fldChar w:fldCharType="end"/>
      </w:r>
      <w:r>
        <w:rPr>
          <w:rFonts w:hint="default" w:ascii="Times New Roman" w:hAnsi="Times New Roman" w:cs="Times New Roman"/>
          <w:color w:val="auto"/>
        </w:rPr>
        <w:t>环境风险保护目标</w:t>
      </w:r>
    </w:p>
    <w:tbl>
      <w:tblPr>
        <w:tblStyle w:val="24"/>
        <w:tblpPr w:leftFromText="180" w:rightFromText="180" w:vertAnchor="text" w:horzAnchor="page" w:tblpX="1326" w:tblpY="169"/>
        <w:tblOverlap w:val="never"/>
        <w:tblW w:w="925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10"/>
        <w:gridCol w:w="1530"/>
        <w:gridCol w:w="1335"/>
        <w:gridCol w:w="1305"/>
        <w:gridCol w:w="885"/>
        <w:gridCol w:w="810"/>
        <w:gridCol w:w="1440"/>
        <w:gridCol w:w="14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510"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w:t>
            </w:r>
          </w:p>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号</w:t>
            </w:r>
          </w:p>
        </w:tc>
        <w:tc>
          <w:tcPr>
            <w:tcW w:w="1530"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2640" w:type="dxa"/>
            <w:gridSpan w:val="2"/>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中心经纬度坐标</w:t>
            </w:r>
          </w:p>
        </w:tc>
        <w:tc>
          <w:tcPr>
            <w:tcW w:w="885"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保护</w:t>
            </w:r>
          </w:p>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对象</w:t>
            </w:r>
          </w:p>
        </w:tc>
        <w:tc>
          <w:tcPr>
            <w:tcW w:w="810"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保护</w:t>
            </w:r>
          </w:p>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内容</w:t>
            </w:r>
          </w:p>
        </w:tc>
        <w:tc>
          <w:tcPr>
            <w:tcW w:w="1440"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人口数</w:t>
            </w:r>
          </w:p>
        </w:tc>
        <w:tc>
          <w:tcPr>
            <w:tcW w:w="1440"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相对厂址方位</w:t>
            </w:r>
            <w:r>
              <w:rPr>
                <w:rFonts w:hint="default" w:ascii="Times New Roman" w:hAnsi="Times New Roman" w:cs="Times New Roman"/>
                <w:color w:val="auto"/>
                <w:sz w:val="21"/>
                <w:szCs w:val="21"/>
                <w:lang w:val="en-US" w:eastAsia="zh-CN"/>
              </w:rPr>
              <w:t>及距离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5" w:hRule="atLeast"/>
        </w:trPr>
        <w:tc>
          <w:tcPr>
            <w:tcW w:w="510"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1530"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133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X</w:t>
            </w:r>
          </w:p>
        </w:tc>
        <w:tc>
          <w:tcPr>
            <w:tcW w:w="130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Y</w:t>
            </w:r>
          </w:p>
        </w:tc>
        <w:tc>
          <w:tcPr>
            <w:tcW w:w="885"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810"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1440"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c>
          <w:tcPr>
            <w:tcW w:w="1440"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51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53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刘家冲居民点</w:t>
            </w:r>
          </w:p>
        </w:tc>
        <w:tc>
          <w:tcPr>
            <w:tcW w:w="133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113.313754°</w:t>
            </w:r>
          </w:p>
        </w:tc>
        <w:tc>
          <w:tcPr>
            <w:tcW w:w="130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29.500443°</w:t>
            </w:r>
          </w:p>
        </w:tc>
        <w:tc>
          <w:tcPr>
            <w:tcW w:w="88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居住</w:t>
            </w:r>
          </w:p>
        </w:tc>
        <w:tc>
          <w:tcPr>
            <w:tcW w:w="81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村民</w:t>
            </w:r>
          </w:p>
        </w:tc>
        <w:tc>
          <w:tcPr>
            <w:tcW w:w="144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30户左右</w:t>
            </w:r>
          </w:p>
        </w:tc>
        <w:tc>
          <w:tcPr>
            <w:tcW w:w="144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东北面</w:t>
            </w:r>
          </w:p>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2550m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51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53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白家冲居民点</w:t>
            </w:r>
          </w:p>
        </w:tc>
        <w:tc>
          <w:tcPr>
            <w:tcW w:w="133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113.307529°</w:t>
            </w:r>
          </w:p>
        </w:tc>
        <w:tc>
          <w:tcPr>
            <w:tcW w:w="130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29.502127°</w:t>
            </w:r>
          </w:p>
        </w:tc>
        <w:tc>
          <w:tcPr>
            <w:tcW w:w="88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居住</w:t>
            </w:r>
          </w:p>
        </w:tc>
        <w:tc>
          <w:tcPr>
            <w:tcW w:w="81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村民</w:t>
            </w:r>
          </w:p>
        </w:tc>
        <w:tc>
          <w:tcPr>
            <w:tcW w:w="144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18户左右</w:t>
            </w:r>
          </w:p>
        </w:tc>
        <w:tc>
          <w:tcPr>
            <w:tcW w:w="144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北面</w:t>
            </w:r>
          </w:p>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51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53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孙李冲居民点</w:t>
            </w:r>
          </w:p>
        </w:tc>
        <w:tc>
          <w:tcPr>
            <w:tcW w:w="133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113.292788°</w:t>
            </w:r>
          </w:p>
        </w:tc>
        <w:tc>
          <w:tcPr>
            <w:tcW w:w="130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29.494032°</w:t>
            </w:r>
          </w:p>
        </w:tc>
        <w:tc>
          <w:tcPr>
            <w:tcW w:w="88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居住</w:t>
            </w:r>
          </w:p>
        </w:tc>
        <w:tc>
          <w:tcPr>
            <w:tcW w:w="81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村民</w:t>
            </w:r>
          </w:p>
        </w:tc>
        <w:tc>
          <w:tcPr>
            <w:tcW w:w="144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30户左右</w:t>
            </w:r>
          </w:p>
        </w:tc>
        <w:tc>
          <w:tcPr>
            <w:tcW w:w="144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东北面</w:t>
            </w:r>
          </w:p>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2430m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51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153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青坡社区</w:t>
            </w:r>
          </w:p>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居民点</w:t>
            </w:r>
          </w:p>
        </w:tc>
        <w:tc>
          <w:tcPr>
            <w:tcW w:w="133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113.299436°</w:t>
            </w:r>
          </w:p>
        </w:tc>
        <w:tc>
          <w:tcPr>
            <w:tcW w:w="130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29.487615°</w:t>
            </w:r>
          </w:p>
        </w:tc>
        <w:tc>
          <w:tcPr>
            <w:tcW w:w="88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居住</w:t>
            </w:r>
          </w:p>
        </w:tc>
        <w:tc>
          <w:tcPr>
            <w:tcW w:w="81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村民</w:t>
            </w:r>
          </w:p>
        </w:tc>
        <w:tc>
          <w:tcPr>
            <w:tcW w:w="144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300户左右</w:t>
            </w:r>
          </w:p>
        </w:tc>
        <w:tc>
          <w:tcPr>
            <w:tcW w:w="144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西北面</w:t>
            </w:r>
          </w:p>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1020</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1700m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51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153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八一村居民点</w:t>
            </w:r>
          </w:p>
        </w:tc>
        <w:tc>
          <w:tcPr>
            <w:tcW w:w="133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113.281021°</w:t>
            </w:r>
          </w:p>
        </w:tc>
        <w:tc>
          <w:tcPr>
            <w:tcW w:w="130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29.484339°</w:t>
            </w:r>
          </w:p>
        </w:tc>
        <w:tc>
          <w:tcPr>
            <w:tcW w:w="88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居住</w:t>
            </w:r>
          </w:p>
        </w:tc>
        <w:tc>
          <w:tcPr>
            <w:tcW w:w="81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村民</w:t>
            </w:r>
          </w:p>
        </w:tc>
        <w:tc>
          <w:tcPr>
            <w:tcW w:w="144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20户左右</w:t>
            </w:r>
          </w:p>
        </w:tc>
        <w:tc>
          <w:tcPr>
            <w:tcW w:w="144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西北面2850m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51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153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巴陵石化岳化</w:t>
            </w:r>
          </w:p>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社区</w:t>
            </w:r>
          </w:p>
        </w:tc>
        <w:tc>
          <w:tcPr>
            <w:tcW w:w="133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113.287665°</w:t>
            </w:r>
          </w:p>
        </w:tc>
        <w:tc>
          <w:tcPr>
            <w:tcW w:w="130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29.471546°</w:t>
            </w:r>
          </w:p>
        </w:tc>
        <w:tc>
          <w:tcPr>
            <w:tcW w:w="88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居住</w:t>
            </w:r>
          </w:p>
        </w:tc>
        <w:tc>
          <w:tcPr>
            <w:tcW w:w="81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村民</w:t>
            </w:r>
          </w:p>
        </w:tc>
        <w:tc>
          <w:tcPr>
            <w:tcW w:w="144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800户左右</w:t>
            </w:r>
          </w:p>
        </w:tc>
        <w:tc>
          <w:tcPr>
            <w:tcW w:w="144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西南面2800m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51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153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巴陵石化</w:t>
            </w:r>
          </w:p>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办公大楼</w:t>
            </w:r>
          </w:p>
        </w:tc>
        <w:tc>
          <w:tcPr>
            <w:tcW w:w="133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113.306536°</w:t>
            </w:r>
          </w:p>
        </w:tc>
        <w:tc>
          <w:tcPr>
            <w:tcW w:w="130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29.473719°</w:t>
            </w:r>
          </w:p>
        </w:tc>
        <w:tc>
          <w:tcPr>
            <w:tcW w:w="88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办公</w:t>
            </w:r>
          </w:p>
        </w:tc>
        <w:tc>
          <w:tcPr>
            <w:tcW w:w="81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办公人员</w:t>
            </w:r>
          </w:p>
        </w:tc>
        <w:tc>
          <w:tcPr>
            <w:tcW w:w="144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约500人</w:t>
            </w:r>
          </w:p>
        </w:tc>
        <w:tc>
          <w:tcPr>
            <w:tcW w:w="144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西南面</w:t>
            </w:r>
          </w:p>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51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153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机关住宅区</w:t>
            </w:r>
          </w:p>
        </w:tc>
        <w:tc>
          <w:tcPr>
            <w:tcW w:w="133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113.297369°</w:t>
            </w:r>
          </w:p>
        </w:tc>
        <w:tc>
          <w:tcPr>
            <w:tcW w:w="130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29.471252°</w:t>
            </w:r>
          </w:p>
        </w:tc>
        <w:tc>
          <w:tcPr>
            <w:tcW w:w="88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居住</w:t>
            </w:r>
          </w:p>
        </w:tc>
        <w:tc>
          <w:tcPr>
            <w:tcW w:w="81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村民</w:t>
            </w:r>
          </w:p>
        </w:tc>
        <w:tc>
          <w:tcPr>
            <w:tcW w:w="144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300户左右</w:t>
            </w:r>
          </w:p>
        </w:tc>
        <w:tc>
          <w:tcPr>
            <w:tcW w:w="144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西南面</w:t>
            </w:r>
          </w:p>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51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w:t>
            </w:r>
          </w:p>
        </w:tc>
        <w:tc>
          <w:tcPr>
            <w:tcW w:w="153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镇龙村居民点</w:t>
            </w:r>
          </w:p>
        </w:tc>
        <w:tc>
          <w:tcPr>
            <w:tcW w:w="133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113.294625°</w:t>
            </w:r>
          </w:p>
        </w:tc>
        <w:tc>
          <w:tcPr>
            <w:tcW w:w="130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29.468349°</w:t>
            </w:r>
          </w:p>
        </w:tc>
        <w:tc>
          <w:tcPr>
            <w:tcW w:w="88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居住</w:t>
            </w:r>
          </w:p>
        </w:tc>
        <w:tc>
          <w:tcPr>
            <w:tcW w:w="81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村民</w:t>
            </w:r>
          </w:p>
        </w:tc>
        <w:tc>
          <w:tcPr>
            <w:tcW w:w="144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500户左右</w:t>
            </w:r>
          </w:p>
        </w:tc>
        <w:tc>
          <w:tcPr>
            <w:tcW w:w="144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w:t>
            </w:r>
            <w:r>
              <w:rPr>
                <w:rFonts w:hint="default" w:ascii="Times New Roman" w:hAnsi="Times New Roman" w:cs="Times New Roman"/>
                <w:color w:val="auto"/>
                <w:sz w:val="21"/>
                <w:szCs w:val="21"/>
                <w:lang w:val="en-US" w:eastAsia="zh-CN"/>
              </w:rPr>
              <w:t>南</w:t>
            </w:r>
            <w:r>
              <w:rPr>
                <w:rFonts w:hint="default" w:ascii="Times New Roman" w:hAnsi="Times New Roman" w:cs="Times New Roman"/>
                <w:color w:val="auto"/>
                <w:sz w:val="21"/>
                <w:szCs w:val="21"/>
              </w:rPr>
              <w:t>面</w:t>
            </w:r>
          </w:p>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1700~</w:t>
            </w:r>
            <w:r>
              <w:rPr>
                <w:rFonts w:hint="default" w:ascii="Times New Roman" w:hAnsi="Times New Roman" w:cs="Times New Roman"/>
                <w:color w:val="auto"/>
                <w:sz w:val="21"/>
                <w:szCs w:val="21"/>
              </w:rPr>
              <w:t>2</w:t>
            </w:r>
            <w:r>
              <w:rPr>
                <w:rFonts w:hint="default" w:ascii="Times New Roman" w:hAnsi="Times New Roman" w:cs="Times New Roman"/>
                <w:color w:val="auto"/>
                <w:sz w:val="21"/>
                <w:szCs w:val="21"/>
                <w:lang w:val="en-US" w:eastAsia="zh-CN"/>
              </w:rPr>
              <w:t>200</w:t>
            </w:r>
            <w:r>
              <w:rPr>
                <w:rFonts w:hint="default" w:ascii="Times New Roman" w:hAnsi="Times New Roman" w:cs="Times New Roman"/>
                <w:color w:val="auto"/>
                <w:sz w:val="21"/>
                <w:szCs w:val="21"/>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51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153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金盆社区二区</w:t>
            </w:r>
          </w:p>
        </w:tc>
        <w:tc>
          <w:tcPr>
            <w:tcW w:w="133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113.293792°</w:t>
            </w:r>
          </w:p>
        </w:tc>
        <w:tc>
          <w:tcPr>
            <w:tcW w:w="130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29.462808°</w:t>
            </w:r>
          </w:p>
        </w:tc>
        <w:tc>
          <w:tcPr>
            <w:tcW w:w="88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居住</w:t>
            </w:r>
          </w:p>
        </w:tc>
        <w:tc>
          <w:tcPr>
            <w:tcW w:w="81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村民</w:t>
            </w:r>
          </w:p>
        </w:tc>
        <w:tc>
          <w:tcPr>
            <w:tcW w:w="144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400户左右</w:t>
            </w:r>
          </w:p>
        </w:tc>
        <w:tc>
          <w:tcPr>
            <w:tcW w:w="144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西南面</w:t>
            </w:r>
          </w:p>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2460</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2600m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51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w:t>
            </w:r>
          </w:p>
        </w:tc>
        <w:tc>
          <w:tcPr>
            <w:tcW w:w="153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黄金坳居民点</w:t>
            </w:r>
          </w:p>
        </w:tc>
        <w:tc>
          <w:tcPr>
            <w:tcW w:w="133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113.300345°</w:t>
            </w:r>
          </w:p>
        </w:tc>
        <w:tc>
          <w:tcPr>
            <w:tcW w:w="130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p>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29.455145°</w:t>
            </w:r>
          </w:p>
        </w:tc>
        <w:tc>
          <w:tcPr>
            <w:tcW w:w="88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居住</w:t>
            </w:r>
          </w:p>
        </w:tc>
        <w:tc>
          <w:tcPr>
            <w:tcW w:w="81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村民</w:t>
            </w:r>
          </w:p>
        </w:tc>
        <w:tc>
          <w:tcPr>
            <w:tcW w:w="144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22户左右</w:t>
            </w:r>
          </w:p>
        </w:tc>
        <w:tc>
          <w:tcPr>
            <w:tcW w:w="144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南面</w:t>
            </w:r>
          </w:p>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2750m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51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c>
          <w:tcPr>
            <w:tcW w:w="153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象形湾居民点</w:t>
            </w:r>
          </w:p>
        </w:tc>
        <w:tc>
          <w:tcPr>
            <w:tcW w:w="133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113.330188°</w:t>
            </w:r>
          </w:p>
        </w:tc>
        <w:tc>
          <w:tcPr>
            <w:tcW w:w="130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29.475835°</w:t>
            </w:r>
          </w:p>
        </w:tc>
        <w:tc>
          <w:tcPr>
            <w:tcW w:w="88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居住</w:t>
            </w:r>
          </w:p>
        </w:tc>
        <w:tc>
          <w:tcPr>
            <w:tcW w:w="81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村民</w:t>
            </w:r>
          </w:p>
        </w:tc>
        <w:tc>
          <w:tcPr>
            <w:tcW w:w="144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15户左右</w:t>
            </w:r>
          </w:p>
        </w:tc>
        <w:tc>
          <w:tcPr>
            <w:tcW w:w="144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东南面</w:t>
            </w:r>
          </w:p>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2018m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51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w:t>
            </w:r>
          </w:p>
        </w:tc>
        <w:tc>
          <w:tcPr>
            <w:tcW w:w="153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双花村居民点</w:t>
            </w:r>
          </w:p>
        </w:tc>
        <w:tc>
          <w:tcPr>
            <w:tcW w:w="133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113.336341°</w:t>
            </w:r>
          </w:p>
        </w:tc>
        <w:tc>
          <w:tcPr>
            <w:tcW w:w="130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29.469640°</w:t>
            </w:r>
          </w:p>
        </w:tc>
        <w:tc>
          <w:tcPr>
            <w:tcW w:w="885"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居住</w:t>
            </w:r>
          </w:p>
        </w:tc>
        <w:tc>
          <w:tcPr>
            <w:tcW w:w="81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村民</w:t>
            </w:r>
          </w:p>
        </w:tc>
        <w:tc>
          <w:tcPr>
            <w:tcW w:w="144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30户左右</w:t>
            </w:r>
          </w:p>
        </w:tc>
        <w:tc>
          <w:tcPr>
            <w:tcW w:w="1440" w:type="dxa"/>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东南面</w:t>
            </w:r>
          </w:p>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2700m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65" w:hRule="atLeast"/>
        </w:trPr>
        <w:tc>
          <w:tcPr>
            <w:tcW w:w="9255" w:type="dxa"/>
            <w:gridSpan w:val="8"/>
            <w:tcBorders>
              <w:tl2br w:val="nil"/>
              <w:tr2bl w:val="nil"/>
            </w:tcBorders>
            <w:vAlign w:val="center"/>
          </w:tcPr>
          <w:p>
            <w:pPr>
              <w:pStyle w:val="40"/>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注：本项目事故情况下废水不直接排入外环境水体，不涉及地表水环境风险。</w:t>
            </w:r>
          </w:p>
        </w:tc>
      </w:tr>
    </w:tbl>
    <w:p>
      <w:pPr>
        <w:pStyle w:val="4"/>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outlineLvl w:val="1"/>
        <w:rPr>
          <w:rFonts w:hint="default" w:ascii="Times New Roman" w:hAnsi="Times New Roman" w:cs="Times New Roman"/>
          <w:color w:val="auto"/>
        </w:rPr>
      </w:pPr>
      <w:bookmarkStart w:id="564" w:name="_Toc32624"/>
      <w:r>
        <w:rPr>
          <w:rFonts w:hint="default" w:ascii="Times New Roman" w:hAnsi="Times New Roman" w:cs="Times New Roman"/>
          <w:color w:val="auto"/>
        </w:rPr>
        <w:t>风险分析内容概况</w:t>
      </w:r>
      <w:bookmarkEnd w:id="564"/>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建设项目环境影响风险简单分析内容如下表所示。</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项目名称：</w:t>
      </w:r>
      <w:r>
        <w:rPr>
          <w:rFonts w:hint="default" w:ascii="Times New Roman" w:hAnsi="Times New Roman" w:cs="Times New Roman"/>
          <w:color w:val="auto"/>
        </w:rPr>
        <w:t>500吨/年加氢催化剂生产项目</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（2）建设单位：岳阳鑫达实业有限公司</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（3）建设地点：湖南岳阳绿色化工产业园云溪片区-巴陵石化公司工业区岳阳鑫达现</w:t>
      </w:r>
      <w:r>
        <w:rPr>
          <w:rFonts w:hint="default" w:ascii="Times New Roman" w:hAnsi="Times New Roman" w:cs="Times New Roman"/>
          <w:color w:val="auto"/>
          <w:highlight w:val="none"/>
        </w:rPr>
        <w:t>有厂区内，中心地理坐标为：北纬29.479582°，东经113.309183°（具体位置见附图1）</w:t>
      </w:r>
      <w:r>
        <w:rPr>
          <w:rFonts w:hint="default" w:ascii="Times New Roman" w:hAnsi="Times New Roman" w:cs="Times New Roman"/>
          <w:color w:val="auto"/>
          <w:highlight w:val="none"/>
          <w:lang w:eastAsia="zh-CN"/>
        </w:rPr>
        <w:t>。</w:t>
      </w:r>
    </w:p>
    <w:p>
      <w:pPr>
        <w:pStyle w:val="1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12</w:t>
      </w:r>
      <w:r>
        <w:rPr>
          <w:rFonts w:hint="default" w:ascii="Times New Roman" w:hAnsi="Times New Roman" w:cs="Times New Roman"/>
          <w:color w:val="auto"/>
        </w:rPr>
        <w:fldChar w:fldCharType="end"/>
      </w:r>
      <w:r>
        <w:rPr>
          <w:rFonts w:hint="default" w:ascii="Times New Roman" w:hAnsi="Times New Roman" w:cs="Times New Roman"/>
          <w:color w:val="auto"/>
        </w:rPr>
        <w:t>建设项目环境风险简单分析内容表</w:t>
      </w:r>
    </w:p>
    <w:tbl>
      <w:tblPr>
        <w:tblStyle w:val="24"/>
        <w:tblW w:w="902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537"/>
        <w:gridCol w:w="1440"/>
        <w:gridCol w:w="2205"/>
        <w:gridCol w:w="1575"/>
        <w:gridCol w:w="226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5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建设项目名称</w:t>
            </w:r>
          </w:p>
        </w:tc>
        <w:tc>
          <w:tcPr>
            <w:tcW w:w="7485" w:type="dxa"/>
            <w:gridSpan w:val="4"/>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500吨/年加氢催化剂生产项目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15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建设地点</w:t>
            </w:r>
          </w:p>
        </w:tc>
        <w:tc>
          <w:tcPr>
            <w:tcW w:w="7485" w:type="dxa"/>
            <w:gridSpan w:val="4"/>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湖南省岳阳市云溪区湖南绿色化工产业园云溪片区巴陵石化公司工业区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15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地理坐标</w:t>
            </w:r>
          </w:p>
        </w:tc>
        <w:tc>
          <w:tcPr>
            <w:tcW w:w="144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经度</w:t>
            </w:r>
          </w:p>
        </w:tc>
        <w:tc>
          <w:tcPr>
            <w:tcW w:w="220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113.309183°</w:t>
            </w:r>
          </w:p>
        </w:tc>
        <w:tc>
          <w:tcPr>
            <w:tcW w:w="157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纬度</w:t>
            </w:r>
          </w:p>
        </w:tc>
        <w:tc>
          <w:tcPr>
            <w:tcW w:w="226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29.479582°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85" w:hRule="atLeast"/>
          <w:jc w:val="center"/>
        </w:trPr>
        <w:tc>
          <w:tcPr>
            <w:tcW w:w="15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主要危害物质 及分布</w:t>
            </w:r>
          </w:p>
        </w:tc>
        <w:tc>
          <w:tcPr>
            <w:tcW w:w="7485" w:type="dxa"/>
            <w:gridSpan w:val="4"/>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环己烷</w:t>
            </w:r>
            <w:r>
              <w:rPr>
                <w:rFonts w:hint="default" w:ascii="Times New Roman" w:hAnsi="Times New Roman" w:cs="Times New Roman"/>
                <w:color w:val="auto"/>
                <w:sz w:val="21"/>
                <w:szCs w:val="21"/>
              </w:rPr>
              <w:t>储罐位于储罐区；</w:t>
            </w:r>
            <w:r>
              <w:rPr>
                <w:rFonts w:hint="default" w:ascii="Times New Roman" w:hAnsi="Times New Roman" w:cs="Times New Roman"/>
                <w:color w:val="auto"/>
                <w:sz w:val="21"/>
                <w:szCs w:val="21"/>
                <w:lang w:val="en-US" w:eastAsia="zh-CN"/>
              </w:rPr>
              <w:t>原料</w:t>
            </w:r>
            <w:r>
              <w:rPr>
                <w:rFonts w:hint="default" w:ascii="Times New Roman" w:hAnsi="Times New Roman" w:cs="Times New Roman"/>
                <w:color w:val="auto"/>
                <w:sz w:val="21"/>
                <w:szCs w:val="21"/>
              </w:rPr>
              <w:t>仓库内分布</w:t>
            </w:r>
            <w:r>
              <w:rPr>
                <w:rFonts w:hint="default" w:ascii="Times New Roman" w:hAnsi="Times New Roman" w:cs="Times New Roman"/>
                <w:color w:val="auto"/>
                <w:sz w:val="21"/>
                <w:szCs w:val="21"/>
                <w:lang w:val="en-US" w:eastAsia="zh-CN"/>
              </w:rPr>
              <w:t>硝酸镍</w:t>
            </w:r>
            <w:r>
              <w:rPr>
                <w:rFonts w:hint="default" w:ascii="Times New Roman" w:hAnsi="Times New Roman" w:cs="Times New Roman"/>
                <w:color w:val="auto"/>
                <w:sz w:val="21"/>
                <w:szCs w:val="21"/>
              </w:rPr>
              <w:t>等危险有机化学品；污水处理站内含</w:t>
            </w:r>
            <w:r>
              <w:rPr>
                <w:rFonts w:hint="default" w:ascii="Times New Roman" w:hAnsi="Times New Roman" w:cs="Times New Roman"/>
                <w:color w:val="auto"/>
                <w:sz w:val="21"/>
                <w:szCs w:val="21"/>
                <w:lang w:val="en-US" w:eastAsia="zh-CN"/>
              </w:rPr>
              <w:t>镍</w:t>
            </w:r>
            <w:r>
              <w:rPr>
                <w:rFonts w:hint="default" w:ascii="Times New Roman" w:hAnsi="Times New Roman" w:cs="Times New Roman"/>
                <w:color w:val="auto"/>
                <w:sz w:val="21"/>
                <w:szCs w:val="21"/>
              </w:rPr>
              <w:t>废水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00" w:hRule="atLeast"/>
          <w:jc w:val="center"/>
        </w:trPr>
        <w:tc>
          <w:tcPr>
            <w:tcW w:w="15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环境影响途经</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及危害后果</w:t>
            </w:r>
          </w:p>
        </w:tc>
        <w:tc>
          <w:tcPr>
            <w:tcW w:w="7485" w:type="dxa"/>
            <w:gridSpan w:val="4"/>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仓储区和生产区如果发生物料泄漏事故，挥发性物料排入大气，影响环境空气保护目标；废液被污水收集沟收集进装置区污水收集池。可燃物料泄漏，引发火灾事故，泄露挥发性物料排入大气，影响环境空气保护目标；废液被污水收集沟收集进装置区污水收集池；发生火灾产生的一氧化碳、烟尘和挥发性有机物造成二次环境污染，影响周边环境空气保护目标；超标废水进入</w:t>
            </w:r>
            <w:r>
              <w:rPr>
                <w:rFonts w:hint="default" w:ascii="Times New Roman" w:hAnsi="Times New Roman" w:cs="Times New Roman"/>
                <w:color w:val="auto"/>
                <w:sz w:val="21"/>
                <w:szCs w:val="21"/>
                <w:lang w:val="en-US" w:eastAsia="zh-CN"/>
              </w:rPr>
              <w:t>巴陵石化</w:t>
            </w:r>
            <w:r>
              <w:rPr>
                <w:rFonts w:hint="default" w:ascii="Times New Roman" w:hAnsi="Times New Roman" w:cs="Times New Roman"/>
                <w:color w:val="auto"/>
                <w:sz w:val="21"/>
                <w:szCs w:val="21"/>
              </w:rPr>
              <w:t>污水处理厂，可能造成一定污染负荷冲击，不直接影响外界水环境</w:t>
            </w:r>
            <w:r>
              <w:rPr>
                <w:rFonts w:hint="default" w:ascii="Times New Roman" w:hAnsi="Times New Roman" w:cs="Times New Roman"/>
                <w:color w:val="auto"/>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0" w:hRule="atLeast"/>
          <w:jc w:val="center"/>
        </w:trPr>
        <w:tc>
          <w:tcPr>
            <w:tcW w:w="1537"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风险防范</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措施要求</w:t>
            </w:r>
          </w:p>
        </w:tc>
        <w:tc>
          <w:tcPr>
            <w:tcW w:w="7485" w:type="dxa"/>
            <w:gridSpan w:val="4"/>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①加强职工的安全教育，提高安全防范风险的意识</w:t>
            </w:r>
            <w:r>
              <w:rPr>
                <w:rFonts w:hint="default" w:ascii="Times New Roman" w:hAnsi="Times New Roman" w:cs="Times New Roman"/>
                <w:color w:val="auto"/>
                <w:sz w:val="21"/>
                <w:szCs w:val="21"/>
                <w:lang w:eastAsia="zh-CN"/>
              </w:rPr>
              <w:t>；</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②针对运营中可能发生的异常现象和存在的安全隐患，设置合理可行的技术措施，制定严格的操作规程</w:t>
            </w:r>
            <w:r>
              <w:rPr>
                <w:rFonts w:hint="default" w:ascii="Times New Roman" w:hAnsi="Times New Roman" w:cs="Times New Roman"/>
                <w:color w:val="auto"/>
                <w:sz w:val="21"/>
                <w:szCs w:val="21"/>
                <w:lang w:eastAsia="zh-CN"/>
              </w:rPr>
              <w:t>；</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③对易发生泄漏的部位实行定期的巡检制度，及时发现问题，尽快解决</w:t>
            </w:r>
            <w:r>
              <w:rPr>
                <w:rFonts w:hint="default" w:ascii="Times New Roman" w:hAnsi="Times New Roman" w:cs="Times New Roman"/>
                <w:color w:val="auto"/>
                <w:sz w:val="21"/>
                <w:szCs w:val="21"/>
                <w:lang w:eastAsia="zh-CN"/>
              </w:rPr>
              <w:t>；</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④严格执行防火、防爆、防雷击、防毒害等各项要求</w:t>
            </w:r>
            <w:r>
              <w:rPr>
                <w:rFonts w:hint="default" w:ascii="Times New Roman" w:hAnsi="Times New Roman" w:cs="Times New Roman"/>
                <w:color w:val="auto"/>
                <w:sz w:val="21"/>
                <w:szCs w:val="21"/>
                <w:lang w:eastAsia="zh-CN"/>
              </w:rPr>
              <w:t>；</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⑤建立健全安全、高效的事故应急反应体系，一旦发生事故，要做到快速、高效、安全处置</w:t>
            </w:r>
            <w:r>
              <w:rPr>
                <w:rFonts w:hint="default" w:ascii="Times New Roman" w:hAnsi="Times New Roman" w:cs="Times New Roman"/>
                <w:color w:val="auto"/>
                <w:sz w:val="21"/>
                <w:szCs w:val="21"/>
                <w:lang w:eastAsia="zh-CN"/>
              </w:rPr>
              <w:t>；</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⑥落实事故废水三级防控体系，按车间级、厂区级、区域级（园区）防控分级建设，做到事故废水不外排，杜绝对园区外界水体造成污染影响</w:t>
            </w:r>
            <w:r>
              <w:rPr>
                <w:rFonts w:hint="default" w:ascii="Times New Roman" w:hAnsi="Times New Roman" w:cs="Times New Roman"/>
                <w:color w:val="auto"/>
                <w:sz w:val="21"/>
                <w:szCs w:val="21"/>
                <w:lang w:eastAsia="zh-CN"/>
              </w:rPr>
              <w:t>；</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⑦在罐区四周设围堰，罐区下游设立污水收集池，以确保泄漏物料不流出界区外污染水体；废物暂存间、罐区和装置区地面均采用防渗透处理，防止废水渗漏而污染地下水。</w:t>
            </w:r>
          </w:p>
        </w:tc>
      </w:tr>
    </w:tbl>
    <w:p>
      <w:pPr>
        <w:pStyle w:val="4"/>
        <w:keepNext/>
        <w:keepLines/>
        <w:pageBreakBefore w:val="0"/>
        <w:widowControl w:val="0"/>
        <w:kinsoku/>
        <w:wordWrap/>
        <w:overflowPunct/>
        <w:topLinePunct w:val="0"/>
        <w:autoSpaceDE/>
        <w:autoSpaceDN/>
        <w:bidi w:val="0"/>
        <w:adjustRightInd/>
        <w:snapToGrid/>
        <w:spacing w:before="157" w:beforeLines="50"/>
        <w:textAlignment w:val="auto"/>
        <w:outlineLvl w:val="1"/>
        <w:rPr>
          <w:rFonts w:hint="default" w:ascii="Times New Roman" w:hAnsi="Times New Roman" w:cs="Times New Roman"/>
          <w:color w:val="auto"/>
        </w:rPr>
      </w:pPr>
      <w:bookmarkStart w:id="565" w:name="_bookmark39"/>
      <w:bookmarkEnd w:id="565"/>
      <w:bookmarkStart w:id="566" w:name="_Toc5032"/>
      <w:bookmarkStart w:id="567" w:name="_Toc9221"/>
      <w:r>
        <w:rPr>
          <w:rFonts w:hint="default" w:ascii="Times New Roman" w:hAnsi="Times New Roman" w:cs="Times New Roman"/>
          <w:color w:val="auto"/>
          <w:lang w:eastAsia="zh-CN"/>
        </w:rPr>
        <w:t>环境</w:t>
      </w:r>
      <w:r>
        <w:rPr>
          <w:rFonts w:hint="default" w:ascii="Times New Roman" w:hAnsi="Times New Roman" w:cs="Times New Roman"/>
          <w:color w:val="auto"/>
        </w:rPr>
        <w:t>风险识别</w:t>
      </w:r>
      <w:bookmarkEnd w:id="566"/>
      <w:bookmarkEnd w:id="567"/>
    </w:p>
    <w:p>
      <w:pPr>
        <w:pStyle w:val="39"/>
        <w:bidi w:val="0"/>
        <w:rPr>
          <w:rFonts w:hint="default" w:ascii="Times New Roman" w:hAnsi="Times New Roman" w:cs="Times New Roman"/>
          <w:color w:val="auto"/>
        </w:rPr>
      </w:pPr>
      <w:r>
        <w:rPr>
          <w:rFonts w:hint="default" w:ascii="Times New Roman" w:hAnsi="Times New Roman" w:cs="Times New Roman"/>
          <w:color w:val="auto"/>
        </w:rPr>
        <w:t>本项目环境风险识别表如下：</w:t>
      </w:r>
    </w:p>
    <w:p>
      <w:pPr>
        <w:pStyle w:val="14"/>
        <w:bidi w:val="0"/>
        <w:rPr>
          <w:rFonts w:hint="default" w:ascii="Times New Roman" w:hAnsi="Times New Roman" w:cs="Times New Roman"/>
          <w:color w:val="auto"/>
        </w:rPr>
      </w:pPr>
    </w:p>
    <w:p>
      <w:pPr>
        <w:pStyle w:val="14"/>
        <w:bidi w:val="0"/>
        <w:rPr>
          <w:rFonts w:hint="default" w:ascii="Times New Roman" w:hAnsi="Times New Roman" w:cs="Times New Roman"/>
          <w:color w:val="auto"/>
        </w:rPr>
      </w:pPr>
    </w:p>
    <w:p>
      <w:pPr>
        <w:pStyle w:val="14"/>
        <w:bidi w:val="0"/>
        <w:rPr>
          <w:rFonts w:hint="default" w:ascii="Times New Roman" w:hAnsi="Times New Roman" w:cs="Times New Roman"/>
          <w:color w:val="auto"/>
        </w:rPr>
      </w:pPr>
    </w:p>
    <w:p>
      <w:pPr>
        <w:pStyle w:val="14"/>
        <w:bidi w:val="0"/>
        <w:rPr>
          <w:rFonts w:hint="default" w:ascii="Times New Roman" w:hAnsi="Times New Roman" w:cs="Times New Roman"/>
          <w:color w:val="auto"/>
        </w:rPr>
      </w:pPr>
    </w:p>
    <w:p>
      <w:pPr>
        <w:pStyle w:val="14"/>
        <w:bidi w:val="0"/>
        <w:rPr>
          <w:rFonts w:hint="default" w:ascii="Times New Roman" w:hAnsi="Times New Roman" w:cs="Times New Roman"/>
          <w:color w:val="auto"/>
        </w:rPr>
      </w:pPr>
    </w:p>
    <w:p>
      <w:pPr>
        <w:pStyle w:val="14"/>
        <w:bidi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13</w:t>
      </w:r>
      <w:r>
        <w:rPr>
          <w:rFonts w:hint="default" w:ascii="Times New Roman" w:hAnsi="Times New Roman" w:cs="Times New Roman"/>
          <w:color w:val="auto"/>
        </w:rPr>
        <w:fldChar w:fldCharType="end"/>
      </w:r>
      <w:r>
        <w:rPr>
          <w:rFonts w:hint="default" w:ascii="Times New Roman" w:hAnsi="Times New Roman" w:cs="Times New Roman"/>
          <w:color w:val="auto"/>
        </w:rPr>
        <w:t>建设项目环境风险识别表</w:t>
      </w:r>
    </w:p>
    <w:tbl>
      <w:tblPr>
        <w:tblStyle w:val="24"/>
        <w:tblW w:w="947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48"/>
        <w:gridCol w:w="1104"/>
        <w:gridCol w:w="1322"/>
        <w:gridCol w:w="1173"/>
        <w:gridCol w:w="1000"/>
        <w:gridCol w:w="1317"/>
        <w:gridCol w:w="1890"/>
        <w:gridCol w:w="111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5" w:hRule="exact"/>
          <w:jc w:val="center"/>
        </w:trPr>
        <w:tc>
          <w:tcPr>
            <w:tcW w:w="548"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10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危险单元</w:t>
            </w:r>
          </w:p>
        </w:tc>
        <w:tc>
          <w:tcPr>
            <w:tcW w:w="1322"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风险源</w:t>
            </w:r>
          </w:p>
        </w:tc>
        <w:tc>
          <w:tcPr>
            <w:tcW w:w="117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主要危险</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物质</w:t>
            </w:r>
          </w:p>
        </w:tc>
        <w:tc>
          <w:tcPr>
            <w:tcW w:w="100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环境风险类型</w:t>
            </w:r>
          </w:p>
        </w:tc>
        <w:tc>
          <w:tcPr>
            <w:tcW w:w="1317"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环境影响</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途径</w:t>
            </w:r>
          </w:p>
        </w:tc>
        <w:tc>
          <w:tcPr>
            <w:tcW w:w="189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可能受影响的</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环境敏感目标</w:t>
            </w:r>
          </w:p>
        </w:tc>
        <w:tc>
          <w:tcPr>
            <w:tcW w:w="1116"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79" w:hRule="exact"/>
          <w:jc w:val="center"/>
        </w:trPr>
        <w:tc>
          <w:tcPr>
            <w:tcW w:w="548"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10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生产车间</w:t>
            </w:r>
          </w:p>
        </w:tc>
        <w:tc>
          <w:tcPr>
            <w:tcW w:w="1322"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反应釜及连接管道</w:t>
            </w:r>
          </w:p>
        </w:tc>
        <w:tc>
          <w:tcPr>
            <w:tcW w:w="117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危险化学 品（</w:t>
            </w:r>
            <w:r>
              <w:rPr>
                <w:rFonts w:hint="default" w:ascii="Times New Roman" w:hAnsi="Times New Roman" w:cs="Times New Roman"/>
                <w:color w:val="auto"/>
                <w:sz w:val="21"/>
                <w:szCs w:val="21"/>
                <w:lang w:val="en-US" w:eastAsia="zh-CN"/>
              </w:rPr>
              <w:t>环己烷</w:t>
            </w:r>
            <w:r>
              <w:rPr>
                <w:rFonts w:hint="default" w:ascii="Times New Roman" w:hAnsi="Times New Roman" w:cs="Times New Roman"/>
                <w:color w:val="auto"/>
                <w:sz w:val="21"/>
                <w:szCs w:val="21"/>
              </w:rPr>
              <w:t>等）</w:t>
            </w:r>
          </w:p>
        </w:tc>
        <w:tc>
          <w:tcPr>
            <w:tcW w:w="100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泄漏</w:t>
            </w:r>
          </w:p>
        </w:tc>
        <w:tc>
          <w:tcPr>
            <w:tcW w:w="1317"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w:t>
            </w:r>
          </w:p>
        </w:tc>
        <w:tc>
          <w:tcPr>
            <w:tcW w:w="189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大气保护目标</w:t>
            </w:r>
          </w:p>
        </w:tc>
        <w:tc>
          <w:tcPr>
            <w:tcW w:w="1116"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泄漏挥发排放，废液收集进事故水系统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77" w:hRule="exact"/>
          <w:jc w:val="center"/>
        </w:trPr>
        <w:tc>
          <w:tcPr>
            <w:tcW w:w="548"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10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储罐区</w:t>
            </w:r>
          </w:p>
        </w:tc>
        <w:tc>
          <w:tcPr>
            <w:tcW w:w="1322"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烷</w:t>
            </w:r>
            <w:r>
              <w:rPr>
                <w:rFonts w:hint="default" w:ascii="Times New Roman" w:hAnsi="Times New Roman" w:cs="Times New Roman"/>
                <w:color w:val="auto"/>
                <w:sz w:val="21"/>
                <w:szCs w:val="21"/>
              </w:rPr>
              <w:t>储罐</w:t>
            </w:r>
          </w:p>
        </w:tc>
        <w:tc>
          <w:tcPr>
            <w:tcW w:w="117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危险化学 品（</w:t>
            </w:r>
            <w:r>
              <w:rPr>
                <w:rFonts w:hint="default" w:ascii="Times New Roman" w:hAnsi="Times New Roman" w:cs="Times New Roman"/>
                <w:color w:val="auto"/>
                <w:sz w:val="21"/>
                <w:szCs w:val="21"/>
                <w:lang w:val="en-US" w:eastAsia="zh-CN"/>
              </w:rPr>
              <w:t>环己烷</w:t>
            </w:r>
            <w:r>
              <w:rPr>
                <w:rFonts w:hint="default" w:ascii="Times New Roman" w:hAnsi="Times New Roman" w:cs="Times New Roman"/>
                <w:color w:val="auto"/>
                <w:sz w:val="21"/>
                <w:szCs w:val="21"/>
              </w:rPr>
              <w:t>）</w:t>
            </w:r>
          </w:p>
        </w:tc>
        <w:tc>
          <w:tcPr>
            <w:tcW w:w="100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泄漏</w:t>
            </w:r>
          </w:p>
        </w:tc>
        <w:tc>
          <w:tcPr>
            <w:tcW w:w="1317"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大气、地下 水、土壤</w:t>
            </w:r>
          </w:p>
        </w:tc>
        <w:tc>
          <w:tcPr>
            <w:tcW w:w="1890"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泄漏后会被围堰收集，不会泄漏到围堰外，采取防渗后基本不影响地下水，泄漏后蒸发可能会影响大气环境保护目标</w:t>
            </w:r>
          </w:p>
        </w:tc>
        <w:tc>
          <w:tcPr>
            <w:tcW w:w="1116"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10" w:hRule="exact"/>
          <w:jc w:val="center"/>
        </w:trPr>
        <w:tc>
          <w:tcPr>
            <w:tcW w:w="548"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10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甲类仓库</w:t>
            </w:r>
          </w:p>
        </w:tc>
        <w:tc>
          <w:tcPr>
            <w:tcW w:w="1322"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镍盐</w:t>
            </w:r>
          </w:p>
        </w:tc>
        <w:tc>
          <w:tcPr>
            <w:tcW w:w="117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危险化学</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品（</w:t>
            </w:r>
            <w:r>
              <w:rPr>
                <w:rFonts w:hint="default" w:ascii="Times New Roman" w:hAnsi="Times New Roman" w:cs="Times New Roman"/>
                <w:color w:val="auto"/>
                <w:sz w:val="21"/>
                <w:szCs w:val="21"/>
                <w:lang w:val="en-US" w:eastAsia="zh-CN"/>
              </w:rPr>
              <w:t>镍盐</w:t>
            </w:r>
            <w:r>
              <w:rPr>
                <w:rFonts w:hint="default" w:ascii="Times New Roman" w:hAnsi="Times New Roman" w:cs="Times New Roman"/>
                <w:color w:val="auto"/>
                <w:sz w:val="21"/>
                <w:szCs w:val="21"/>
              </w:rPr>
              <w:t>）</w:t>
            </w:r>
          </w:p>
        </w:tc>
        <w:tc>
          <w:tcPr>
            <w:tcW w:w="100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泄漏</w:t>
            </w:r>
          </w:p>
        </w:tc>
        <w:tc>
          <w:tcPr>
            <w:tcW w:w="1317"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大气、地下 水、土壤</w:t>
            </w:r>
          </w:p>
        </w:tc>
        <w:tc>
          <w:tcPr>
            <w:tcW w:w="1890"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116"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607" w:hRule="exact"/>
          <w:jc w:val="center"/>
        </w:trPr>
        <w:tc>
          <w:tcPr>
            <w:tcW w:w="548"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1104"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环保系统</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环保设施</w:t>
            </w:r>
          </w:p>
        </w:tc>
        <w:tc>
          <w:tcPr>
            <w:tcW w:w="1322"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废水处理系统</w:t>
            </w:r>
          </w:p>
        </w:tc>
        <w:tc>
          <w:tcPr>
            <w:tcW w:w="1173"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COD等</w:t>
            </w:r>
          </w:p>
        </w:tc>
        <w:tc>
          <w:tcPr>
            <w:tcW w:w="100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超标</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w:t>
            </w:r>
          </w:p>
        </w:tc>
        <w:tc>
          <w:tcPr>
            <w:tcW w:w="1317"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89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16"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进入</w:t>
            </w:r>
            <w:r>
              <w:rPr>
                <w:rFonts w:hint="default" w:ascii="Times New Roman" w:hAnsi="Times New Roman" w:cs="Times New Roman"/>
                <w:color w:val="auto"/>
                <w:sz w:val="21"/>
                <w:szCs w:val="21"/>
                <w:lang w:val="en-US" w:eastAsia="zh-CN"/>
              </w:rPr>
              <w:t>巴陵石化</w:t>
            </w:r>
            <w:r>
              <w:rPr>
                <w:rFonts w:hint="default" w:ascii="Times New Roman" w:hAnsi="Times New Roman" w:cs="Times New Roman"/>
                <w:color w:val="auto"/>
                <w:sz w:val="21"/>
                <w:szCs w:val="21"/>
              </w:rPr>
              <w:t>污水厂，不直接影响水体环境</w:t>
            </w:r>
          </w:p>
        </w:tc>
      </w:tr>
    </w:tbl>
    <w:p>
      <w:pPr>
        <w:pStyle w:val="5"/>
        <w:keepNext w:val="0"/>
        <w:keepLines w:val="0"/>
        <w:pageBreakBefore w:val="0"/>
        <w:widowControl w:val="0"/>
        <w:numPr>
          <w:ilvl w:val="2"/>
          <w:numId w:val="0"/>
        </w:numPr>
        <w:kinsoku/>
        <w:wordWrap/>
        <w:overflowPunct/>
        <w:topLinePunct w:val="0"/>
        <w:autoSpaceDE/>
        <w:autoSpaceDN/>
        <w:bidi w:val="0"/>
        <w:adjustRightInd w:val="0"/>
        <w:snapToGrid w:val="0"/>
        <w:spacing w:before="0" w:beforeLines="0" w:after="0" w:afterLines="0"/>
        <w:ind w:leftChars="0"/>
        <w:jc w:val="left"/>
        <w:textAlignment w:val="auto"/>
        <w:outlineLvl w:val="2"/>
        <w:rPr>
          <w:rFonts w:hint="default" w:ascii="Times New Roman" w:hAnsi="Times New Roman" w:cs="Times New Roman"/>
          <w:color w:val="auto"/>
        </w:rPr>
      </w:pPr>
      <w:bookmarkStart w:id="568" w:name="_Toc30475"/>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outlineLvl w:val="2"/>
        <w:rPr>
          <w:rFonts w:hint="default" w:ascii="Times New Roman" w:hAnsi="Times New Roman" w:cs="Times New Roman"/>
          <w:color w:val="auto"/>
        </w:rPr>
      </w:pPr>
      <w:r>
        <w:rPr>
          <w:rFonts w:hint="default" w:ascii="Times New Roman" w:hAnsi="Times New Roman" w:cs="Times New Roman"/>
          <w:color w:val="auto"/>
        </w:rPr>
        <w:t>空气环境风险影响分析</w:t>
      </w:r>
      <w:bookmarkEnd w:id="568"/>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根据公司现有的环境风险源分析，可能发生对空气环境造成风险影响的环境风险事件为物料</w:t>
      </w:r>
      <w:r>
        <w:rPr>
          <w:rFonts w:hint="default" w:ascii="Times New Roman" w:hAnsi="Times New Roman" w:cs="Times New Roman"/>
          <w:color w:val="auto"/>
          <w:lang w:val="en-US" w:eastAsia="zh-CN"/>
        </w:rPr>
        <w:t>泄露（包括</w:t>
      </w:r>
      <w:r>
        <w:rPr>
          <w:rFonts w:hint="default" w:ascii="Times New Roman" w:hAnsi="Times New Roman" w:cs="Times New Roman"/>
          <w:color w:val="auto"/>
        </w:rPr>
        <w:t>生产设备</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储</w:t>
      </w:r>
      <w:r>
        <w:rPr>
          <w:rFonts w:hint="default" w:ascii="Times New Roman" w:hAnsi="Times New Roman" w:cs="Times New Roman"/>
          <w:color w:val="auto"/>
        </w:rPr>
        <w:t>罐区和仓库区事故状态下发生物料</w:t>
      </w:r>
      <w:r>
        <w:rPr>
          <w:rFonts w:hint="default" w:ascii="Times New Roman" w:hAnsi="Times New Roman" w:cs="Times New Roman"/>
          <w:color w:val="auto"/>
          <w:lang w:val="en-US" w:eastAsia="zh-CN"/>
        </w:rPr>
        <w:t>泄露）、物料</w:t>
      </w:r>
      <w:r>
        <w:rPr>
          <w:rFonts w:hint="default" w:ascii="Times New Roman" w:hAnsi="Times New Roman" w:cs="Times New Roman"/>
          <w:color w:val="auto"/>
        </w:rPr>
        <w:t>发生火灾、爆炸事件产生一氧化碳、烟尘等污染物直接外排等突发环境事件。</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仓储区和生产区如果发生物料泄漏事故，挥发性物料排入大气，可能短期造成局部环境空气质量变差，对空气环境保护目标有一定的影响。为防止项目废气非正常排放对周围环境产生的影响</w:t>
      </w:r>
      <w:r>
        <w:rPr>
          <w:rFonts w:hint="default" w:ascii="Times New Roman" w:hAnsi="Times New Roman" w:cs="Times New Roman"/>
          <w:color w:val="auto"/>
          <w:lang w:eastAsia="zh-CN"/>
        </w:rPr>
        <w:t>，</w:t>
      </w:r>
      <w:r>
        <w:rPr>
          <w:rFonts w:hint="default" w:ascii="Times New Roman" w:hAnsi="Times New Roman" w:cs="Times New Roman"/>
          <w:color w:val="auto"/>
        </w:rPr>
        <w:t>建设单位应加强生产管理、环保设备的维护，定期全面检修一次，每天由专业人员检查生产设备。一旦发现处理设施不能正常运行时，须立即组织人员对于废气处理系统发生故障的情况，应立即停止相关生产环节，并立即请有关技术人员进行维修。当发生物料泄漏、火灾等环境风险事件时，建设单位应按照公司突发环境事件应急预案要求，及时启动应急响应，组织应急处置人员对事故进行控制，将对区域周边环境影响降至最低。发生大型环境风险事件时，应做好应急联动，配合园区管理部门、区政府做好事故处置和善后处置工作。</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rPr>
      </w:pPr>
      <w:bookmarkStart w:id="569" w:name="_Toc14742"/>
      <w:r>
        <w:rPr>
          <w:rFonts w:hint="default" w:ascii="Times New Roman" w:hAnsi="Times New Roman" w:cs="Times New Roman"/>
          <w:color w:val="auto"/>
        </w:rPr>
        <w:t>地表水环境风险影响分析</w:t>
      </w:r>
      <w:bookmarkEnd w:id="569"/>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对地表水存在潜在环境风险的事件为物料泄漏事件，一般情况下会收集在装置区污水收集沟，进厂区内的污水收集池内；发生储罐区泄漏时，一般也会将泄漏液体收集在围堰内或顺储罐区和仓库区周边事故水收集沟进入事故收集池内，不会泄漏出厂区外环境对区域周边自然水体造成影响。</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根据《水体污染防控紧急措施设计导则》中对事故应急池大小的规定：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总</w:t>
      </w: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1</w:t>
      </w: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vertAlign w:val="subscript"/>
          <w:lang w:val="en-US" w:eastAsia="zh-CN" w:bidi="ar-SA"/>
        </w:rPr>
        <w:t>max</w:t>
      </w:r>
      <w:r>
        <w:rPr>
          <w:rFonts w:hint="default" w:ascii="Times New Roman" w:hAnsi="Times New Roman" w:eastAsia="宋体" w:cs="Times New Roman"/>
          <w:color w:val="auto"/>
          <w:kern w:val="2"/>
          <w:sz w:val="24"/>
          <w:szCs w:val="24"/>
          <w:lang w:val="en-US" w:eastAsia="zh-CN" w:bidi="ar-SA"/>
        </w:rPr>
        <w:t>+ V</w:t>
      </w:r>
      <w:r>
        <w:rPr>
          <w:rFonts w:hint="default" w:ascii="Times New Roman" w:hAnsi="Times New Roman" w:eastAsia="宋体" w:cs="Times New Roman"/>
          <w:color w:val="auto"/>
          <w:kern w:val="2"/>
          <w:sz w:val="24"/>
          <w:szCs w:val="24"/>
          <w:vertAlign w:val="subscript"/>
          <w:lang w:val="en-US" w:eastAsia="zh-CN" w:bidi="ar-SA"/>
        </w:rPr>
        <w:t>4</w:t>
      </w: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5</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注：（V</w:t>
      </w:r>
      <w:r>
        <w:rPr>
          <w:rFonts w:hint="default" w:ascii="Times New Roman" w:hAnsi="Times New Roman" w:eastAsia="宋体" w:cs="Times New Roman"/>
          <w:color w:val="auto"/>
          <w:kern w:val="2"/>
          <w:sz w:val="24"/>
          <w:szCs w:val="24"/>
          <w:vertAlign w:val="subscript"/>
          <w:lang w:val="en-US" w:eastAsia="zh-CN" w:bidi="ar-SA"/>
        </w:rPr>
        <w:t>1</w:t>
      </w: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vertAlign w:val="subscript"/>
          <w:lang w:val="en-US" w:eastAsia="zh-CN" w:bidi="ar-SA"/>
        </w:rPr>
        <w:t>max</w:t>
      </w:r>
      <w:r>
        <w:rPr>
          <w:rFonts w:hint="default" w:ascii="Times New Roman" w:hAnsi="Times New Roman" w:eastAsia="宋体" w:cs="Times New Roman"/>
          <w:color w:val="auto"/>
          <w:kern w:val="2"/>
          <w:sz w:val="24"/>
          <w:szCs w:val="24"/>
          <w:lang w:val="en-US" w:eastAsia="zh-CN" w:bidi="ar-SA"/>
        </w:rPr>
        <w:t>是指对收集系统范围内不同罐组或装置分别计算V</w:t>
      </w:r>
      <w:r>
        <w:rPr>
          <w:rFonts w:hint="default" w:ascii="Times New Roman" w:hAnsi="Times New Roman" w:eastAsia="宋体" w:cs="Times New Roman"/>
          <w:color w:val="auto"/>
          <w:kern w:val="2"/>
          <w:sz w:val="24"/>
          <w:szCs w:val="24"/>
          <w:vertAlign w:val="subscript"/>
          <w:lang w:val="en-US" w:eastAsia="zh-CN" w:bidi="ar-SA"/>
        </w:rPr>
        <w:t>1</w:t>
      </w: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3</w:t>
      </w:r>
      <w:r>
        <w:rPr>
          <w:rFonts w:hint="default" w:ascii="Times New Roman" w:hAnsi="Times New Roman" w:eastAsia="宋体" w:cs="Times New Roman"/>
          <w:color w:val="auto"/>
          <w:kern w:val="2"/>
          <w:sz w:val="24"/>
          <w:szCs w:val="24"/>
          <w:lang w:val="en-US" w:eastAsia="zh-CN" w:bidi="ar-SA"/>
        </w:rPr>
        <w:t>，取其中最大值。</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式中：</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1</w:t>
      </w:r>
      <w:r>
        <w:rPr>
          <w:rFonts w:hint="default"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收集系统范围内发生事故的一个罐组或一套装置的物料量，（储存相同物料的罐组按一个最大储罐计，装置物料量按存留最大物料量的一台反应器或中间储罐计），m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；本次计算按发生事故时30min最大泄漏物质储罐区单个泄漏 0.5m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发生事故的建筑物的消防水量，m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本项目建筑物属于甲类厂房的为添加剂生产装置，还有甲类仓库。根据《消防给水及消火栓系统技术规范》（GB50974-2014）中有关规定，按单处发生火灾事故时消火栓设计流量取15L/s，火灾延续时间按3.0h计，则消防水量15L/s×3600s×3h÷1000=162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3</w:t>
      </w:r>
      <w:r>
        <w:rPr>
          <w:rFonts w:hint="default"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发生事故时可以转输到其他储存或处理设施的物料量，m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；项目建成后生产区有污水收集池总容积为200m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，考虑生产时收集的1天废水量5.4m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污水，剩余容积可作为临时储存事故废水用，这里按194m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计。</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4</w:t>
      </w:r>
      <w:r>
        <w:rPr>
          <w:rFonts w:hint="default"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发生事故时仍必须进入该收集系统的生产废水量，m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；在单处发生火灾时，生产区可停产，产生废水量较大的装置区物料可在各个反应釜和中间罐区暂存，不外排废水量；</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V</w:t>
      </w:r>
      <w:r>
        <w:rPr>
          <w:rFonts w:hint="default" w:ascii="Times New Roman" w:hAnsi="Times New Roman" w:eastAsia="宋体" w:cs="Times New Roman"/>
          <w:color w:val="auto"/>
          <w:kern w:val="2"/>
          <w:sz w:val="24"/>
          <w:szCs w:val="24"/>
          <w:vertAlign w:val="subscript"/>
          <w:lang w:val="en-US" w:eastAsia="zh-CN" w:bidi="ar-SA"/>
        </w:rPr>
        <w:t>5</w:t>
      </w:r>
      <w:r>
        <w:rPr>
          <w:rFonts w:hint="default"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发生事故时可能进入该收集系统的降雨量，m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。其中，V</w:t>
      </w:r>
      <w:r>
        <w:rPr>
          <w:rFonts w:hint="default" w:ascii="Times New Roman" w:hAnsi="Times New Roman" w:eastAsia="宋体" w:cs="Times New Roman"/>
          <w:color w:val="auto"/>
          <w:kern w:val="2"/>
          <w:sz w:val="24"/>
          <w:szCs w:val="24"/>
          <w:vertAlign w:val="subscript"/>
          <w:lang w:val="en-US" w:eastAsia="zh-CN" w:bidi="ar-SA"/>
        </w:rPr>
        <w:t>5</w:t>
      </w:r>
      <w:r>
        <w:rPr>
          <w:rFonts w:hint="default" w:ascii="Times New Roman" w:hAnsi="Times New Roman" w:eastAsia="宋体" w:cs="Times New Roman"/>
          <w:color w:val="auto"/>
          <w:kern w:val="2"/>
          <w:sz w:val="24"/>
          <w:szCs w:val="24"/>
          <w:lang w:val="en-US" w:eastAsia="zh-CN" w:bidi="ar-SA"/>
        </w:rPr>
        <w:t>=10qFq</w:t>
      </w:r>
      <w:r>
        <w:rPr>
          <w:rFonts w:hint="default"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降雨强度，mm；按平均日降雨量；</w:t>
      </w:r>
    </w:p>
    <w:p>
      <w:pPr>
        <w:pStyle w:val="3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rPr>
      </w:pPr>
      <w:r>
        <w:rPr>
          <w:rFonts w:hint="default" w:ascii="Times New Roman" w:hAnsi="Times New Roman" w:cs="Times New Roman"/>
          <w:color w:val="auto"/>
        </w:rPr>
        <w:t>q=q</w:t>
      </w:r>
      <w:r>
        <w:rPr>
          <w:rFonts w:hint="default" w:ascii="Times New Roman" w:hAnsi="Times New Roman" w:cs="Times New Roman"/>
          <w:color w:val="auto"/>
          <w:vertAlign w:val="subscript"/>
        </w:rPr>
        <w:t>a</w:t>
      </w:r>
      <w:r>
        <w:rPr>
          <w:rFonts w:hint="default" w:ascii="Times New Roman" w:hAnsi="Times New Roman" w:cs="Times New Roman"/>
          <w:color w:val="auto"/>
        </w:rPr>
        <w:t>/n</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式中：</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q</w:t>
      </w:r>
      <w:r>
        <w:rPr>
          <w:rFonts w:hint="default" w:ascii="Times New Roman" w:hAnsi="Times New Roman" w:cs="Times New Roman"/>
          <w:color w:val="auto"/>
          <w:vertAlign w:val="subscript"/>
        </w:rPr>
        <w:t>a</w:t>
      </w:r>
      <w:r>
        <w:rPr>
          <w:rFonts w:hint="default" w:ascii="Times New Roman" w:hAnsi="Times New Roman" w:cs="Times New Roman"/>
          <w:color w:val="auto"/>
          <w:lang w:eastAsia="zh-CN"/>
        </w:rPr>
        <w:t>——</w:t>
      </w:r>
      <w:r>
        <w:rPr>
          <w:rFonts w:hint="default" w:ascii="Times New Roman" w:hAnsi="Times New Roman" w:cs="Times New Roman"/>
          <w:color w:val="auto"/>
        </w:rPr>
        <w:t>年平均降雨量，云溪地区的年平均降水量1380.6mm；</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lang w:eastAsia="zh-CN"/>
        </w:rPr>
      </w:pPr>
      <w:r>
        <w:rPr>
          <w:rFonts w:hint="default" w:ascii="Times New Roman" w:hAnsi="Times New Roman" w:cs="Times New Roman"/>
          <w:color w:val="auto"/>
        </w:rPr>
        <w:t>n</w:t>
      </w:r>
      <w:r>
        <w:rPr>
          <w:rFonts w:hint="default" w:ascii="Times New Roman" w:hAnsi="Times New Roman" w:cs="Times New Roman"/>
          <w:color w:val="auto"/>
          <w:lang w:eastAsia="zh-CN"/>
        </w:rPr>
        <w:t>——</w:t>
      </w:r>
      <w:r>
        <w:rPr>
          <w:rFonts w:hint="default" w:ascii="Times New Roman" w:hAnsi="Times New Roman" w:cs="Times New Roman"/>
          <w:color w:val="auto"/>
        </w:rPr>
        <w:t>年平均降雨日数，为140天。事故时间按3小时计</w:t>
      </w:r>
      <w:r>
        <w:rPr>
          <w:rFonts w:hint="default" w:ascii="Times New Roman" w:hAnsi="Times New Roman" w:cs="Times New Roman"/>
          <w:color w:val="auto"/>
          <w:lang w:eastAsia="zh-CN"/>
        </w:rPr>
        <w:t>；</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F</w:t>
      </w:r>
      <w:r>
        <w:rPr>
          <w:rFonts w:hint="default" w:ascii="Times New Roman" w:hAnsi="Times New Roman" w:cs="Times New Roman"/>
          <w:color w:val="auto"/>
          <w:lang w:eastAsia="zh-CN"/>
        </w:rPr>
        <w:t>——</w:t>
      </w:r>
      <w:r>
        <w:rPr>
          <w:rFonts w:hint="default" w:ascii="Times New Roman" w:hAnsi="Times New Roman" w:cs="Times New Roman"/>
          <w:color w:val="auto"/>
        </w:rPr>
        <w:t>必须进入事故废水收集系统的雨水汇水面积，厂区内生产区总占地面积为</w:t>
      </w:r>
      <w:r>
        <w:rPr>
          <w:rFonts w:hint="default" w:ascii="Times New Roman" w:hAnsi="Times New Roman" w:cs="Times New Roman"/>
          <w:color w:val="auto"/>
          <w:lang w:val="en-US" w:eastAsia="zh-CN"/>
        </w:rPr>
        <w:t>600</w:t>
      </w:r>
      <w:r>
        <w:rPr>
          <w:rFonts w:hint="default" w:ascii="Times New Roman" w:hAnsi="Times New Roman" w:cs="Times New Roman"/>
          <w:color w:val="auto"/>
        </w:rPr>
        <w:t>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V</w:t>
      </w:r>
      <w:r>
        <w:rPr>
          <w:rFonts w:hint="default" w:ascii="Times New Roman" w:hAnsi="Times New Roman" w:cs="Times New Roman"/>
          <w:color w:val="auto"/>
          <w:vertAlign w:val="subscript"/>
        </w:rPr>
        <w:t>5</w:t>
      </w:r>
      <w:r>
        <w:rPr>
          <w:rFonts w:hint="default" w:ascii="Times New Roman" w:hAnsi="Times New Roman" w:cs="Times New Roman"/>
          <w:color w:val="auto"/>
        </w:rPr>
        <w:t>=10×1380.6/140×3/24×</w:t>
      </w:r>
      <w:r>
        <w:rPr>
          <w:rFonts w:hint="default" w:ascii="Times New Roman" w:hAnsi="Times New Roman" w:cs="Times New Roman"/>
          <w:color w:val="auto"/>
          <w:lang w:val="en-US" w:eastAsia="zh-CN"/>
        </w:rPr>
        <w:t>0.06</w:t>
      </w:r>
      <w:r>
        <w:rPr>
          <w:rFonts w:hint="default" w:ascii="Times New Roman" w:hAnsi="Times New Roman" w:cs="Times New Roman"/>
          <w:color w:val="auto"/>
        </w:rPr>
        <w:t>=</w:t>
      </w:r>
      <w:r>
        <w:rPr>
          <w:rFonts w:hint="default" w:ascii="Times New Roman" w:hAnsi="Times New Roman" w:cs="Times New Roman"/>
          <w:color w:val="auto"/>
          <w:lang w:val="en-US" w:eastAsia="zh-CN"/>
        </w:rPr>
        <w:t>0.74</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V</w:t>
      </w:r>
      <w:r>
        <w:rPr>
          <w:rFonts w:hint="default" w:ascii="Times New Roman" w:hAnsi="Times New Roman" w:cs="Times New Roman"/>
          <w:color w:val="auto"/>
          <w:vertAlign w:val="subscript"/>
          <w:lang w:val="en-US" w:eastAsia="zh-CN"/>
        </w:rPr>
        <w:t>总</w:t>
      </w:r>
      <w:r>
        <w:rPr>
          <w:rFonts w:hint="default" w:ascii="Times New Roman" w:hAnsi="Times New Roman" w:cs="Times New Roman"/>
          <w:color w:val="auto"/>
          <w:lang w:val="en-US" w:eastAsia="zh-CN"/>
        </w:rPr>
        <w:t>=（V</w:t>
      </w:r>
      <w:r>
        <w:rPr>
          <w:rFonts w:hint="default" w:ascii="Times New Roman" w:hAnsi="Times New Roman" w:cs="Times New Roman"/>
          <w:color w:val="auto"/>
          <w:vertAlign w:val="subscript"/>
          <w:lang w:val="en-US" w:eastAsia="zh-CN"/>
        </w:rPr>
        <w:t>1</w:t>
      </w:r>
      <w:r>
        <w:rPr>
          <w:rFonts w:hint="default" w:ascii="Times New Roman" w:hAnsi="Times New Roman" w:cs="Times New Roman"/>
          <w:color w:val="auto"/>
          <w:lang w:val="en-US" w:eastAsia="zh-CN"/>
        </w:rPr>
        <w:t>+V</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－V</w:t>
      </w:r>
      <w:r>
        <w:rPr>
          <w:rFonts w:hint="default" w:ascii="Times New Roman" w:hAnsi="Times New Roman" w:cs="Times New Roman"/>
          <w:color w:val="auto"/>
          <w:vertAlign w:val="subscript"/>
          <w:lang w:val="en-US" w:eastAsia="zh-CN"/>
        </w:rPr>
        <w:t>3</w:t>
      </w:r>
      <w:r>
        <w:rPr>
          <w:rFonts w:hint="default" w:ascii="Times New Roman" w:hAnsi="Times New Roman" w:cs="Times New Roman"/>
          <w:color w:val="auto"/>
          <w:lang w:val="en-US" w:eastAsia="zh-CN"/>
        </w:rPr>
        <w:t>）</w:t>
      </w:r>
      <w:r>
        <w:rPr>
          <w:rFonts w:hint="default" w:ascii="Times New Roman" w:hAnsi="Times New Roman" w:cs="Times New Roman"/>
          <w:color w:val="auto"/>
          <w:vertAlign w:val="subscript"/>
          <w:lang w:val="en-US" w:eastAsia="zh-CN"/>
        </w:rPr>
        <w:t>max</w:t>
      </w:r>
      <w:r>
        <w:rPr>
          <w:rFonts w:hint="default" w:ascii="Times New Roman" w:hAnsi="Times New Roman" w:cs="Times New Roman"/>
          <w:color w:val="auto"/>
          <w:lang w:val="en-US" w:eastAsia="zh-CN"/>
        </w:rPr>
        <w:t>+ V</w:t>
      </w:r>
      <w:r>
        <w:rPr>
          <w:rFonts w:hint="default" w:ascii="Times New Roman" w:hAnsi="Times New Roman" w:cs="Times New Roman"/>
          <w:color w:val="auto"/>
          <w:vertAlign w:val="subscript"/>
          <w:lang w:val="en-US" w:eastAsia="zh-CN"/>
        </w:rPr>
        <w:t>4</w:t>
      </w:r>
      <w:r>
        <w:rPr>
          <w:rFonts w:hint="default" w:ascii="Times New Roman" w:hAnsi="Times New Roman" w:cs="Times New Roman"/>
          <w:color w:val="auto"/>
          <w:lang w:val="en-US" w:eastAsia="zh-CN"/>
        </w:rPr>
        <w:t>）+V</w:t>
      </w:r>
      <w:r>
        <w:rPr>
          <w:rFonts w:hint="default" w:ascii="Times New Roman" w:hAnsi="Times New Roman" w:cs="Times New Roman"/>
          <w:color w:val="auto"/>
          <w:vertAlign w:val="subscript"/>
          <w:lang w:val="en-US" w:eastAsia="zh-CN"/>
        </w:rPr>
        <w:t>5</w:t>
      </w:r>
      <w:r>
        <w:rPr>
          <w:rFonts w:hint="default" w:ascii="Times New Roman" w:hAnsi="Times New Roman" w:cs="Times New Roman"/>
          <w:color w:val="auto"/>
        </w:rPr>
        <w:t>=（0.</w:t>
      </w:r>
      <w:r>
        <w:rPr>
          <w:rFonts w:hint="default" w:ascii="Times New Roman" w:hAnsi="Times New Roman" w:cs="Times New Roman"/>
          <w:color w:val="auto"/>
          <w:lang w:val="en-US" w:eastAsia="zh-CN"/>
        </w:rPr>
        <w:t>5</w:t>
      </w:r>
      <w:r>
        <w:rPr>
          <w:rFonts w:hint="default" w:ascii="Times New Roman" w:hAnsi="Times New Roman" w:cs="Times New Roman"/>
          <w:color w:val="auto"/>
        </w:rPr>
        <w:t>+162-</w:t>
      </w:r>
      <w:r>
        <w:rPr>
          <w:rFonts w:hint="default" w:ascii="Times New Roman" w:hAnsi="Times New Roman" w:cs="Times New Roman"/>
          <w:color w:val="auto"/>
          <w:lang w:val="en-US" w:eastAsia="zh-CN"/>
        </w:rPr>
        <w:t>194</w:t>
      </w:r>
      <w:r>
        <w:rPr>
          <w:rFonts w:hint="default" w:ascii="Times New Roman" w:hAnsi="Times New Roman" w:cs="Times New Roman"/>
          <w:color w:val="auto"/>
        </w:rPr>
        <w:t>）+</w:t>
      </w:r>
      <w:r>
        <w:rPr>
          <w:rFonts w:hint="default" w:ascii="Times New Roman" w:hAnsi="Times New Roman" w:cs="Times New Roman"/>
          <w:color w:val="auto"/>
          <w:lang w:val="en-US" w:eastAsia="zh-CN"/>
        </w:rPr>
        <w:t>0.74= - 30.76</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vertAlign w:val="baseline"/>
          <w:lang w:val="en-US" w:eastAsia="zh-CN"/>
        </w:rPr>
        <w:t>&lt;0</w:t>
      </w:r>
      <w:r>
        <w:rPr>
          <w:rFonts w:hint="default" w:ascii="Times New Roman" w:hAnsi="Times New Roman" w:cs="Times New Roman"/>
          <w:color w:val="auto"/>
        </w:rPr>
        <w:t>，计算可知</w:t>
      </w:r>
      <w:r>
        <w:rPr>
          <w:rFonts w:hint="default" w:ascii="Times New Roman" w:hAnsi="Times New Roman" w:cs="Times New Roman"/>
          <w:color w:val="auto"/>
          <w:lang w:val="en-US" w:eastAsia="zh-CN"/>
        </w:rPr>
        <w:t>不</w:t>
      </w:r>
      <w:r>
        <w:rPr>
          <w:rFonts w:hint="default" w:ascii="Times New Roman" w:hAnsi="Times New Roman" w:cs="Times New Roman"/>
          <w:color w:val="auto"/>
        </w:rPr>
        <w:t>需</w:t>
      </w:r>
      <w:r>
        <w:rPr>
          <w:rFonts w:hint="default" w:ascii="Times New Roman" w:hAnsi="Times New Roman" w:cs="Times New Roman"/>
          <w:color w:val="auto"/>
          <w:lang w:val="en-US" w:eastAsia="zh-CN"/>
        </w:rPr>
        <w:t>另</w:t>
      </w:r>
      <w:r>
        <w:rPr>
          <w:rFonts w:hint="default" w:ascii="Times New Roman" w:hAnsi="Times New Roman" w:cs="Times New Roman"/>
          <w:color w:val="auto"/>
        </w:rPr>
        <w:t>设置事故池。</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根据建设单位提供现有资料来看，本项目在污水处理站新建一座1</w:t>
      </w:r>
      <w:r>
        <w:rPr>
          <w:rFonts w:hint="default" w:ascii="Times New Roman" w:hAnsi="Times New Roman" w:cs="Times New Roman"/>
          <w:color w:val="auto"/>
          <w:lang w:val="en-US" w:eastAsia="zh-CN"/>
        </w:rPr>
        <w:t>0</w:t>
      </w:r>
      <w:r>
        <w:rPr>
          <w:rFonts w:hint="default" w:ascii="Times New Roman" w:hAnsi="Times New Roman" w:cs="Times New Roman"/>
          <w:color w:val="auto"/>
        </w:rPr>
        <w:t>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rPr>
        <w:t>的污水收集池，同时发生事故时事故废水可排入现有厂区污水池内，无需另外设置单独事故应急池。发生事故时将厂区雨水管网和市政雨水管网之间的隔断阀门关闭，废水通过收集管网进入事故应急废水池，在发生事故时可以在最短时间内废液与废水排入厂区内现有废水池中，将消防废水控制在厂区范围内，使其对周边环境和人群的危害降至最低。</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rPr>
      </w:pPr>
      <w:bookmarkStart w:id="570" w:name="_Toc1362"/>
      <w:r>
        <w:rPr>
          <w:rFonts w:hint="default" w:ascii="Times New Roman" w:hAnsi="Times New Roman" w:cs="Times New Roman"/>
          <w:color w:val="auto"/>
        </w:rPr>
        <w:t>地下水环境风险影响分析</w:t>
      </w:r>
      <w:bookmarkEnd w:id="570"/>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本项目储罐出现泄漏，泄漏物料未超过围堰最大容积，泄漏物料均可由围堰进行围挡</w:t>
      </w:r>
      <w:r>
        <w:rPr>
          <w:rFonts w:hint="default" w:ascii="Times New Roman" w:hAnsi="Times New Roman" w:cs="Times New Roman"/>
          <w:color w:val="auto"/>
          <w:lang w:eastAsia="zh-CN"/>
        </w:rPr>
        <w:t>。</w:t>
      </w:r>
      <w:r>
        <w:rPr>
          <w:rFonts w:hint="default" w:ascii="Times New Roman" w:hAnsi="Times New Roman" w:cs="Times New Roman"/>
          <w:color w:val="auto"/>
        </w:rPr>
        <w:t>根据本项目储罐区其渗透性能应不低于 6m 厚渗透系数为 1.0×10</w:t>
      </w:r>
      <w:r>
        <w:rPr>
          <w:rFonts w:hint="default" w:ascii="Times New Roman" w:hAnsi="Times New Roman" w:cs="Times New Roman"/>
          <w:color w:val="auto"/>
          <w:vertAlign w:val="superscript"/>
        </w:rPr>
        <w:t>-7</w:t>
      </w:r>
      <w:r>
        <w:rPr>
          <w:rFonts w:hint="default" w:ascii="Times New Roman" w:hAnsi="Times New Roman" w:cs="Times New Roman"/>
          <w:color w:val="auto"/>
        </w:rPr>
        <w:t>cm/s 的黏土层防渗性能，采用2mm后的HDPE膜进行防渗，根据本报</w:t>
      </w:r>
      <w:r>
        <w:rPr>
          <w:rFonts w:hint="default" w:ascii="Times New Roman" w:hAnsi="Times New Roman" w:cs="Times New Roman"/>
          <w:color w:val="auto"/>
          <w:highlight w:val="none"/>
        </w:rPr>
        <w:t>告第</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章</w:t>
      </w:r>
      <w:r>
        <w:rPr>
          <w:rFonts w:hint="default" w:ascii="Times New Roman" w:hAnsi="Times New Roman" w:cs="Times New Roman"/>
          <w:color w:val="auto"/>
          <w:highlight w:val="none"/>
          <w:lang w:val="en-US" w:eastAsia="zh-CN"/>
        </w:rPr>
        <w:t>3.4.3</w:t>
      </w:r>
      <w:r>
        <w:rPr>
          <w:rFonts w:hint="default" w:ascii="Times New Roman" w:hAnsi="Times New Roman" w:cs="Times New Roman"/>
          <w:color w:val="auto"/>
          <w:highlight w:val="none"/>
        </w:rPr>
        <w:t>节的</w:t>
      </w:r>
      <w:r>
        <w:rPr>
          <w:rFonts w:hint="default" w:ascii="Times New Roman" w:hAnsi="Times New Roman" w:cs="Times New Roman"/>
          <w:color w:val="auto"/>
        </w:rPr>
        <w:t>预测分析，本项目在非正常情况下对地下水环境影响在场地区域范围内，不会对周边区域地下水环境造成明显影响。</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lang w:val="zh-CN"/>
        </w:rPr>
      </w:pPr>
      <w:bookmarkStart w:id="571" w:name="_Toc22799"/>
      <w:bookmarkStart w:id="572" w:name="_Toc25230"/>
      <w:bookmarkStart w:id="573" w:name="_Toc12251"/>
      <w:bookmarkStart w:id="574" w:name="_Toc29963"/>
      <w:bookmarkStart w:id="575" w:name="_Toc31197"/>
      <w:bookmarkStart w:id="576" w:name="_Toc3614"/>
      <w:bookmarkStart w:id="577" w:name="_Toc2157"/>
      <w:bookmarkStart w:id="578" w:name="_Toc9319"/>
      <w:r>
        <w:rPr>
          <w:rFonts w:hint="default" w:ascii="Times New Roman" w:hAnsi="Times New Roman" w:cs="Times New Roman"/>
          <w:color w:val="auto"/>
          <w:lang w:val="zh-CN"/>
        </w:rPr>
        <w:t>本项目位于巴陵石化公司厂区内，项目生产厂区旁为巴陵石化橡胶事业部、岳阳云电检修有限责任公司和岳阳雅达公司。根据以上分析，项目主要的风险为厂区内的危险化学品泄漏并引发火灾事故，其主要的影响范围在厂区内，且根据巴陵石化公司规划要求区内各装置之间的间距符合建筑设计防火规范要求。因此，事故下，本项目对周围的环境风险影响较小。</w:t>
      </w:r>
      <w:bookmarkEnd w:id="571"/>
      <w:bookmarkEnd w:id="572"/>
      <w:bookmarkEnd w:id="573"/>
      <w:bookmarkEnd w:id="574"/>
      <w:bookmarkEnd w:id="575"/>
      <w:bookmarkEnd w:id="576"/>
      <w:bookmarkEnd w:id="577"/>
      <w:bookmarkEnd w:id="578"/>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rPr>
      </w:pPr>
      <w:bookmarkStart w:id="579" w:name="_bookmark41"/>
      <w:bookmarkEnd w:id="579"/>
      <w:bookmarkStart w:id="580" w:name="_Toc16121"/>
      <w:bookmarkStart w:id="581" w:name="_Toc21878"/>
      <w:r>
        <w:rPr>
          <w:rFonts w:hint="default" w:ascii="Times New Roman" w:hAnsi="Times New Roman" w:cs="Times New Roman"/>
          <w:color w:val="auto"/>
        </w:rPr>
        <w:t>环境风险防范措施</w:t>
      </w:r>
      <w:bookmarkEnd w:id="580"/>
      <w:bookmarkEnd w:id="581"/>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为使本项目环境风险减小到最低限度，必须加强安全环保管理，制定完备、有效的安全环保防范措施，尽可能降低火灾及泄漏事故发生的概率。</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rPr>
      </w:pPr>
      <w:bookmarkStart w:id="582" w:name="_Toc17069"/>
      <w:r>
        <w:rPr>
          <w:rFonts w:hint="default" w:ascii="Times New Roman" w:hAnsi="Times New Roman" w:cs="Times New Roman"/>
          <w:color w:val="auto"/>
        </w:rPr>
        <w:t>总图布置</w:t>
      </w:r>
      <w:bookmarkEnd w:id="582"/>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项目在总平面布置方面，应严格执行相关规范（防火、防爆、化工企业总图布置等行业标准）要求，所有区域之间或与其它场所之间留有足够的防火间距，防止在火灾或爆炸时相互影响；。严格按工艺处理物料特性，对厂区进行危险区划分。在车间总平面布置中 套建设应急救援设施、救援通道、应急疏散避难所等防护设施</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按《安全标志》规定在装置区设置有关的安全标志。</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rPr>
      </w:pPr>
      <w:bookmarkStart w:id="583" w:name="_Toc15124"/>
      <w:r>
        <w:rPr>
          <w:rFonts w:hint="default" w:ascii="Times New Roman" w:hAnsi="Times New Roman" w:cs="Times New Roman"/>
          <w:color w:val="auto"/>
        </w:rPr>
        <w:t>仓储区防范措施</w:t>
      </w:r>
      <w:bookmarkEnd w:id="583"/>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（1）安全防范措施</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a）应储存在阴凉、通风的库房中，专库专储。根据物料的用量、使用频率设置合适的仓储量。</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b）室内贮槽，高位槽放空管线伸出屋顶 4m，并装有阻火器。生产区域有烟雾报警器，以便及时采取措施，消除事故隐患。</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c）为防止原料泄漏，储罐区设立 1m高围堰和周边事故水收集沟、仓库区临时储存危化品储存桶周围应设置围堰收集泄露的物料，并及时回收。库区四周应建防火墙。</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（2）物料泄漏应急、救援及减缓措施</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当发生易燃易爆或有毒物料泄漏时，可根据物料性质，选择采取以下措施，防止事态进一步发展： 根据事故级别启动应急预案；根据装置区当地天气风向情况，将无关人员迅速疏散到上风向安全区，对危险区域进行隔离，并严格控制出入，切断火源；根 据需要疏散周围环境敏感点人群；比空气重的易挥发易燃液体泄漏时，用工业覆盖层或吸附/吸收剂盖住泄漏点附近的下水道等地方，防止气体进入；采用消防喷雾状水稀释，构筑临时围堤收容产生的大量废水；如有可能，将漏出气用排风 机送至空旷地方。也可以将漏气的容器移至空旷处，注意通风。</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小量液体泄漏：用砂土或其它不燃材料吸附或吸收。可采用水冲洗的物料也可以用大量水冲洗，稀释水排入废水系统。大量液体泄漏：构筑临时围堤收容。用泡沫覆盖，降低挥发蒸气物质的危害。用防爆泵转移至槽车或专用收集器内，回收或运至废物处理场所处置。</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喷雾吸收或中和：对某些可通过物理、化学反应中和或吸收的气体发生泄漏，可喷相关雾状液进行中和或吸收。</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（3）火灾、爆炸应急、减缓措施</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当装置或储罐发生火灾或爆炸时，根据事故级别启动应急预案。根据需要，切断着火设施上、下游物料，尽可能倒空着火设施附近装置或贮罐物料，防止发生连锁效应；救火的同时，采用水幕或喷淋的方法，防止引发继 发事故；据事故级别疏散周边人员。</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操作安全防范措施</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开机前应认真检查电源部位及各处传动部位，检查各进料管道有无滴漏现象，检查机器是否正常。操作人员在操作时必须集中精力，并注意随时观察各部位看 有无异常，发现故障应立即停止作业，关闭电源，进行检修及排除异情。凡是操 作人员不能排除的异情应立即告知维修部门，异情排除之后方可继续作业。</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rPr>
      </w:pPr>
      <w:bookmarkStart w:id="584" w:name="_Toc18154"/>
      <w:r>
        <w:rPr>
          <w:rFonts w:hint="default" w:ascii="Times New Roman" w:hAnsi="Times New Roman" w:cs="Times New Roman"/>
          <w:color w:val="auto"/>
        </w:rPr>
        <w:t>事故废水环境风险防范措施</w:t>
      </w:r>
      <w:bookmarkEnd w:id="584"/>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厂区事故废水主要来源：企业超标废水排放对园区污水处理厂造成处理负荷；受到污染的消防水从雨水排放口排放，直接引起周围区域地表水系的污染。</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若污水处理设施出现故障不能正常运行，收集所有废水入污水站配套的污水收集池。公司污水处理站总排口与外部水体之间均要安装切断设施，若污水处理站运行不正常时，启用切断设施，确保不达标废水不排出厂外。对废物的存储和处置场所必须配备围堵或收集设施，严防泄漏事故发生。</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发生事故时将厂区雨水管网和市政雨水管网之间的隔断阀门关闭，废水通过收集管网进入厂区内现有的污水收集池，在发生事故时可以在最短时间内将废液与废水排入事故应急废水池中，将消防废水控制在厂区范围内，使其对周边环境和人群的危害降至最低。</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如发生泄漏、火灾或爆炸事故，将导致大量化工物料外泄。如不经处理直接排入园区雨水管网或经污水管网进入</w:t>
      </w:r>
      <w:r>
        <w:rPr>
          <w:rFonts w:hint="default" w:ascii="Times New Roman" w:hAnsi="Times New Roman" w:cs="Times New Roman"/>
          <w:color w:val="auto"/>
          <w:lang w:val="en-US" w:eastAsia="zh-CN"/>
        </w:rPr>
        <w:t>巴陵石化</w:t>
      </w:r>
      <w:r>
        <w:rPr>
          <w:rFonts w:hint="default" w:ascii="Times New Roman" w:hAnsi="Times New Roman" w:cs="Times New Roman"/>
          <w:color w:val="auto"/>
        </w:rPr>
        <w:t>污水处理厂，将导致水体严重污染或导致污水处理厂无法</w:t>
      </w:r>
      <w:r>
        <w:rPr>
          <w:rFonts w:hint="eastAsia" w:cs="Times New Roman"/>
          <w:color w:val="auto"/>
          <w:lang w:eastAsia="zh-CN"/>
        </w:rPr>
        <w:t>正常</w:t>
      </w:r>
      <w:r>
        <w:rPr>
          <w:rFonts w:hint="default" w:ascii="Times New Roman" w:hAnsi="Times New Roman" w:cs="Times New Roman"/>
          <w:color w:val="auto"/>
        </w:rPr>
        <w:t>运行。为防止此类事故发生，建设项目采取如下方案：</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目前生产区已经在生产装置和仓库外围设置截排水沟，雨水收集沟设置切换 装置，正常状况下切换装置设置在进入废水系统状态，以便能及时、有效地收集厂区初期污染雨水。后期雨水用阀门切向雨水管网排放。</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当发生火灾、爆炸事故和物料泄漏事故，物料可能通过地表径流，进入雨水收集沟，最终排入外环境。因此，建设项目雨水排放口必须设置切换装置，并设置自动化联动系统，如发生火灾、爆炸事故，应立即启动切换装置，关闭雨水排放口，以免对附近水体造成重大影响。</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建设项目应在污水排口设置节制闸，发生事故时将污水排放口阀门关闭，将事故污水通过阀门导入事故应急池，防止事故废水通过污水排口外排，待事故应急处理结束后，再妥善处理收集的废液。</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建设项目事故废水必须进入废水处理系统处理或委外处置，杜绝将此类废水直接排入工业园污水排放管网。</w:t>
      </w:r>
    </w:p>
    <w:p>
      <w:pPr>
        <w:pStyle w:val="4"/>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rPr>
      </w:pPr>
      <w:bookmarkStart w:id="585" w:name="_Toc12264"/>
      <w:bookmarkStart w:id="586" w:name="_Toc17776"/>
      <w:bookmarkStart w:id="587" w:name="_Toc28621"/>
      <w:bookmarkStart w:id="588" w:name="_Toc3128"/>
      <w:bookmarkStart w:id="589" w:name="_Toc6643"/>
      <w:bookmarkStart w:id="590" w:name="_Toc19264"/>
      <w:bookmarkStart w:id="591" w:name="_Toc5149"/>
      <w:bookmarkStart w:id="592" w:name="_Toc16380"/>
      <w:bookmarkStart w:id="593" w:name="_Toc8222"/>
      <w:bookmarkStart w:id="594" w:name="_Toc28409"/>
      <w:bookmarkStart w:id="595" w:name="_Toc30561"/>
      <w:bookmarkStart w:id="596" w:name="_Toc22858"/>
      <w:bookmarkStart w:id="597" w:name="_Toc15357"/>
      <w:bookmarkStart w:id="598" w:name="_Toc20979"/>
      <w:bookmarkStart w:id="599" w:name="_Toc31367"/>
      <w:bookmarkStart w:id="600" w:name="_Toc472793194"/>
      <w:bookmarkStart w:id="601" w:name="_Toc26306"/>
      <w:bookmarkStart w:id="602" w:name="_Toc25776"/>
      <w:r>
        <w:rPr>
          <w:rFonts w:hint="default" w:ascii="Times New Roman" w:hAnsi="Times New Roman" w:cs="Times New Roman"/>
          <w:color w:val="auto"/>
        </w:rPr>
        <w:t>应急预案</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应根据生产特点和事故隐患分析，尤其针对废气、废水处理设施运行过程中的事故，应建立事故应急计划，建立事故应急组织管理制度，包括事故现场指挥人员、事故处理人员等各自的职责、任务，事故处理步骤，事故隔离区域和人员疏散等，制定突发事故应急预案。并纳入</w:t>
      </w:r>
      <w:r>
        <w:rPr>
          <w:rFonts w:hint="default" w:ascii="Times New Roman" w:hAnsi="Times New Roman" w:cs="Times New Roman"/>
          <w:color w:val="auto"/>
          <w:lang w:eastAsia="zh-CN"/>
        </w:rPr>
        <w:t>巴陵石化公司</w:t>
      </w:r>
      <w:r>
        <w:rPr>
          <w:rFonts w:hint="default" w:ascii="Times New Roman" w:hAnsi="Times New Roman" w:cs="Times New Roman"/>
          <w:color w:val="auto"/>
        </w:rPr>
        <w:t>的企业应急预案中，当突发环境事故时，可以做到联动处理。</w:t>
      </w:r>
    </w:p>
    <w:p>
      <w:pPr>
        <w:pStyle w:val="14"/>
        <w:bidi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14</w:t>
      </w:r>
      <w:r>
        <w:rPr>
          <w:rFonts w:hint="default" w:ascii="Times New Roman" w:hAnsi="Times New Roman" w:cs="Times New Roman"/>
          <w:color w:val="auto"/>
        </w:rPr>
        <w:fldChar w:fldCharType="end"/>
      </w:r>
      <w:r>
        <w:rPr>
          <w:rFonts w:hint="default" w:ascii="Times New Roman" w:hAnsi="Times New Roman" w:cs="Times New Roman"/>
          <w:color w:val="auto"/>
        </w:rPr>
        <w:t>突发事故应急预案</w:t>
      </w:r>
    </w:p>
    <w:tbl>
      <w:tblPr>
        <w:tblStyle w:val="24"/>
        <w:tblW w:w="92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0"/>
        <w:gridCol w:w="2601"/>
        <w:gridCol w:w="58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260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目</w:t>
            </w:r>
          </w:p>
        </w:tc>
        <w:tc>
          <w:tcPr>
            <w:tcW w:w="585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内 容 及 要 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60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总则</w:t>
            </w:r>
          </w:p>
        </w:tc>
        <w:tc>
          <w:tcPr>
            <w:tcW w:w="585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60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危险源概况</w:t>
            </w:r>
          </w:p>
        </w:tc>
        <w:tc>
          <w:tcPr>
            <w:tcW w:w="585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详述危险源类型、数量及其分布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60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应急计划区</w:t>
            </w:r>
          </w:p>
        </w:tc>
        <w:tc>
          <w:tcPr>
            <w:tcW w:w="585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成品储藏区、邻区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77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260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应急组织</w:t>
            </w:r>
          </w:p>
        </w:tc>
        <w:tc>
          <w:tcPr>
            <w:tcW w:w="5859" w:type="dxa"/>
            <w:vAlign w:val="center"/>
          </w:tcPr>
          <w:p>
            <w:pPr>
              <w:pStyle w:val="40"/>
              <w:keepNext w:val="0"/>
              <w:keepLines w:val="0"/>
              <w:suppressLineNumbers w:val="0"/>
              <w:bidi w:val="0"/>
              <w:spacing w:before="0" w:beforeAutospacing="0" w:after="0" w:afterAutospacing="0"/>
              <w:ind w:left="720" w:right="0" w:hanging="630" w:hangingChars="300"/>
              <w:jc w:val="left"/>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工厂：指挥部负责现场全面指挥</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专业救援队伍负责事故控制、救援、善后处理</w:t>
            </w:r>
            <w:r>
              <w:rPr>
                <w:rFonts w:hint="default" w:ascii="Times New Roman" w:hAnsi="Times New Roman" w:cs="Times New Roman"/>
                <w:color w:val="auto"/>
                <w:sz w:val="21"/>
                <w:szCs w:val="21"/>
                <w:lang w:eastAsia="zh-CN"/>
              </w:rPr>
              <w:t>；</w:t>
            </w:r>
          </w:p>
          <w:p>
            <w:pPr>
              <w:pStyle w:val="40"/>
              <w:keepNext w:val="0"/>
              <w:keepLines w:val="0"/>
              <w:suppressLineNumbers w:val="0"/>
              <w:bidi w:val="0"/>
              <w:spacing w:before="0" w:beforeAutospacing="0" w:after="0" w:afterAutospacing="0"/>
              <w:ind w:left="720" w:right="0" w:hanging="630" w:hangingChars="300"/>
              <w:jc w:val="left"/>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地区：地区指挥部—负责工厂附近地区全面指挥</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救援、管制、疏散</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专业救援队伍—负责对厂专业救援队伍的支援</w:t>
            </w:r>
            <w:r>
              <w:rPr>
                <w:rFonts w:hint="default" w:ascii="Times New Roman" w:hAnsi="Times New Roman" w:cs="Times New Roman"/>
                <w:color w:val="auto"/>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7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260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应急状态分类及应急响应程序</w:t>
            </w:r>
          </w:p>
        </w:tc>
        <w:tc>
          <w:tcPr>
            <w:tcW w:w="585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规定事故的级别及相应的应急分类影响程序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7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260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应急设施，设备与材料</w:t>
            </w:r>
          </w:p>
        </w:tc>
        <w:tc>
          <w:tcPr>
            <w:tcW w:w="585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防有毒有害物质外溢、扩散，主要是活性炭吸附设备等。</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防废水事故排放，主要是事故储水池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260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应急通讯、通知和交通</w:t>
            </w:r>
          </w:p>
        </w:tc>
        <w:tc>
          <w:tcPr>
            <w:tcW w:w="585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规定应急状态下的通讯方式和交通保障、管制。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7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260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应急环境监测及事故后评估</w:t>
            </w:r>
          </w:p>
        </w:tc>
        <w:tc>
          <w:tcPr>
            <w:tcW w:w="585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由专业队伍负责对事故现场进行侦查监测，对事故性质数与后果进行评估，为指挥部门提供决策依据。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77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260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应急防护措施、清除泄漏措施方法和器材</w:t>
            </w:r>
          </w:p>
        </w:tc>
        <w:tc>
          <w:tcPr>
            <w:tcW w:w="5859" w:type="dxa"/>
            <w:vAlign w:val="center"/>
          </w:tcPr>
          <w:p>
            <w:pPr>
              <w:pStyle w:val="40"/>
              <w:keepNext w:val="0"/>
              <w:keepLines w:val="0"/>
              <w:suppressLineNumbers w:val="0"/>
              <w:bidi w:val="0"/>
              <w:spacing w:before="0" w:beforeAutospacing="0" w:after="0" w:afterAutospacing="0"/>
              <w:ind w:left="1200" w:right="0" w:hanging="1050" w:hangingChars="500"/>
              <w:jc w:val="left"/>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事故现场：控制事故、防止扩大、蔓延及链锁反应。清除现场泄漏物，降低危害</w:t>
            </w:r>
            <w:r>
              <w:rPr>
                <w:rFonts w:hint="default" w:ascii="Times New Roman" w:hAnsi="Times New Roman" w:cs="Times New Roman"/>
                <w:color w:val="auto"/>
                <w:sz w:val="21"/>
                <w:szCs w:val="21"/>
                <w:lang w:eastAsia="zh-CN"/>
              </w:rPr>
              <w:t>；</w:t>
            </w:r>
          </w:p>
          <w:p>
            <w:pPr>
              <w:pStyle w:val="40"/>
              <w:keepNext w:val="0"/>
              <w:keepLines w:val="0"/>
              <w:suppressLineNumbers w:val="0"/>
              <w:bidi w:val="0"/>
              <w:spacing w:before="0" w:beforeAutospacing="0" w:after="0" w:afterAutospacing="0"/>
              <w:ind w:left="1200" w:right="0" w:hanging="1050" w:hangingChars="50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邻近区域：控制防火区域，控制和清除污染措施及相应设备配备。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77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260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应急剂量控制、撤离组织计划、医疗救护与公众健康</w:t>
            </w:r>
          </w:p>
        </w:tc>
        <w:tc>
          <w:tcPr>
            <w:tcW w:w="5859" w:type="dxa"/>
            <w:vAlign w:val="center"/>
          </w:tcPr>
          <w:p>
            <w:pPr>
              <w:pStyle w:val="40"/>
              <w:keepNext w:val="0"/>
              <w:keepLines w:val="0"/>
              <w:suppressLineNumbers w:val="0"/>
              <w:bidi w:val="0"/>
              <w:spacing w:before="0" w:beforeAutospacing="0" w:after="0" w:afterAutospacing="0"/>
              <w:ind w:left="1200" w:right="0" w:hanging="1050" w:hangingChars="50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事故现场：事故处理人员对毒物的应急剂量控制制定，现场及邻近装置人员撤离组织计划及救护。</w:t>
            </w:r>
          </w:p>
          <w:p>
            <w:pPr>
              <w:pStyle w:val="40"/>
              <w:keepNext w:val="0"/>
              <w:keepLines w:val="0"/>
              <w:suppressLineNumbers w:val="0"/>
              <w:bidi w:val="0"/>
              <w:spacing w:before="0" w:beforeAutospacing="0" w:after="0" w:afterAutospacing="0"/>
              <w:ind w:left="1200" w:right="0" w:hanging="1050" w:hangingChars="50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工厂邻近区：受事故影响的邻近区域人员及公众对毒物应急剂量控制规定，撤离组织计划及救护。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7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260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应急状态终止与恢复措施</w:t>
            </w:r>
          </w:p>
        </w:tc>
        <w:tc>
          <w:tcPr>
            <w:tcW w:w="585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规定应急状态终止程序</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事故现场善后处理，恢复措施</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邻近区域解除事故警戒及善后恢复措施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260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人员培训与演练</w:t>
            </w:r>
          </w:p>
        </w:tc>
        <w:tc>
          <w:tcPr>
            <w:tcW w:w="585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应急计划制定后，平时安排人员培训与演练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260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公众教育和信息</w:t>
            </w:r>
          </w:p>
        </w:tc>
        <w:tc>
          <w:tcPr>
            <w:tcW w:w="585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对工厂邻近地区开展公众教育、培训和发布有关信息。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7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260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记录和报告</w:t>
            </w:r>
          </w:p>
        </w:tc>
        <w:tc>
          <w:tcPr>
            <w:tcW w:w="585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设置应急事故专门记录，建档案和专门报告制度，设专门部门和负责管理。</w:t>
            </w:r>
          </w:p>
        </w:tc>
      </w:tr>
    </w:tbl>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为了建立健全突发环境事件应急机制，提高公司应对公共危机的突发环境事件的能力，维护社会的稳定，保障公众生命健康和财产安全，保护环境，促进社会、公司的全面、协调、可持续发展，根据相关要求，本环评要求建设单位编制突发环境事件应急预案。</w:t>
      </w:r>
    </w:p>
    <w:p>
      <w:pPr>
        <w:pStyle w:val="5"/>
        <w:keepNext w:val="0"/>
        <w:keepLines w:val="0"/>
        <w:pageBreakBefore w:val="0"/>
        <w:widowControl w:val="0"/>
        <w:numPr>
          <w:ilvl w:val="2"/>
          <w:numId w:val="0"/>
        </w:numPr>
        <w:kinsoku/>
        <w:wordWrap/>
        <w:overflowPunct/>
        <w:topLinePunct w:val="0"/>
        <w:autoSpaceDE/>
        <w:autoSpaceDN/>
        <w:bidi w:val="0"/>
        <w:adjustRightInd w:val="0"/>
        <w:snapToGrid w:val="0"/>
        <w:spacing w:before="0" w:beforeLines="0" w:after="0" w:afterLines="0"/>
        <w:ind w:leftChars="0"/>
        <w:jc w:val="left"/>
        <w:textAlignment w:val="auto"/>
        <w:rPr>
          <w:rFonts w:hint="default" w:ascii="Times New Roman" w:hAnsi="Times New Roman" w:cs="Times New Roman"/>
          <w:color w:val="auto"/>
        </w:rPr>
      </w:pPr>
      <w:bookmarkStart w:id="603" w:name="_Toc27844"/>
      <w:bookmarkStart w:id="604" w:name="_Toc18270"/>
      <w:bookmarkStart w:id="605" w:name="_Toc15173"/>
      <w:bookmarkStart w:id="606" w:name="_Toc18157"/>
      <w:bookmarkStart w:id="607" w:name="_Toc14689"/>
      <w:bookmarkStart w:id="608" w:name="_Toc13051"/>
      <w:bookmarkStart w:id="609" w:name="_Toc9783"/>
      <w:bookmarkStart w:id="610" w:name="_Toc12394"/>
      <w:bookmarkStart w:id="611" w:name="_Toc16728"/>
      <w:bookmarkStart w:id="612" w:name="_Toc25203"/>
      <w:bookmarkStart w:id="613" w:name="_Toc6694"/>
      <w:bookmarkStart w:id="614" w:name="_Toc448346052"/>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rPr>
      </w:pPr>
      <w:r>
        <w:rPr>
          <w:rFonts w:hint="default" w:ascii="Times New Roman" w:hAnsi="Times New Roman" w:cs="Times New Roman"/>
          <w:color w:val="auto"/>
        </w:rPr>
        <w:t>应急指挥体系及职责</w:t>
      </w:r>
      <w:bookmarkEnd w:id="603"/>
      <w:bookmarkEnd w:id="604"/>
      <w:bookmarkEnd w:id="605"/>
      <w:bookmarkEnd w:id="606"/>
      <w:bookmarkEnd w:id="607"/>
      <w:bookmarkEnd w:id="608"/>
      <w:bookmarkEnd w:id="609"/>
      <w:bookmarkEnd w:id="610"/>
      <w:bookmarkEnd w:id="611"/>
      <w:bookmarkEnd w:id="612"/>
      <w:bookmarkEnd w:id="613"/>
      <w:bookmarkEnd w:id="614"/>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项目应成立事故应急救援指挥领导小组，由项目负责人及生产、技术、设备、安全、行政管理等部门领导组成。指挥机构及成员的职责及分工见表</w:t>
      </w:r>
      <w:r>
        <w:rPr>
          <w:rFonts w:hint="default" w:ascii="Times New Roman" w:hAnsi="Times New Roman" w:cs="Times New Roman"/>
          <w:color w:val="auto"/>
          <w:lang w:val="en-US" w:eastAsia="zh-CN"/>
        </w:rPr>
        <w:t xml:space="preserve"> 7-15</w:t>
      </w:r>
      <w:r>
        <w:rPr>
          <w:rFonts w:hint="default" w:ascii="Times New Roman" w:hAnsi="Times New Roman" w:cs="Times New Roman"/>
          <w:color w:val="auto"/>
        </w:rPr>
        <w:t>。</w:t>
      </w:r>
    </w:p>
    <w:p>
      <w:pPr>
        <w:pStyle w:val="14"/>
        <w:bidi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15</w:t>
      </w:r>
      <w:r>
        <w:rPr>
          <w:rFonts w:hint="default" w:ascii="Times New Roman" w:hAnsi="Times New Roman" w:cs="Times New Roman"/>
          <w:color w:val="auto"/>
        </w:rPr>
        <w:fldChar w:fldCharType="end"/>
      </w:r>
      <w:r>
        <w:rPr>
          <w:rFonts w:hint="default" w:ascii="Times New Roman" w:hAnsi="Times New Roman" w:cs="Times New Roman"/>
          <w:color w:val="auto"/>
        </w:rPr>
        <w:t>指挥机构及成员职责及分工</w:t>
      </w:r>
    </w:p>
    <w:tbl>
      <w:tblPr>
        <w:tblStyle w:val="24"/>
        <w:tblW w:w="92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525"/>
        <w:gridCol w:w="66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2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机构/成员名称</w:t>
            </w:r>
          </w:p>
        </w:tc>
        <w:tc>
          <w:tcPr>
            <w:tcW w:w="669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职责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89" w:hRule="atLeast"/>
          <w:jc w:val="center"/>
        </w:trPr>
        <w:tc>
          <w:tcPr>
            <w:tcW w:w="252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指挥领导小组</w:t>
            </w:r>
          </w:p>
        </w:tc>
        <w:tc>
          <w:tcPr>
            <w:tcW w:w="669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①负责本单位</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预案</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的制定、修订；</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②组建应急救援专业队伍，并组织实施和演练；</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③检查督促做好重大事故预防措施和应急救援的各项准备工作。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10" w:hRule="atLeast"/>
          <w:jc w:val="center"/>
        </w:trPr>
        <w:tc>
          <w:tcPr>
            <w:tcW w:w="252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指挥部（应急中心）</w:t>
            </w:r>
          </w:p>
        </w:tc>
        <w:tc>
          <w:tcPr>
            <w:tcW w:w="669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①发生事故时，由指挥部发布和解除应急救援命令、信号；</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②组织指挥救援队伍实施救援行动；</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③向上级汇报和向友邻单位通报事故情况，必要时向有关单位发出救援请求；</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④组织事故调查，总结应急救援工作经验教训。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2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总指挥</w:t>
            </w:r>
          </w:p>
        </w:tc>
        <w:tc>
          <w:tcPr>
            <w:tcW w:w="669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组织指挥重大事故的应急救援工作。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52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副总指挥</w:t>
            </w:r>
          </w:p>
        </w:tc>
        <w:tc>
          <w:tcPr>
            <w:tcW w:w="669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协助总指挥负责应急救援的具体指挥工作。总指挥缺席时，代行总指挥职责。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2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安全管理部门负责人</w:t>
            </w:r>
          </w:p>
        </w:tc>
        <w:tc>
          <w:tcPr>
            <w:tcW w:w="669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协助总指挥做好事故报警、情况通报及事故处置工作。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14" w:hRule="atLeast"/>
          <w:jc w:val="center"/>
        </w:trPr>
        <w:tc>
          <w:tcPr>
            <w:tcW w:w="252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生产管理部门负责人</w:t>
            </w:r>
          </w:p>
        </w:tc>
        <w:tc>
          <w:tcPr>
            <w:tcW w:w="669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①负责事故处置时生产系统开、停车调度工作；</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②事故现场通讯联络和对外联系；</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③负责事故现场及有害物质扩散区域内的洗消工作；</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④必要时代表指挥部对外发布有关信息。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384" w:hRule="atLeast"/>
          <w:jc w:val="center"/>
        </w:trPr>
        <w:tc>
          <w:tcPr>
            <w:tcW w:w="252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行政或后勤部门负责人</w:t>
            </w:r>
          </w:p>
        </w:tc>
        <w:tc>
          <w:tcPr>
            <w:tcW w:w="669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①负责抢险救援物资的供应和运输工作；</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②负责生活必需品供应；</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③负责现场医疗救护指挥及护送转院工作；</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④负责消毒、灭火、警戒、治安保卫、疏散、道路管制工作。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52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设备管理部门负责人</w:t>
            </w:r>
          </w:p>
        </w:tc>
        <w:tc>
          <w:tcPr>
            <w:tcW w:w="669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协助总指挥负责工程抢险、抢修的现场指挥，调动技术人员维修设备。</w:t>
            </w:r>
          </w:p>
        </w:tc>
      </w:tr>
    </w:tbl>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outlineLvl w:val="2"/>
        <w:rPr>
          <w:rFonts w:hint="default" w:ascii="Times New Roman" w:hAnsi="Times New Roman" w:cs="Times New Roman"/>
          <w:color w:val="auto"/>
        </w:rPr>
      </w:pPr>
      <w:bookmarkStart w:id="615" w:name="_Toc1544"/>
      <w:bookmarkStart w:id="616" w:name="_Toc12113"/>
      <w:bookmarkStart w:id="617" w:name="_Toc7401"/>
      <w:bookmarkStart w:id="618" w:name="_Toc28490"/>
      <w:bookmarkStart w:id="619" w:name="_Toc13579"/>
      <w:bookmarkStart w:id="620" w:name="_Toc10741"/>
      <w:bookmarkStart w:id="621" w:name="_Toc2834"/>
      <w:bookmarkStart w:id="622" w:name="_Toc3769"/>
      <w:r>
        <w:rPr>
          <w:rFonts w:hint="default" w:ascii="Times New Roman" w:hAnsi="Times New Roman" w:cs="Times New Roman"/>
          <w:color w:val="auto"/>
        </w:rPr>
        <w:t>风险事故处理措施</w:t>
      </w:r>
      <w:bookmarkEnd w:id="615"/>
      <w:bookmarkEnd w:id="616"/>
      <w:bookmarkEnd w:id="617"/>
      <w:bookmarkEnd w:id="618"/>
      <w:bookmarkEnd w:id="619"/>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为了有效地处理风险事故，应有切实可行的处理措施。项目风险事故应急措施包括设备器材、事故现场指挥、救护、通讯等系统的建立、现场应急措施方案、事故危害监测队伍、现场撤离和善后措施方案等。</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●设立报警、通讯系统以及事故处置领导体系；</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●制定有效处理事故的应急行动方案，并得到有关部门的认可，能与有关部门有效配合；</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●明确职责，并落实到单位和有关人员；</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●制定控制和减少事故影响范围以及补救行动的实施计划；</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●对事故现场管理以及事故处置全过程的监督，应由富有事故处置经验的人员或有关部门工作人员承担；</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●为提高事故处置队伍的协同救援水平和实战能力，检验救援体系的应急综合运作状态，提高其实战水平，应进行应急救援演练。</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一旦发生风险事故，建设单位成立应急系统指挥中心，由总经理负责，配备了相关的应急设施和器材。当事故发生时，应立即通知有关部门，组织附近居民疏散、抢险和应急监测等善后处理事宜。并严格限制厂区出入。应急处理人员戴自给正压式呼吸器，穿防酸碱工作服。尽可能切断泄漏源，防止污染废水直接进入下水道。合理通风，加速扩散，大量雾状水稀释、溶解或喷稀碱液中和，构筑围堤或挖坑收容产生的大量废水。装置内的残余气体用风机抽入尾气冷凝系统集中处理。若是液体物料泄漏，可先由生产装置区环形排水沟收集进入事故应急池，再根据泄漏物料情况向事故应急池中用砂土或其它不燃材料吸附或吸收，再通过大量水冲洗，洗水稀释后放入废水系统。若大量泄漏，构筑围堤或挖坑收容，用泵转移至槽车或专用收集器内，统一回收处置。</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rPr>
      </w:pPr>
      <w:bookmarkStart w:id="623" w:name="_Toc20092"/>
      <w:bookmarkStart w:id="624" w:name="_Toc24710"/>
      <w:bookmarkStart w:id="625" w:name="_Toc25224"/>
      <w:r>
        <w:rPr>
          <w:rFonts w:hint="default" w:ascii="Times New Roman" w:hAnsi="Times New Roman" w:cs="Times New Roman"/>
          <w:color w:val="auto"/>
        </w:rPr>
        <w:t>环境风险评价小</w:t>
      </w:r>
      <w:bookmarkEnd w:id="620"/>
      <w:bookmarkEnd w:id="621"/>
      <w:r>
        <w:rPr>
          <w:rFonts w:hint="default" w:ascii="Times New Roman" w:hAnsi="Times New Roman" w:cs="Times New Roman"/>
          <w:color w:val="auto"/>
        </w:rPr>
        <w:t>结</w:t>
      </w:r>
      <w:bookmarkEnd w:id="622"/>
      <w:bookmarkEnd w:id="623"/>
      <w:bookmarkEnd w:id="624"/>
      <w:bookmarkEnd w:id="625"/>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通过风险评价的结果表明，在落实各项环保措施和采取本报告书提出有关建议、落实厂区项目排水设施的设计、利用现有的</w:t>
      </w:r>
      <w:r>
        <w:rPr>
          <w:rFonts w:hint="default" w:ascii="Times New Roman" w:hAnsi="Times New Roman" w:cs="Times New Roman"/>
          <w:color w:val="auto"/>
          <w:lang w:val="en-US" w:eastAsia="zh-CN"/>
        </w:rPr>
        <w:t>初期</w:t>
      </w:r>
      <w:r>
        <w:rPr>
          <w:rFonts w:hint="default" w:ascii="Times New Roman" w:hAnsi="Times New Roman" w:cs="Times New Roman"/>
          <w:color w:val="auto"/>
        </w:rPr>
        <w:t>雨水</w:t>
      </w:r>
      <w:r>
        <w:rPr>
          <w:rFonts w:hint="default" w:ascii="Times New Roman" w:hAnsi="Times New Roman" w:cs="Times New Roman"/>
          <w:color w:val="auto"/>
          <w:lang w:val="en-US" w:eastAsia="zh-CN"/>
        </w:rPr>
        <w:t>池</w:t>
      </w:r>
      <w:r>
        <w:rPr>
          <w:rFonts w:hint="default" w:ascii="Times New Roman" w:hAnsi="Times New Roman" w:cs="Times New Roman"/>
          <w:color w:val="auto"/>
        </w:rPr>
        <w:t>及事故水池，事故发生的概率很低，本项目从环境风险的角度考虑是可行的。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环境风险评价</w:t>
      </w:r>
      <w:r>
        <w:rPr>
          <w:rFonts w:hint="default" w:ascii="Times New Roman" w:hAnsi="Times New Roman" w:eastAsia="宋体" w:cs="Times New Roman"/>
          <w:color w:val="auto"/>
          <w:kern w:val="2"/>
          <w:sz w:val="24"/>
          <w:szCs w:val="24"/>
          <w:highlight w:val="none"/>
          <w:lang w:val="en-US" w:eastAsia="zh-CN" w:bidi="ar-SA"/>
        </w:rPr>
        <w:t>自查表见附表4</w:t>
      </w:r>
      <w:r>
        <w:rPr>
          <w:rFonts w:hint="default" w:ascii="Times New Roman" w:hAnsi="Times New Roman" w:eastAsia="宋体" w:cs="Times New Roman"/>
          <w:color w:val="auto"/>
          <w:kern w:val="2"/>
          <w:sz w:val="24"/>
          <w:szCs w:val="24"/>
          <w:lang w:val="en-US" w:eastAsia="zh-CN" w:bidi="ar-SA"/>
        </w:rPr>
        <w:t>。</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br w:type="page"/>
      </w:r>
    </w:p>
    <w:p>
      <w:pPr>
        <w:pStyle w:val="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cs="Times New Roman"/>
          <w:color w:val="auto"/>
          <w:sz w:val="44"/>
          <w:szCs w:val="44"/>
        </w:rPr>
      </w:pPr>
      <w:bookmarkStart w:id="626" w:name="_Toc12545"/>
      <w:bookmarkStart w:id="627" w:name="_Toc3988"/>
      <w:r>
        <w:rPr>
          <w:rFonts w:hint="default" w:ascii="Times New Roman" w:hAnsi="Times New Roman" w:cs="Times New Roman"/>
          <w:color w:val="auto"/>
          <w:sz w:val="44"/>
          <w:szCs w:val="44"/>
        </w:rPr>
        <w:t>环境保护措施及其可行性论证</w:t>
      </w:r>
      <w:bookmarkEnd w:id="501"/>
      <w:bookmarkEnd w:id="626"/>
      <w:bookmarkEnd w:id="627"/>
    </w:p>
    <w:p>
      <w:pPr>
        <w:pStyle w:val="4"/>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rPr>
      </w:pPr>
      <w:bookmarkStart w:id="628" w:name="_Toc4826"/>
      <w:bookmarkStart w:id="629" w:name="_Toc23961"/>
      <w:r>
        <w:rPr>
          <w:rFonts w:hint="default" w:ascii="Times New Roman" w:hAnsi="Times New Roman" w:cs="Times New Roman"/>
          <w:color w:val="auto"/>
        </w:rPr>
        <w:t>大气污染防治措施</w:t>
      </w:r>
      <w:bookmarkEnd w:id="628"/>
      <w:bookmarkEnd w:id="629"/>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本项目各个生产设施都为密封设置，彼此通过密封管道连接。生产过程中产生的废气都由密封管道连接巴陵石化放空总管，通向巴陵石化火炬台进行燃烧处理，厂区内部不涉及废气的处置。项目各个生产设施都为密封设置，彼此通过密封管道连接</w:t>
      </w:r>
      <w:r>
        <w:rPr>
          <w:rFonts w:hint="default" w:ascii="Times New Roman" w:hAnsi="Times New Roman" w:cs="Times New Roman"/>
          <w:color w:val="auto"/>
          <w:lang w:eastAsia="zh-CN"/>
        </w:rPr>
        <w:t>，没有无组织废气产生</w:t>
      </w:r>
      <w:r>
        <w:rPr>
          <w:rFonts w:hint="default" w:ascii="Times New Roman" w:hAnsi="Times New Roman" w:cs="Times New Roman"/>
          <w:color w:val="auto"/>
        </w:rPr>
        <w:t>。</w:t>
      </w:r>
      <w:r>
        <w:rPr>
          <w:rFonts w:hint="default" w:ascii="Times New Roman" w:hAnsi="Times New Roman" w:cs="Times New Roman"/>
          <w:color w:val="auto"/>
          <w:lang w:eastAsia="zh-CN"/>
        </w:rPr>
        <w:t>本项目</w:t>
      </w:r>
      <w:r>
        <w:rPr>
          <w:rFonts w:hint="default" w:ascii="Times New Roman" w:hAnsi="Times New Roman" w:cs="Times New Roman"/>
          <w:color w:val="auto"/>
        </w:rPr>
        <w:t>配套气体收集系统，</w:t>
      </w:r>
      <w:r>
        <w:rPr>
          <w:rFonts w:hint="default" w:ascii="Times New Roman" w:hAnsi="Times New Roman" w:cs="Times New Roman"/>
          <w:color w:val="auto"/>
          <w:lang w:eastAsia="zh-CN"/>
        </w:rPr>
        <w:t>催化剂项目</w:t>
      </w:r>
      <w:r>
        <w:rPr>
          <w:rFonts w:hint="default" w:ascii="Times New Roman" w:hAnsi="Times New Roman" w:cs="Times New Roman"/>
          <w:color w:val="auto"/>
        </w:rPr>
        <w:t>废气</w:t>
      </w:r>
      <w:r>
        <w:rPr>
          <w:rFonts w:hint="default" w:ascii="Times New Roman" w:hAnsi="Times New Roman" w:cs="Times New Roman"/>
          <w:color w:val="auto"/>
          <w:lang w:eastAsia="zh-CN"/>
        </w:rPr>
        <w:t>接入鑫达一期项目原有废气排放的管网，新增</w:t>
      </w:r>
      <w:r>
        <w:rPr>
          <w:rFonts w:hint="default" w:ascii="Times New Roman" w:hAnsi="Times New Roman" w:cs="Times New Roman"/>
          <w:color w:val="auto"/>
          <w:lang w:val="en-US" w:eastAsia="zh-CN"/>
        </w:rPr>
        <w:t>3000m3/h风机系统，</w:t>
      </w:r>
      <w:r>
        <w:rPr>
          <w:rFonts w:hint="default" w:ascii="Times New Roman" w:hAnsi="Times New Roman" w:cs="Times New Roman"/>
          <w:color w:val="auto"/>
        </w:rPr>
        <w:t>进入巴陵石化放空总管，排至</w:t>
      </w:r>
      <w:r>
        <w:rPr>
          <w:rFonts w:hint="default" w:ascii="Times New Roman" w:hAnsi="Times New Roman" w:cs="Times New Roman"/>
          <w:color w:val="auto"/>
          <w:lang w:eastAsia="zh-CN"/>
        </w:rPr>
        <w:t>巴陵石化公司</w:t>
      </w:r>
      <w:r>
        <w:rPr>
          <w:rFonts w:hint="default" w:ascii="Times New Roman" w:hAnsi="Times New Roman" w:cs="Times New Roman"/>
          <w:color w:val="auto"/>
        </w:rPr>
        <w:t>火炬台进行燃烧处理</w:t>
      </w:r>
      <w:r>
        <w:rPr>
          <w:rFonts w:hint="default" w:ascii="Times New Roman" w:hAnsi="Times New Roman" w:cs="Times New Roman"/>
          <w:color w:val="auto"/>
          <w:lang w:eastAsia="zh-CN"/>
        </w:rPr>
        <w:t>。</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巴陵石化火炬台系统现有的一套火炬气回收装置采用压缩-冷凝-油吸收-解析工艺。首先利用碳四组分较高的露点，将废气经过压缩后用冷冻盐水冷却，其中大部分碳四组分因冷凝而分离；然后利用气柜气中有机组分与氮气等无机组分在吸收油中溶解度的极大差异，用60</w:t>
      </w:r>
      <w:r>
        <w:rPr>
          <w:rFonts w:hint="default" w:ascii="Times New Roman" w:hAnsi="Times New Roman" w:cs="Times New Roman"/>
          <w:color w:val="auto"/>
          <w:lang w:eastAsia="zh-CN"/>
        </w:rPr>
        <w:t>~</w:t>
      </w:r>
      <w:r>
        <w:rPr>
          <w:rFonts w:hint="default" w:ascii="Times New Roman" w:hAnsi="Times New Roman" w:cs="Times New Roman"/>
          <w:color w:val="auto"/>
        </w:rPr>
        <w:t>92℃馏份的吸收油吸收气柜气中的有机组分，吸收油变为富油，N2等不凝气体则从塔顶排出；再利用被吸收的有机组分与吸收油的沸点不同，通过精馏的方式使其分离出来，经冷凝后得到液化气产品，吸收油则变为贫油循环使用。</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项目</w:t>
      </w:r>
      <w:r>
        <w:rPr>
          <w:rFonts w:hint="default" w:ascii="Times New Roman" w:hAnsi="Times New Roman" w:cs="Times New Roman"/>
          <w:color w:val="auto"/>
          <w:lang w:eastAsia="zh-CN"/>
        </w:rPr>
        <w:t>氮气加压携带的</w:t>
      </w:r>
      <w:r>
        <w:rPr>
          <w:rFonts w:hint="default" w:ascii="Times New Roman" w:hAnsi="Times New Roman" w:cs="Times New Roman"/>
          <w:color w:val="auto"/>
        </w:rPr>
        <w:t>挥发性有机废气经管道收集后，通过巴陵石化放空总管通至低温冷凝+压缩冷凝回收装置处理后，回收有机废气，由冷凝器顶外排至火炬回收系统，现有火炬系统处理量为800Nm</w:t>
      </w:r>
      <w:r>
        <w:rPr>
          <w:rFonts w:hint="default" w:ascii="Times New Roman" w:hAnsi="Times New Roman" w:cs="Times New Roman"/>
          <w:color w:val="auto"/>
          <w:vertAlign w:val="superscript"/>
        </w:rPr>
        <w:t>3</w:t>
      </w:r>
      <w:r>
        <w:rPr>
          <w:rFonts w:hint="default" w:ascii="Times New Roman" w:hAnsi="Times New Roman" w:cs="Times New Roman"/>
          <w:color w:val="auto"/>
        </w:rPr>
        <w:t>/min，火炬直径0.8m，高80m，完全可依托现有火炬系统处理。</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本项目产生的收集的各种工艺废气，通过管道送火炬系统，经火炬气回收装置回收烃类物质后，再通过管道至火炬头高空燃烧，燃烧后排放的烟气成分主要为二氧化碳和水。</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巴陵石化火炬系统按国内先进水平设计，对各装置产生的放空气首先进行回收，火炬系统符合熄灭火炬的节能、安全、环保要求，其冷凝回收效率为99%。</w:t>
      </w:r>
    </w:p>
    <w:p>
      <w:pPr>
        <w:pStyle w:val="4"/>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rPr>
      </w:pPr>
      <w:bookmarkStart w:id="630" w:name="_Toc9054"/>
      <w:bookmarkStart w:id="631" w:name="_Toc21243"/>
      <w:r>
        <w:rPr>
          <w:rFonts w:hint="default" w:ascii="Times New Roman" w:hAnsi="Times New Roman" w:cs="Times New Roman"/>
          <w:color w:val="auto"/>
        </w:rPr>
        <w:t>地表水污染防治措施</w:t>
      </w:r>
      <w:bookmarkEnd w:id="630"/>
      <w:bookmarkEnd w:id="631"/>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本项目污水防治是依托巴陵石化现有的污水处理厂。按照污水处理厂的处理要求，对产生的污水通过</w:t>
      </w:r>
      <w:r>
        <w:rPr>
          <w:rFonts w:hint="default" w:ascii="Times New Roman" w:hAnsi="Times New Roman" w:cs="Times New Roman"/>
          <w:color w:val="auto"/>
          <w:lang w:eastAsia="zh-CN"/>
        </w:rPr>
        <w:t>“</w:t>
      </w:r>
      <w:r>
        <w:rPr>
          <w:rFonts w:hint="default" w:ascii="Times New Roman" w:hAnsi="Times New Roman" w:cs="Times New Roman"/>
          <w:color w:val="auto"/>
        </w:rPr>
        <w:t>雨污分流、清污分流</w:t>
      </w:r>
      <w:r>
        <w:rPr>
          <w:rFonts w:hint="default" w:ascii="Times New Roman" w:hAnsi="Times New Roman" w:cs="Times New Roman"/>
          <w:color w:val="auto"/>
          <w:lang w:eastAsia="zh-CN"/>
        </w:rPr>
        <w:t>”</w:t>
      </w:r>
      <w:r>
        <w:rPr>
          <w:rFonts w:hint="default" w:ascii="Times New Roman" w:hAnsi="Times New Roman" w:cs="Times New Roman"/>
          <w:color w:val="auto"/>
        </w:rPr>
        <w:t>等措施实行分类排放，确保污水能够得到有效的处理。</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rPr>
      </w:pPr>
      <w:bookmarkStart w:id="632" w:name="_Toc30532"/>
      <w:bookmarkStart w:id="633" w:name="_Toc32328"/>
      <w:bookmarkStart w:id="634" w:name="_Toc4614"/>
      <w:bookmarkStart w:id="635" w:name="_Toc19809"/>
      <w:bookmarkStart w:id="636" w:name="_Toc28381"/>
      <w:bookmarkStart w:id="637" w:name="_Toc359485697"/>
      <w:bookmarkStart w:id="638" w:name="_Toc30646"/>
      <w:bookmarkStart w:id="639" w:name="_Toc31609"/>
      <w:bookmarkStart w:id="640" w:name="_Toc18322"/>
      <w:bookmarkStart w:id="641" w:name="_Toc25082"/>
      <w:r>
        <w:rPr>
          <w:rFonts w:hint="default" w:ascii="Times New Roman" w:hAnsi="Times New Roman" w:cs="Times New Roman"/>
          <w:color w:val="auto"/>
        </w:rPr>
        <w:t>污水收集排放系统</w:t>
      </w:r>
      <w:bookmarkEnd w:id="632"/>
      <w:bookmarkEnd w:id="633"/>
      <w:bookmarkEnd w:id="634"/>
      <w:bookmarkEnd w:id="635"/>
      <w:bookmarkEnd w:id="636"/>
      <w:bookmarkEnd w:id="637"/>
      <w:bookmarkEnd w:id="638"/>
      <w:bookmarkEnd w:id="639"/>
      <w:bookmarkEnd w:id="640"/>
      <w:bookmarkEnd w:id="641"/>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本项目污水收集排放系统分类情况如下：</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（1）生产废水收集排放系统</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由《岳阳鑫达实业有限公司常规检测报告》岳衡检字[2017]第159-22号内容可知项目生产废水各项水质监测指标均能够满足厂区总排口污染物浓度限值，接入厂区内暗沟系统，最终进入巴陵石化生化污水处理厂。</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（2）初期雨水收集排放系统</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bookmarkStart w:id="642" w:name="_Toc359485698"/>
      <w:r>
        <w:rPr>
          <w:rFonts w:hint="default" w:ascii="Times New Roman" w:hAnsi="Times New Roman" w:cs="Times New Roman"/>
          <w:color w:val="auto"/>
        </w:rPr>
        <w:t>项目生产厂区周边设置有排水沟</w:t>
      </w:r>
      <w:r>
        <w:rPr>
          <w:rFonts w:hint="default" w:ascii="Times New Roman" w:hAnsi="Times New Roman" w:cs="Times New Roman"/>
          <w:color w:val="auto"/>
          <w:lang w:eastAsia="zh-CN"/>
        </w:rPr>
        <w:t>通过阀门</w:t>
      </w:r>
      <w:r>
        <w:rPr>
          <w:rFonts w:hint="default" w:ascii="Times New Roman" w:hAnsi="Times New Roman" w:cs="Times New Roman"/>
          <w:color w:val="auto"/>
        </w:rPr>
        <w:t>，接入厂区内暗沟系统，最终进入巴陵石化生化污水处理厂，后期的清洁雨水通过厂区明沟排至</w:t>
      </w:r>
      <w:r>
        <w:rPr>
          <w:rFonts w:hint="default" w:ascii="Times New Roman" w:hAnsi="Times New Roman" w:cs="Times New Roman"/>
          <w:color w:val="auto"/>
          <w:lang w:eastAsia="zh-CN"/>
        </w:rPr>
        <w:t>松杨湖</w:t>
      </w:r>
      <w:r>
        <w:rPr>
          <w:rFonts w:hint="default" w:ascii="Times New Roman" w:hAnsi="Times New Roman" w:cs="Times New Roman"/>
          <w:color w:val="auto"/>
        </w:rPr>
        <w:t>。</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rPr>
      </w:pPr>
      <w:bookmarkStart w:id="643" w:name="_Toc9661"/>
      <w:bookmarkStart w:id="644" w:name="_Toc1038"/>
      <w:bookmarkStart w:id="645" w:name="_Toc5054"/>
      <w:bookmarkStart w:id="646" w:name="_Toc23659"/>
      <w:bookmarkStart w:id="647" w:name="_Toc8716"/>
      <w:bookmarkStart w:id="648" w:name="_Toc29721"/>
      <w:bookmarkStart w:id="649" w:name="_Toc23683"/>
      <w:bookmarkStart w:id="650" w:name="_Toc12300"/>
      <w:bookmarkStart w:id="651" w:name="_Toc20814"/>
      <w:r>
        <w:rPr>
          <w:rFonts w:hint="default" w:ascii="Times New Roman" w:hAnsi="Times New Roman" w:cs="Times New Roman"/>
          <w:color w:val="auto"/>
        </w:rPr>
        <w:t>初期雨水和事故废水防治措施</w:t>
      </w:r>
      <w:bookmarkEnd w:id="642"/>
      <w:bookmarkEnd w:id="643"/>
      <w:bookmarkEnd w:id="644"/>
      <w:bookmarkEnd w:id="645"/>
      <w:bookmarkEnd w:id="646"/>
      <w:bookmarkEnd w:id="647"/>
      <w:bookmarkEnd w:id="648"/>
      <w:bookmarkEnd w:id="649"/>
      <w:bookmarkEnd w:id="650"/>
      <w:bookmarkEnd w:id="651"/>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初期雨水收集的工作流程：</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正常状态时，生产装置区初期雨水（前30分钟）经排水沟收集后，通过污水阀门切换自流进入</w:t>
      </w:r>
      <w:r>
        <w:rPr>
          <w:rFonts w:hint="default" w:ascii="Times New Roman" w:hAnsi="Times New Roman" w:cs="Times New Roman"/>
          <w:color w:val="auto"/>
          <w:lang w:eastAsia="zh-CN"/>
        </w:rPr>
        <w:t>暗沟</w:t>
      </w:r>
      <w:r>
        <w:rPr>
          <w:rFonts w:hint="default" w:ascii="Times New Roman" w:hAnsi="Times New Roman" w:cs="Times New Roman"/>
          <w:color w:val="auto"/>
        </w:rPr>
        <w:t>，再打入厂区暗沟系统，送至巴陵石化污水处理厂进行处理；后期雨水通过清水阀门切换进入明沟系统，最终排入</w:t>
      </w:r>
      <w:r>
        <w:rPr>
          <w:rFonts w:hint="default" w:ascii="Times New Roman" w:hAnsi="Times New Roman" w:cs="Times New Roman"/>
          <w:color w:val="auto"/>
          <w:lang w:eastAsia="zh-CN"/>
        </w:rPr>
        <w:t>松杨湖</w:t>
      </w:r>
      <w:r>
        <w:rPr>
          <w:rFonts w:hint="default" w:ascii="Times New Roman" w:hAnsi="Times New Roman" w:cs="Times New Roman"/>
          <w:color w:val="auto"/>
        </w:rPr>
        <w:t>。</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厂区设有事故应急池，生产装置区位于事故应急池辐射体系范围内</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当厂区发生突发性环境事故时，能够确保事故废水不会经由厂区内排水管道进入厂区附近地表水系。装置事故收集池容积不能满足要求时，可考虑统治巴陵石化污水处理厂通过管道将事故废水输送至全厂事故收集池。</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事故时，首先将排水沟的清水阀门关闭，进入装置区周围排水沟的事故水均通过污水阀门切换至事故收集池进行储存。待事故完毕，对收集池水进行检测。根据检测结果，收集池的水送至巴陵石化污水处理厂进行处理；或收集池的水再用泵提升送至雨水沟内排至</w:t>
      </w:r>
      <w:r>
        <w:rPr>
          <w:rFonts w:hint="default" w:ascii="Times New Roman" w:hAnsi="Times New Roman" w:cs="Times New Roman"/>
          <w:color w:val="auto"/>
          <w:lang w:eastAsia="zh-CN"/>
        </w:rPr>
        <w:t>松杨湖</w:t>
      </w:r>
      <w:r>
        <w:rPr>
          <w:rFonts w:hint="default" w:ascii="Times New Roman" w:hAnsi="Times New Roman" w:cs="Times New Roman"/>
          <w:color w:val="auto"/>
        </w:rPr>
        <w:t>。</w:t>
      </w:r>
      <w:bookmarkStart w:id="652" w:name="_Toc359485699"/>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生产装置区采用污水收集环沟、事故收集池、污水处理厂三级防护确保能够妥善处置项目废水。</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rPr>
      </w:pPr>
      <w:bookmarkStart w:id="653" w:name="_Toc28974"/>
      <w:bookmarkStart w:id="654" w:name="_Toc16673"/>
      <w:bookmarkStart w:id="655" w:name="_Toc25615"/>
      <w:bookmarkStart w:id="656" w:name="_Toc5609"/>
      <w:bookmarkStart w:id="657" w:name="_Toc10548"/>
      <w:bookmarkStart w:id="658" w:name="_Toc18972"/>
      <w:bookmarkStart w:id="659" w:name="_Toc32402"/>
      <w:bookmarkStart w:id="660" w:name="_Toc4721"/>
      <w:bookmarkStart w:id="661" w:name="_Toc10720"/>
      <w:r>
        <w:rPr>
          <w:rFonts w:hint="default" w:ascii="Times New Roman" w:hAnsi="Times New Roman" w:cs="Times New Roman"/>
          <w:color w:val="auto"/>
        </w:rPr>
        <w:t>污水处理厂对本工程废水的可接纳性分析</w:t>
      </w:r>
      <w:bookmarkEnd w:id="652"/>
      <w:bookmarkEnd w:id="653"/>
      <w:bookmarkEnd w:id="654"/>
      <w:bookmarkEnd w:id="655"/>
      <w:bookmarkEnd w:id="656"/>
      <w:bookmarkEnd w:id="657"/>
      <w:bookmarkEnd w:id="658"/>
      <w:bookmarkEnd w:id="659"/>
      <w:bookmarkEnd w:id="660"/>
      <w:bookmarkEnd w:id="661"/>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本项目产生的生产污水、初期雨水均依托巴陵石化已建的污水处理厂进行处理，因此，需对项目产生的污水处理可行性进行分析。</w:t>
      </w:r>
      <w:bookmarkStart w:id="662" w:name="_Toc360204301"/>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（1）项目废水预处理排放情况</w:t>
      </w:r>
      <w:bookmarkEnd w:id="662"/>
      <w:r>
        <w:rPr>
          <w:rFonts w:hint="default" w:ascii="Times New Roman" w:hAnsi="Times New Roman" w:cs="Times New Roman"/>
          <w:color w:val="auto"/>
        </w:rPr>
        <w:t xml:space="preserve"> </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本项目生活污水、生产废水、初期雨水送至巴陵石化处理厂处理。</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项目</w:t>
      </w:r>
      <w:r>
        <w:rPr>
          <w:rFonts w:hint="default" w:ascii="Times New Roman" w:hAnsi="Times New Roman" w:cs="Times New Roman"/>
          <w:color w:val="auto"/>
          <w:lang w:val="en-US" w:eastAsia="zh-CN"/>
        </w:rPr>
        <w:t>生产废水</w:t>
      </w:r>
      <w:r>
        <w:rPr>
          <w:rFonts w:hint="default" w:ascii="Times New Roman" w:hAnsi="Times New Roman" w:cs="Times New Roman"/>
          <w:color w:val="auto"/>
        </w:rPr>
        <w:t>产生量为</w:t>
      </w:r>
      <w:r>
        <w:rPr>
          <w:rFonts w:hint="default" w:ascii="Times New Roman" w:hAnsi="Times New Roman" w:cs="Times New Roman"/>
          <w:color w:val="auto"/>
          <w:lang w:val="en-US" w:eastAsia="zh-CN"/>
        </w:rPr>
        <w:t>1538.1</w:t>
      </w:r>
      <w:r>
        <w:rPr>
          <w:rFonts w:hint="default" w:ascii="Times New Roman" w:hAnsi="Times New Roman" w:cs="Times New Roman"/>
          <w:color w:val="auto"/>
        </w:rPr>
        <w:t>t/a，生活污水排放量为391.68，初期雨水量为489t/a，生活污水、生产废水与初期雨水经排水管道进入巴陵石化污水处理厂，厂区排水各项指标符合污水处理厂的进行水质要求。</w:t>
      </w:r>
      <w:bookmarkStart w:id="663" w:name="_Toc360204302"/>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处理工艺说明：</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目前，处理含镍废水最常用的方法是以氢氧化物和硫化物为主的传统化学沉淀法，</w:t>
      </w:r>
      <w:r>
        <w:rPr>
          <w:rFonts w:hint="default" w:ascii="Times New Roman" w:hAnsi="Times New Roman" w:cs="Times New Roman"/>
          <w:color w:val="auto"/>
          <w:lang w:val="en-US" w:eastAsia="zh-CN"/>
        </w:rPr>
        <w:t>本项目采用</w:t>
      </w:r>
      <w:r>
        <w:rPr>
          <w:rFonts w:hint="default" w:ascii="Times New Roman" w:hAnsi="Times New Roman" w:cs="Times New Roman"/>
          <w:color w:val="auto"/>
        </w:rPr>
        <w:t>氢氧化物沉淀法</w:t>
      </w:r>
      <w:r>
        <w:rPr>
          <w:rFonts w:hint="default" w:ascii="Times New Roman" w:hAnsi="Times New Roman" w:cs="Times New Roman"/>
          <w:color w:val="auto"/>
          <w:lang w:val="en-US" w:eastAsia="zh-CN"/>
        </w:rPr>
        <w:t>处理含镍废水</w:t>
      </w:r>
      <w:r>
        <w:rPr>
          <w:rFonts w:hint="default" w:ascii="Times New Roman" w:hAnsi="Times New Roman" w:cs="Times New Roman"/>
          <w:color w:val="auto"/>
        </w:rPr>
        <w:t>。</w:t>
      </w:r>
      <w:r>
        <w:rPr>
          <w:rFonts w:hint="default" w:ascii="Times New Roman" w:hAnsi="Times New Roman" w:cs="Times New Roman"/>
          <w:color w:val="auto"/>
          <w:lang w:val="en-US" w:eastAsia="zh-CN"/>
        </w:rPr>
        <w:t>通过</w:t>
      </w:r>
      <w:r>
        <w:rPr>
          <w:rFonts w:hint="default" w:ascii="Times New Roman" w:hAnsi="Times New Roman" w:cs="Times New Roman"/>
          <w:color w:val="auto"/>
        </w:rPr>
        <w:t>在废水中加入氢氧化钠，生成难溶的氢氧化镍沉淀，分离</w:t>
      </w:r>
      <w:r>
        <w:rPr>
          <w:rFonts w:hint="default" w:ascii="Times New Roman" w:hAnsi="Times New Roman" w:cs="Times New Roman"/>
          <w:color w:val="auto"/>
          <w:lang w:val="en-US" w:eastAsia="zh-CN"/>
        </w:rPr>
        <w:t>去除</w:t>
      </w:r>
      <w:r>
        <w:rPr>
          <w:rFonts w:hint="default" w:ascii="Times New Roman" w:hAnsi="Times New Roman" w:cs="Times New Roman"/>
          <w:color w:val="auto"/>
        </w:rPr>
        <w:t>镍。废水加碱处理后PH值约为12，送中和槽用酸中和至PH＜9，经处理后的废液中含镍量小于</w:t>
      </w:r>
      <w:r>
        <w:rPr>
          <w:rFonts w:hint="default" w:ascii="Times New Roman" w:hAnsi="Times New Roman" w:cs="Times New Roman"/>
          <w:color w:val="auto"/>
          <w:lang w:val="en-US" w:eastAsia="zh-CN"/>
        </w:rPr>
        <w:t>1mg</w:t>
      </w:r>
      <w:r>
        <w:rPr>
          <w:rFonts w:hint="default" w:ascii="Times New Roman" w:hAnsi="Times New Roman" w:cs="Times New Roman"/>
          <w:color w:val="auto"/>
        </w:rPr>
        <w:t>/</w:t>
      </w:r>
      <w:r>
        <w:rPr>
          <w:rFonts w:hint="default" w:ascii="Times New Roman" w:hAnsi="Times New Roman" w:cs="Times New Roman"/>
          <w:color w:val="auto"/>
          <w:lang w:val="en-US" w:eastAsia="zh-CN"/>
        </w:rPr>
        <w:t>L</w:t>
      </w:r>
      <w:r>
        <w:rPr>
          <w:rFonts w:hint="default" w:ascii="Times New Roman" w:hAnsi="Times New Roman" w:cs="Times New Roman"/>
          <w:color w:val="auto"/>
        </w:rPr>
        <w:t>，达到排放标准（车间处理设施排出口允许最大浓度为1mg/L），并排入污水处理厂。</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color w:val="auto"/>
          <w:lang w:eastAsia="zh-CN"/>
        </w:rPr>
        <w:t>园区</w:t>
      </w:r>
      <w:r>
        <w:rPr>
          <w:rFonts w:hint="default" w:ascii="Times New Roman" w:hAnsi="Times New Roman" w:cs="Times New Roman"/>
          <w:color w:val="auto"/>
        </w:rPr>
        <w:t>污水处理厂接纳废水后情况分析</w:t>
      </w:r>
      <w:bookmarkEnd w:id="663"/>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巴陵石化污水处理厂分为生物预处理+曝气系统、</w:t>
      </w:r>
      <w:bookmarkStart w:id="664" w:name="OLE_LINK5"/>
      <w:r>
        <w:rPr>
          <w:rFonts w:hint="default" w:ascii="Times New Roman" w:hAnsi="Times New Roman" w:cs="Times New Roman"/>
          <w:color w:val="auto"/>
        </w:rPr>
        <w:t>A/O2系统生化处理系统</w:t>
      </w:r>
      <w:bookmarkEnd w:id="664"/>
      <w:r>
        <w:rPr>
          <w:rFonts w:hint="default" w:ascii="Times New Roman" w:hAnsi="Times New Roman" w:cs="Times New Roman"/>
          <w:color w:val="auto"/>
        </w:rPr>
        <w:t>、环氧污水处理系统三个系列，其中生物预处理+曝气系统为400t/h、A/O2系统生化处理系统为300t/h、环氧污水系列为500 t/h（单独处理环氧污水）。</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生化污水处理厂（包括生物预处理+曝气系统和A/O2系统生化处理系统）总规模将达到700m</w:t>
      </w:r>
      <w:r>
        <w:rPr>
          <w:rFonts w:hint="default" w:ascii="Times New Roman" w:hAnsi="Times New Roman" w:cs="Times New Roman"/>
          <w:color w:val="auto"/>
          <w:vertAlign w:val="superscript"/>
        </w:rPr>
        <w:t>3</w:t>
      </w:r>
      <w:r>
        <w:rPr>
          <w:rFonts w:hint="default" w:ascii="Times New Roman" w:hAnsi="Times New Roman" w:cs="Times New Roman"/>
          <w:color w:val="auto"/>
        </w:rPr>
        <w:t>/h，目前实际处理废水量为520m</w:t>
      </w:r>
      <w:r>
        <w:rPr>
          <w:rFonts w:hint="default" w:ascii="Times New Roman" w:hAnsi="Times New Roman" w:cs="Times New Roman"/>
          <w:color w:val="auto"/>
          <w:vertAlign w:val="superscript"/>
        </w:rPr>
        <w:t>3</w:t>
      </w:r>
      <w:r>
        <w:rPr>
          <w:rFonts w:hint="default" w:ascii="Times New Roman" w:hAnsi="Times New Roman" w:cs="Times New Roman"/>
          <w:color w:val="auto"/>
        </w:rPr>
        <w:t>/h，还有180m</w:t>
      </w:r>
      <w:r>
        <w:rPr>
          <w:rFonts w:hint="default" w:ascii="Times New Roman" w:hAnsi="Times New Roman" w:cs="Times New Roman"/>
          <w:color w:val="auto"/>
          <w:vertAlign w:val="superscript"/>
        </w:rPr>
        <w:t>3</w:t>
      </w:r>
      <w:r>
        <w:rPr>
          <w:rFonts w:hint="default" w:ascii="Times New Roman" w:hAnsi="Times New Roman" w:cs="Times New Roman"/>
          <w:color w:val="auto"/>
        </w:rPr>
        <w:t>/h的处理规模。本项目已顺利运行多年，现有的污水处理厂完全可以接纳这部分废水。</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（3）</w:t>
      </w:r>
      <w:r>
        <w:rPr>
          <w:rFonts w:hint="default" w:ascii="Times New Roman" w:hAnsi="Times New Roman" w:cs="Times New Roman"/>
          <w:color w:val="auto"/>
          <w:lang w:eastAsia="zh-CN"/>
        </w:rPr>
        <w:t>园区</w:t>
      </w:r>
      <w:r>
        <w:rPr>
          <w:rFonts w:hint="default" w:ascii="Times New Roman" w:hAnsi="Times New Roman" w:cs="Times New Roman"/>
          <w:color w:val="auto"/>
        </w:rPr>
        <w:t>污水处理厂工艺流程介绍</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生产污水和需处理的初期雨水流进入污水处理厂前一座5000m</w:t>
      </w:r>
      <w:r>
        <w:rPr>
          <w:rFonts w:hint="default" w:ascii="Times New Roman" w:hAnsi="Times New Roman" w:cs="Times New Roman"/>
          <w:color w:val="auto"/>
          <w:vertAlign w:val="superscript"/>
        </w:rPr>
        <w:t>3</w:t>
      </w:r>
      <w:r>
        <w:rPr>
          <w:rFonts w:hint="default" w:ascii="Times New Roman" w:hAnsi="Times New Roman" w:cs="Times New Roman"/>
          <w:color w:val="auto"/>
        </w:rPr>
        <w:t>调节池，调节池主要起均衡水质、调节水量作用，使进入污水处理厂的污水达到水质、水量的均衡，减少对后续处理工艺的冲击，稳定出水水质。</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lang w:eastAsia="zh-CN"/>
        </w:rPr>
        <w:t>园区</w:t>
      </w:r>
      <w:r>
        <w:rPr>
          <w:rFonts w:hint="default" w:ascii="Times New Roman" w:hAnsi="Times New Roman" w:cs="Times New Roman"/>
          <w:color w:val="auto"/>
        </w:rPr>
        <w:t>生化处理工艺流程见图</w:t>
      </w:r>
      <w:r>
        <w:rPr>
          <w:rFonts w:hint="default" w:ascii="Times New Roman" w:hAnsi="Times New Roman" w:cs="Times New Roman"/>
          <w:color w:val="auto"/>
          <w:lang w:val="en-US" w:eastAsia="zh-CN"/>
        </w:rPr>
        <w:t>8-2</w:t>
      </w:r>
      <w:r>
        <w:rPr>
          <w:rFonts w:hint="default" w:ascii="Times New Roman" w:hAnsi="Times New Roman" w:cs="Times New Roman"/>
          <w:color w:val="auto"/>
        </w:rPr>
        <w:t>。</w:t>
      </w:r>
    </w:p>
    <w:p>
      <w:pPr>
        <w:pStyle w:val="39"/>
        <w:bidi w:val="0"/>
        <w:jc w:val="center"/>
        <w:rPr>
          <w:rFonts w:hint="default" w:ascii="Times New Roman" w:hAnsi="Times New Roman" w:cs="Times New Roman"/>
          <w:b/>
          <w:bCs/>
          <w:color w:val="auto"/>
          <w:sz w:val="21"/>
          <w:szCs w:val="21"/>
        </w:rPr>
      </w:pPr>
      <w:r>
        <w:rPr>
          <w:rFonts w:hint="eastAsia" w:ascii="Times New Roman" w:hAnsi="Times New Roman" w:eastAsia="宋体" w:cs="Times New Roman"/>
          <w:color w:val="auto"/>
          <w:lang w:eastAsia="zh-CN"/>
        </w:rPr>
        <w:drawing>
          <wp:anchor distT="0" distB="0" distL="114300" distR="114300" simplePos="0" relativeHeight="251676672" behindDoc="1" locked="0" layoutInCell="1" allowOverlap="1">
            <wp:simplePos x="0" y="0"/>
            <wp:positionH relativeFrom="column">
              <wp:posOffset>304800</wp:posOffset>
            </wp:positionH>
            <wp:positionV relativeFrom="paragraph">
              <wp:posOffset>0</wp:posOffset>
            </wp:positionV>
            <wp:extent cx="5457825" cy="3086100"/>
            <wp:effectExtent l="0" t="0" r="9525" b="0"/>
            <wp:wrapTight wrapText="bothSides">
              <wp:wrapPolygon>
                <wp:start x="0" y="0"/>
                <wp:lineTo x="0" y="21467"/>
                <wp:lineTo x="21562" y="21467"/>
                <wp:lineTo x="21562" y="0"/>
                <wp:lineTo x="0" y="0"/>
              </wp:wrapPolygon>
            </wp:wrapTight>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60"/>
                    <a:stretch>
                      <a:fillRect/>
                    </a:stretch>
                  </pic:blipFill>
                  <pic:spPr>
                    <a:xfrm>
                      <a:off x="0" y="0"/>
                      <a:ext cx="5457825" cy="3086100"/>
                    </a:xfrm>
                    <a:prstGeom prst="rect">
                      <a:avLst/>
                    </a:prstGeom>
                  </pic:spPr>
                </pic:pic>
              </a:graphicData>
            </a:graphic>
          </wp:anchor>
        </w:drawing>
      </w:r>
      <w:r>
        <w:rPr>
          <w:rFonts w:hint="default" w:ascii="Times New Roman" w:hAnsi="Times New Roman" w:cs="Times New Roman"/>
          <w:b/>
          <w:bCs/>
          <w:color w:val="auto"/>
          <w:sz w:val="21"/>
          <w:szCs w:val="21"/>
        </w:rPr>
        <w:t>图</w:t>
      </w:r>
      <w:r>
        <w:rPr>
          <w:rFonts w:hint="default" w:ascii="Times New Roman" w:hAnsi="Times New Roman" w:cs="Times New Roman"/>
          <w:b/>
          <w:bCs/>
          <w:color w:val="auto"/>
          <w:sz w:val="21"/>
          <w:szCs w:val="21"/>
          <w:lang w:val="en-US" w:eastAsia="zh-CN"/>
        </w:rPr>
        <w:t>8</w:t>
      </w:r>
      <w:r>
        <w:rPr>
          <w:rFonts w:hint="default" w:ascii="Times New Roman" w:hAnsi="Times New Roman" w:cs="Times New Roman"/>
          <w:b/>
          <w:bCs/>
          <w:color w:val="auto"/>
          <w:sz w:val="21"/>
          <w:szCs w:val="21"/>
        </w:rPr>
        <w:t>-</w:t>
      </w:r>
      <w:r>
        <w:rPr>
          <w:rFonts w:hint="default"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rPr>
        <w:t xml:space="preserve">  </w:t>
      </w:r>
      <w:r>
        <w:rPr>
          <w:rFonts w:hint="default" w:ascii="Times New Roman" w:hAnsi="Times New Roman" w:cs="Times New Roman"/>
          <w:b/>
          <w:bCs/>
          <w:color w:val="auto"/>
          <w:sz w:val="21"/>
          <w:szCs w:val="21"/>
          <w:lang w:eastAsia="zh-CN"/>
        </w:rPr>
        <w:t>园区</w:t>
      </w:r>
      <w:r>
        <w:rPr>
          <w:rFonts w:hint="default" w:ascii="Times New Roman" w:hAnsi="Times New Roman" w:cs="Times New Roman"/>
          <w:b/>
          <w:bCs/>
          <w:color w:val="auto"/>
          <w:sz w:val="21"/>
          <w:szCs w:val="21"/>
        </w:rPr>
        <w:t>污水处理厂工艺流程图</w:t>
      </w:r>
      <w:bookmarkStart w:id="665" w:name="_Toc360204303"/>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（4）项目废水处理可行性分析</w:t>
      </w:r>
      <w:bookmarkEnd w:id="665"/>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本项目生活污水在厂区内化粪池内处理后进入厂区污水管网通往巴陵石化污水处理厂处理，</w:t>
      </w:r>
      <w:r>
        <w:rPr>
          <w:rFonts w:hint="default" w:ascii="Times New Roman" w:hAnsi="Times New Roman" w:cs="Times New Roman"/>
          <w:color w:val="auto"/>
          <w:lang w:val="en-US" w:eastAsia="zh-CN"/>
        </w:rPr>
        <w:t>生产废水</w:t>
      </w:r>
      <w:r>
        <w:rPr>
          <w:rFonts w:hint="default" w:ascii="Times New Roman" w:hAnsi="Times New Roman" w:cs="Times New Roman"/>
          <w:color w:val="auto"/>
        </w:rPr>
        <w:t>进行酸碱中和后排入污水管网通往巴陵石化污水处理厂</w:t>
      </w:r>
      <w:r>
        <w:rPr>
          <w:rFonts w:hint="default" w:ascii="Times New Roman" w:hAnsi="Times New Roman" w:cs="Times New Roman"/>
          <w:color w:val="auto"/>
          <w:lang w:eastAsia="zh-CN"/>
        </w:rPr>
        <w:t>。</w:t>
      </w:r>
      <w:r>
        <w:rPr>
          <w:rFonts w:hint="default" w:ascii="Times New Roman" w:hAnsi="Times New Roman" w:cs="Times New Roman"/>
          <w:color w:val="auto"/>
        </w:rPr>
        <w:t>项目废水</w:t>
      </w:r>
      <w:r>
        <w:rPr>
          <w:rFonts w:hint="default" w:ascii="Times New Roman" w:hAnsi="Times New Roman" w:cs="Times New Roman"/>
          <w:color w:val="auto"/>
          <w:lang w:val="en-US" w:eastAsia="zh-CN"/>
        </w:rPr>
        <w:t>量小，</w:t>
      </w:r>
      <w:r>
        <w:rPr>
          <w:rFonts w:hint="default" w:ascii="Times New Roman" w:hAnsi="Times New Roman" w:cs="Times New Roman"/>
          <w:color w:val="auto"/>
        </w:rPr>
        <w:t>排</w:t>
      </w:r>
      <w:r>
        <w:rPr>
          <w:rFonts w:hint="default" w:ascii="Times New Roman" w:hAnsi="Times New Roman" w:cs="Times New Roman"/>
          <w:color w:val="auto"/>
          <w:lang w:val="en-US" w:eastAsia="zh-CN"/>
        </w:rPr>
        <w:t>水水质</w:t>
      </w:r>
      <w:r>
        <w:rPr>
          <w:rFonts w:hint="default" w:ascii="Times New Roman" w:hAnsi="Times New Roman" w:cs="Times New Roman"/>
          <w:color w:val="auto"/>
        </w:rPr>
        <w:t>能够达到巴陵石化污水处理厂接管标准，污水处理厂对本项目废水完全能够接纳处理。</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lang w:eastAsia="zh-CN"/>
        </w:rPr>
        <w:t>巴陵石化公司</w:t>
      </w:r>
      <w:r>
        <w:rPr>
          <w:rFonts w:hint="default" w:ascii="Times New Roman" w:hAnsi="Times New Roman" w:cs="Times New Roman"/>
          <w:color w:val="auto"/>
        </w:rPr>
        <w:t>监测一站20</w:t>
      </w:r>
      <w:r>
        <w:rPr>
          <w:rFonts w:hint="default" w:ascii="Times New Roman" w:hAnsi="Times New Roman" w:cs="Times New Roman"/>
          <w:color w:val="auto"/>
          <w:lang w:val="en-US" w:eastAsia="zh-CN"/>
        </w:rPr>
        <w:t>20</w:t>
      </w:r>
      <w:r>
        <w:rPr>
          <w:rFonts w:hint="default" w:ascii="Times New Roman" w:hAnsi="Times New Roman" w:cs="Times New Roman"/>
          <w:color w:val="auto"/>
        </w:rPr>
        <w:t>年对巴陵石化生化污水处理厂总排口进行例行监测，监测数据见</w:t>
      </w:r>
      <w:r>
        <w:rPr>
          <w:rFonts w:hint="default" w:ascii="Times New Roman" w:hAnsi="Times New Roman" w:cs="Times New Roman"/>
          <w:color w:val="auto"/>
          <w:lang w:eastAsia="zh-CN"/>
        </w:rPr>
        <w:t>第三章</w:t>
      </w:r>
      <w:r>
        <w:rPr>
          <w:rFonts w:hint="default" w:ascii="Times New Roman" w:hAnsi="Times New Roman" w:cs="Times New Roman"/>
          <w:color w:val="auto"/>
        </w:rPr>
        <w:t>表</w:t>
      </w:r>
      <w:r>
        <w:rPr>
          <w:rFonts w:hint="default" w:ascii="Times New Roman" w:hAnsi="Times New Roman" w:cs="Times New Roman"/>
          <w:color w:val="auto"/>
          <w:lang w:val="en-US" w:eastAsia="zh-CN"/>
        </w:rPr>
        <w:t>3-8</w:t>
      </w:r>
      <w:r>
        <w:rPr>
          <w:rFonts w:hint="default" w:ascii="Times New Roman" w:hAnsi="Times New Roman" w:cs="Times New Roman"/>
          <w:color w:val="auto"/>
        </w:rPr>
        <w:t>。</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3-8看出</w:t>
      </w:r>
      <w:r>
        <w:rPr>
          <w:rFonts w:hint="default" w:ascii="Times New Roman" w:hAnsi="Times New Roman" w:cs="Times New Roman"/>
          <w:color w:val="auto"/>
        </w:rPr>
        <w:t>，巴陵石化总厂污水处理厂外排口共监测污染因子，pH、化学需氧量、氨氮、石油类、挥发酚、BOD5和悬浮物均满足《石油化学工业污染物排放标准》（GB31571-2015）表1限值要求，因此本项目废水经巴陵石化污水处理厂处理后，能够实现达标排放。</w:t>
      </w:r>
    </w:p>
    <w:p>
      <w:pPr>
        <w:pStyle w:val="4"/>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bookmarkStart w:id="666" w:name="_Toc32727"/>
      <w:bookmarkStart w:id="667" w:name="_Toc31243"/>
      <w:r>
        <w:rPr>
          <w:rFonts w:hint="default" w:ascii="Times New Roman" w:hAnsi="Times New Roman" w:cs="Times New Roman"/>
          <w:color w:val="auto"/>
        </w:rPr>
        <w:t>地下水污染防治措施</w:t>
      </w:r>
      <w:bookmarkEnd w:id="666"/>
      <w:bookmarkEnd w:id="667"/>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668" w:name="_Toc7698"/>
      <w:r>
        <w:rPr>
          <w:rFonts w:hint="default" w:ascii="Times New Roman" w:hAnsi="Times New Roman" w:cs="Times New Roman"/>
          <w:color w:val="auto"/>
        </w:rPr>
        <w:t>防渗原则</w:t>
      </w:r>
      <w:bookmarkEnd w:id="668"/>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针对项目可能发生的地下水污染，地下水污染防治措施按照</w:t>
      </w:r>
      <w:r>
        <w:rPr>
          <w:rFonts w:hint="default" w:ascii="Times New Roman" w:hAnsi="Times New Roman" w:cs="Times New Roman"/>
          <w:color w:val="auto"/>
          <w:lang w:eastAsia="zh-CN"/>
        </w:rPr>
        <w:t>“</w:t>
      </w:r>
      <w:r>
        <w:rPr>
          <w:rFonts w:hint="default" w:ascii="Times New Roman" w:hAnsi="Times New Roman" w:cs="Times New Roman"/>
          <w:color w:val="auto"/>
        </w:rPr>
        <w:t>源头控制、分区设防、污染监控、应急响应</w:t>
      </w:r>
      <w:r>
        <w:rPr>
          <w:rFonts w:hint="default" w:ascii="Times New Roman" w:hAnsi="Times New Roman" w:cs="Times New Roman"/>
          <w:color w:val="auto"/>
          <w:lang w:eastAsia="zh-CN"/>
        </w:rPr>
        <w:t>”</w:t>
      </w:r>
      <w:r>
        <w:rPr>
          <w:rFonts w:hint="default" w:ascii="Times New Roman" w:hAnsi="Times New Roman" w:cs="Times New Roman"/>
          <w:color w:val="auto"/>
        </w:rPr>
        <w:t>相结合的原则，从污染物的产生、入渗、扩散、应急响应全阶段进行控制。</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（1）源头控制措施：主要包括在工艺、管道、设备、污水储存及处理构筑物采取相应措施，防止和降低污染物跑、冒、滴、漏，将污染物泄漏的环境风险事故降到最低程度；管线敷设尽量采用</w:t>
      </w:r>
      <w:r>
        <w:rPr>
          <w:rFonts w:hint="default" w:ascii="Times New Roman" w:hAnsi="Times New Roman" w:cs="Times New Roman"/>
          <w:color w:val="auto"/>
          <w:lang w:eastAsia="zh-CN"/>
        </w:rPr>
        <w:t>“</w:t>
      </w:r>
      <w:r>
        <w:rPr>
          <w:rFonts w:hint="default" w:ascii="Times New Roman" w:hAnsi="Times New Roman" w:cs="Times New Roman"/>
          <w:color w:val="auto"/>
        </w:rPr>
        <w:t>可视化</w:t>
      </w:r>
      <w:r>
        <w:rPr>
          <w:rFonts w:hint="default" w:ascii="Times New Roman" w:hAnsi="Times New Roman" w:cs="Times New Roman"/>
          <w:color w:val="auto"/>
          <w:lang w:eastAsia="zh-CN"/>
        </w:rPr>
        <w:t>”</w:t>
      </w:r>
      <w:r>
        <w:rPr>
          <w:rFonts w:hint="default" w:ascii="Times New Roman" w:hAnsi="Times New Roman" w:cs="Times New Roman"/>
          <w:color w:val="auto"/>
        </w:rPr>
        <w:t>原则，即管道尽可能地上敷设，做到污染物</w:t>
      </w:r>
      <w:r>
        <w:rPr>
          <w:rFonts w:hint="default" w:ascii="Times New Roman" w:hAnsi="Times New Roman" w:cs="Times New Roman"/>
          <w:color w:val="auto"/>
          <w:lang w:eastAsia="zh-CN"/>
        </w:rPr>
        <w:t>“</w:t>
      </w:r>
      <w:r>
        <w:rPr>
          <w:rFonts w:hint="default" w:ascii="Times New Roman" w:hAnsi="Times New Roman" w:cs="Times New Roman"/>
          <w:color w:val="auto"/>
        </w:rPr>
        <w:t>早发现、早处理</w:t>
      </w:r>
      <w:r>
        <w:rPr>
          <w:rFonts w:hint="default" w:ascii="Times New Roman" w:hAnsi="Times New Roman" w:cs="Times New Roman"/>
          <w:color w:val="auto"/>
          <w:lang w:eastAsia="zh-CN"/>
        </w:rPr>
        <w:t>”</w:t>
      </w:r>
      <w:r>
        <w:rPr>
          <w:rFonts w:hint="default" w:ascii="Times New Roman" w:hAnsi="Times New Roman" w:cs="Times New Roman"/>
          <w:color w:val="auto"/>
        </w:rPr>
        <w:t>，减少由于埋地管道泄漏而造成的地下水污染。</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2）分区防控措施：主要包括建设区域污染区地面的防渗措施和泄漏、渗漏污染物收集措施，即在污染区地面进行防渗处理，防止洒落地面的污染物渗入地下，并把滞留在地面的污染物收集起来，集中送至污水处理厂处理；末端控制采取分区防渗，按重点污染防治区、一般污染防治区和非污染区防渗措施有区别的防渗原则。</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（3）污染监控体系：实施覆盖生产区的地下水污染监控系统，本项目建立完善的监测制度，依托炼油分部环保监测站科学、合理设置地下水污染监控井，及时发现污染、及时控制污染。</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（4）应急响应措施：包括一旦发现地下水污染事故，立即启动应急预案、采取应急措施控制地下水污染，并使污染得到治理。</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669" w:name="_Toc19926"/>
      <w:r>
        <w:rPr>
          <w:rFonts w:hint="default" w:ascii="Times New Roman" w:hAnsi="Times New Roman" w:cs="Times New Roman"/>
          <w:color w:val="auto"/>
        </w:rPr>
        <w:t>源头控制措施</w:t>
      </w:r>
      <w:bookmarkEnd w:id="669"/>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应积极采用节能减排及清洁生产技术，不断改进生产工艺，降低污染物产生量和排放量，尽可能从源头上减少污染物的产生，防止环境污染；严格按照国家相关规范要求，对工艺、管道、设备、储罐等采取相应的措施，以防止和降低可能的污染物的跑、冒、滴、漏，将污染物泄漏的环境风险事故降低到最低程度。管线敷设尽量采用可视化的原则，即管道尽可能地上敷设，做到污染物早发现，早处理，减少由于埋地管道泄漏而造成的地下水污染。</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670" w:name="_Toc7854"/>
      <w:r>
        <w:rPr>
          <w:rFonts w:hint="default" w:ascii="Times New Roman" w:hAnsi="Times New Roman" w:cs="Times New Roman"/>
          <w:color w:val="auto"/>
        </w:rPr>
        <w:t>分区防控措施</w:t>
      </w:r>
      <w:bookmarkEnd w:id="670"/>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（1）合理进行防渗区域划分</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根据厂区可能泄漏至地面区域污染物的性质和生产单元的构筑方式，将厂区划分为重点污染防治区、一般污染防治区和非污染防治区。</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①重点污染防治区</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指位于地下或半地下的生产功能单元，污染地下水环境的物料泄漏后，不容易被及时发现和处理的区域。主要包括厂区内地下物料输送管道、污水管道、初期雨水收集池、污水收集池、事故池、储罐区环墙式和护坡式罐基础等。对于重点污染防治区，参照《危险废物安全填埋处置工程建设技术要求》（国家环保局，2004.4.30颁布试行）、《危险废物填埋场污染控制标准》（GB18598-2001）修改单、《石油化工工程防渗技术规范》（GB/T50934-2013）进行地面防渗设计。</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重点污染区防渗要求：操作条件下的单位面积渗透量不大于厚度为6m，饱和渗透系数</w:t>
      </w:r>
      <w:r>
        <w:rPr>
          <w:rFonts w:hint="default" w:ascii="Times New Roman" w:hAnsi="Times New Roman" w:cs="Times New Roman"/>
          <w:color w:val="auto"/>
          <w:lang w:eastAsia="zh-CN"/>
        </w:rPr>
        <w:t>≦</w:t>
      </w:r>
      <w:r>
        <w:rPr>
          <w:rFonts w:hint="default" w:ascii="Times New Roman" w:hAnsi="Times New Roman" w:cs="Times New Roman"/>
          <w:color w:val="auto"/>
        </w:rPr>
        <w:t>10-7cm/s防渗层的渗透量，防渗能力与《危险废物填埋场污染控制标准》（GB18598-2001）第6.5.1条等效。</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②一般污染防治区</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是指裸露于地面的生产功能单元，污染地下水环境的物料泄漏后，容易被及时发现和处理的区域。主要包括储罐区、生产装置区、综合库、危险废物暂存间、甲类堆场的地面等。对于一般污染防治区，参照《一般工业固体废物贮存、处置场污染控制标准》（GB18599-2001）Ⅱ类场、《石油化工工程防渗技术规范》（GB/T50934-2013）进行设计。</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一般污染区防渗要求：操作条件下的单位面积渗透量不大于厚度为1.5m，渗透系数</w:t>
      </w:r>
      <w:r>
        <w:rPr>
          <w:rFonts w:hint="default" w:ascii="Times New Roman" w:hAnsi="Times New Roman" w:cs="Times New Roman"/>
          <w:color w:val="auto"/>
          <w:lang w:eastAsia="zh-CN"/>
        </w:rPr>
        <w:t>≦</w:t>
      </w:r>
      <w:r>
        <w:rPr>
          <w:rFonts w:hint="default" w:ascii="Times New Roman" w:hAnsi="Times New Roman" w:cs="Times New Roman"/>
          <w:color w:val="auto"/>
        </w:rPr>
        <w:t>10-7cm/s防渗层的渗透量，防渗能力与《危险废物贮存污染控制标准》（GB18597-2001）第6.2.1条等效。</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③简单防渗区（非污染防治区）</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指不会对地下水环境造成污染的区域。主要包括办公楼、厂区道路等。对于基本上不产生污染物的非污染防治区，不采取专门针对地下水污染的防治措施，一般地面硬化即可满足防渗要求。</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（2）防渗方案设计</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根据防渗参照的标准和规范，结合目前施工过程中的可操作性和和技术水平，不同的防渗区域采用在满足防渗标准要求前提下的防渗措施：</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①重点污染防治区</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罐区环墙罐基础防渗：从上至下依次采用沥青砂绝缘层、砂垫层、长丝无纺土工布、2mm厚HDPE防渗膜（渗透系数不大于1.0×10-12cm/s）、长丝无纺土工布、原土夯实的方式进行防渗。</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废水收集与处理设施防渗：混凝土池体采用防渗钢筋混凝土，池体内表面涂刷水泥基渗透结晶型防渗涂料（渗透系数不大于1.0×10-12cm/s）。</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埋地管道防渗：采用强度高、腐蚀裕度大的管道材料（如无缝钢管）和高等级防腐材料，尽量使用焊接连接，不得使用承插管。</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②一般污染防治区</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一般污染防治区：通过在抗渗钢筋（钢纤维）混凝土面层中掺水泥基防水剂，其下垫砂石基层，原土夯实达到防渗的目的。对于混凝土中间的缩缝、胀缝和与实体基础的缝隙，通过填充柔性材料、防渗填塞料达到防渗的目的。</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（3）本项目防渗要求</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可能对地下水造成污染的途径主要有：污水管网、事故池、污水收集池、初期雨水收集池破裂，导致污水下渗对地下水造成的污染。根据厂区包气带防污性能及场区污染控制难以程度，结合《环境影响评价技术导则地下水环境》（HJ610-2016）表7内容制定本项目装置区的防渗要求。对于重点污染防治区，参照《危险废物安全填埋处置工程建设技术要求》（国家环保局，2004.4.30颁布试行）、《危险废物填埋场污染控制标准》（GB18598-2001）修改单进行地面防渗设计。本项目具体分区防渗措施见表</w:t>
      </w:r>
      <w:r>
        <w:rPr>
          <w:rFonts w:hint="default" w:ascii="Times New Roman" w:hAnsi="Times New Roman" w:cs="Times New Roman"/>
          <w:color w:val="auto"/>
          <w:lang w:val="en-US" w:eastAsia="zh-CN"/>
        </w:rPr>
        <w:t>8-1</w:t>
      </w:r>
      <w:r>
        <w:rPr>
          <w:rFonts w:hint="default" w:ascii="Times New Roman" w:hAnsi="Times New Roman" w:cs="Times New Roman"/>
          <w:color w:val="auto"/>
        </w:rPr>
        <w:t>。</w:t>
      </w:r>
    </w:p>
    <w:p>
      <w:pPr>
        <w:pStyle w:val="1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lang w:eastAsia="zh-CN"/>
        </w:rPr>
      </w:pPr>
    </w:p>
    <w:p>
      <w:pPr>
        <w:pStyle w:val="1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lang w:eastAsia="zh-CN"/>
        </w:rPr>
      </w:pPr>
    </w:p>
    <w:p>
      <w:pPr>
        <w:pStyle w:val="1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lang w:eastAsia="zh-CN"/>
        </w:rPr>
      </w:pPr>
    </w:p>
    <w:p>
      <w:pPr>
        <w:pStyle w:val="1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lang w:eastAsia="zh-CN"/>
        </w:rPr>
      </w:pPr>
    </w:p>
    <w:p>
      <w:pPr>
        <w:pStyle w:val="1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lang w:eastAsia="zh-CN"/>
        </w:rPr>
      </w:pPr>
    </w:p>
    <w:p>
      <w:pPr>
        <w:pStyle w:val="1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lang w:eastAsia="zh-CN"/>
        </w:rPr>
      </w:pP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 xml:space="preserve">8-1 </w:t>
      </w:r>
      <w:r>
        <w:rPr>
          <w:rFonts w:hint="default" w:ascii="Times New Roman" w:hAnsi="Times New Roman" w:cs="Times New Roman"/>
          <w:color w:val="auto"/>
        </w:rPr>
        <w:t>项目分区防渗措施</w:t>
      </w:r>
    </w:p>
    <w:tbl>
      <w:tblPr>
        <w:tblStyle w:val="24"/>
        <w:tblW w:w="93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1"/>
        <w:gridCol w:w="1739"/>
        <w:gridCol w:w="2877"/>
        <w:gridCol w:w="41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73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分区类别</w:t>
            </w:r>
          </w:p>
        </w:tc>
        <w:tc>
          <w:tcPr>
            <w:tcW w:w="287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范围</w:t>
            </w:r>
          </w:p>
        </w:tc>
        <w:tc>
          <w:tcPr>
            <w:tcW w:w="41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防渗标准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6" w:hRule="atLeast"/>
        </w:trPr>
        <w:tc>
          <w:tcPr>
            <w:tcW w:w="55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73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重点防渗区</w:t>
            </w:r>
          </w:p>
        </w:tc>
        <w:tc>
          <w:tcPr>
            <w:tcW w:w="287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地下物料输送管道、污水管道、初期雨水收集池、污水收集池、事故池、储罐区环墙式和护坡式罐基础等。</w:t>
            </w:r>
          </w:p>
        </w:tc>
        <w:tc>
          <w:tcPr>
            <w:tcW w:w="41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操作条件下的单位面积渗透量不大于厚度为6m，饱和渗透系数</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10-7cm/s防渗层的渗透量，防渗能力与《危险废物填埋场污染控制标准》（GB18598-2001）第6.5.1条等效。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339" w:hRule="atLeast"/>
        </w:trPr>
        <w:tc>
          <w:tcPr>
            <w:tcW w:w="55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73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一般污染防治区</w:t>
            </w:r>
          </w:p>
        </w:tc>
        <w:tc>
          <w:tcPr>
            <w:tcW w:w="287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储罐区、生产装置区、危险废物暂存间、甲类堆场的地面等。</w:t>
            </w:r>
          </w:p>
        </w:tc>
        <w:tc>
          <w:tcPr>
            <w:tcW w:w="41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操作条件下的单位面积渗透量不大于厚度为1.5m，渗透系数</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10-7cm/s防渗层的渗透量，防渗能力与《危险废物贮存污染控制标准》（GB18597-2001）第6.2.1条等效。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55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73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简单防渗区</w:t>
            </w:r>
          </w:p>
        </w:tc>
        <w:tc>
          <w:tcPr>
            <w:tcW w:w="287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控制楼、传达室、厂区道路等。</w:t>
            </w:r>
          </w:p>
        </w:tc>
        <w:tc>
          <w:tcPr>
            <w:tcW w:w="416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一般地面硬化。</w:t>
            </w:r>
          </w:p>
        </w:tc>
      </w:tr>
    </w:tbl>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本项目罐区防渗工程措施：</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根据《石油化工工程防渗技术规范》（GB/T50934-2013），环墙式罐基础的防渗层应符合以下规定：</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①</w:t>
      </w:r>
      <w:r>
        <w:rPr>
          <w:rFonts w:hint="default" w:ascii="Times New Roman" w:hAnsi="Times New Roman" w:cs="Times New Roman"/>
          <w:color w:val="auto"/>
        </w:rPr>
        <w:fldChar w:fldCharType="end"/>
      </w:r>
      <w:r>
        <w:rPr>
          <w:rFonts w:hint="default" w:ascii="Times New Roman" w:hAnsi="Times New Roman" w:cs="Times New Roman"/>
          <w:color w:val="auto"/>
        </w:rPr>
        <w:t>高密度聚乙烯膜的厚度不宜小于1.50mm。</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②</w:t>
      </w:r>
      <w:r>
        <w:rPr>
          <w:rFonts w:hint="default" w:ascii="Times New Roman" w:hAnsi="Times New Roman" w:cs="Times New Roman"/>
          <w:color w:val="auto"/>
        </w:rPr>
        <w:fldChar w:fldCharType="end"/>
      </w:r>
      <w:r>
        <w:rPr>
          <w:rFonts w:hint="default" w:ascii="Times New Roman" w:hAnsi="Times New Roman" w:cs="Times New Roman"/>
          <w:color w:val="auto"/>
        </w:rPr>
        <w:t>膜上、膜下应设置保护层，保护层可采用长丝无纺土工布，膜下保护层也可采用不含尖锐颗粒的砂层，砂层厚度不应小于100m。</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③</w:t>
      </w:r>
      <w:r>
        <w:rPr>
          <w:rFonts w:hint="default" w:ascii="Times New Roman" w:hAnsi="Times New Roman" w:cs="Times New Roman"/>
          <w:color w:val="auto"/>
        </w:rPr>
        <w:fldChar w:fldCharType="end"/>
      </w:r>
      <w:r>
        <w:rPr>
          <w:rFonts w:hint="default" w:ascii="Times New Roman" w:hAnsi="Times New Roman" w:cs="Times New Roman"/>
          <w:color w:val="auto"/>
        </w:rPr>
        <w:t>高密度聚乙烯膜铺设应由中心坡向四周，坡度不宜小于1.5％。</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罐基础环墙周边泄漏管宜采用高密度聚乙烯管，泄漏管的设置应符合现行国家标准《钢制储罐地基基础设计规范》GB50473的有关规定。</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罐区防火堤内的地面防渗层应符合《石油化工工程防渗技术规范》（GB/T50934-2013）第5.2节的规定。地面防渗层可采用黏土、抗渗混凝土、高密度聚乙烯膜、钠基膨润土防水毯或其他防渗性能等效的材料。</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rPr>
      </w:pPr>
      <w:bookmarkStart w:id="671" w:name="_Toc12458"/>
      <w:r>
        <w:rPr>
          <w:rFonts w:hint="default" w:ascii="Times New Roman" w:hAnsi="Times New Roman" w:cs="Times New Roman"/>
          <w:color w:val="auto"/>
        </w:rPr>
        <w:t>日常管理措施</w:t>
      </w:r>
      <w:bookmarkEnd w:id="671"/>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（1）制定全厂设备安全操作规章、检修制度和设备管理考核制度、对每台设备确定责任人。由专职机构定期进行设备完好率、运行率考核，实施重奖重罚，消除设备故障和地下水污染隐患。</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（2）加强管理，杜绝超设计生产。</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3）加强对所有管道、储罐和污水处理设施的维护管理，及时发现和消除污染隐患，杜绝跑、冒、漏、滴现象。一旦发现有污染物泄露或渗漏，立即采取清理污染物和修补漏洞（缝）等补救措施。对污染源项的地下水保护设施进行采用动态检查，对发现的问题及时进行处理</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（4）做好员工的环保和安全知识培训，提高全厂职工地下水保护意识。</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（5）设置地下水监测井，制定地下水污染跟踪监测计划。本项目地下水评价等级为二级，根据《环境影响评价技术导则地下水环境》（HJ 610-2016）的有关规定，本项目地下水污染监测计划详见表</w:t>
      </w:r>
      <w:r>
        <w:rPr>
          <w:rFonts w:hint="default" w:ascii="Times New Roman" w:hAnsi="Times New Roman" w:cs="Times New Roman"/>
          <w:color w:val="auto"/>
          <w:lang w:val="en-US" w:eastAsia="zh-CN"/>
        </w:rPr>
        <w:t>8-3</w:t>
      </w:r>
      <w:r>
        <w:rPr>
          <w:rFonts w:hint="default" w:ascii="Times New Roman" w:hAnsi="Times New Roman" w:cs="Times New Roman"/>
          <w:color w:val="auto"/>
        </w:rPr>
        <w:t>。</w:t>
      </w:r>
    </w:p>
    <w:p>
      <w:pPr>
        <w:pStyle w:val="14"/>
        <w:bidi w:val="0"/>
        <w:rPr>
          <w:rFonts w:hint="default" w:ascii="Times New Roman" w:hAnsi="Times New Roman" w:cs="Times New Roman"/>
          <w:color w:val="auto"/>
        </w:rPr>
      </w:pPr>
      <w:r>
        <w:rPr>
          <w:rFonts w:hint="default" w:ascii="Times New Roman" w:hAnsi="Times New Roman" w:cs="Times New Roman"/>
          <w:color w:val="auto"/>
          <w:lang w:val="en-US" w:eastAsia="zh-CN"/>
        </w:rPr>
        <w:t xml:space="preserve">表8-3   </w:t>
      </w:r>
      <w:r>
        <w:rPr>
          <w:rFonts w:hint="default" w:ascii="Times New Roman" w:hAnsi="Times New Roman" w:cs="Times New Roman"/>
          <w:color w:val="auto"/>
        </w:rPr>
        <w:t>地下水监测计划表</w:t>
      </w:r>
    </w:p>
    <w:tbl>
      <w:tblPr>
        <w:tblStyle w:val="24"/>
        <w:tblW w:w="933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3703"/>
        <w:gridCol w:w="4157"/>
        <w:gridCol w:w="147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370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监测点</w:t>
            </w:r>
          </w:p>
        </w:tc>
        <w:tc>
          <w:tcPr>
            <w:tcW w:w="415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监测因子</w:t>
            </w:r>
          </w:p>
        </w:tc>
        <w:tc>
          <w:tcPr>
            <w:tcW w:w="147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监测频次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54" w:hRule="atLeast"/>
          <w:jc w:val="center"/>
        </w:trPr>
        <w:tc>
          <w:tcPr>
            <w:tcW w:w="370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本项目东北面约650m处居民点水井（本项目地下水上游）</w:t>
            </w:r>
          </w:p>
        </w:tc>
        <w:tc>
          <w:tcPr>
            <w:tcW w:w="4157"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水位、pH、耗氧量、氨氮、挥发性酚类、硫酸盐、硫化物、氟化物、氯化物、镍、总硬度、嗅与味</w:t>
            </w:r>
          </w:p>
        </w:tc>
        <w:tc>
          <w:tcPr>
            <w:tcW w:w="1476"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一年一次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2" w:hRule="atLeast"/>
          <w:jc w:val="center"/>
        </w:trPr>
        <w:tc>
          <w:tcPr>
            <w:tcW w:w="370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本项目场地</w:t>
            </w:r>
          </w:p>
        </w:tc>
        <w:tc>
          <w:tcPr>
            <w:tcW w:w="4157"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476"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64" w:hRule="atLeast"/>
          <w:jc w:val="center"/>
        </w:trPr>
        <w:tc>
          <w:tcPr>
            <w:tcW w:w="3703"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本项目东南面约1000m处居民点水井（本项目地下水下游）</w:t>
            </w:r>
          </w:p>
        </w:tc>
        <w:tc>
          <w:tcPr>
            <w:tcW w:w="4157"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476"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bl>
    <w:p>
      <w:pPr>
        <w:pStyle w:val="4"/>
        <w:keepNext w:val="0"/>
        <w:keepLines w:val="0"/>
        <w:pageBreakBefore w:val="0"/>
        <w:widowControl w:val="0"/>
        <w:kinsoku/>
        <w:wordWrap/>
        <w:overflowPunct/>
        <w:topLinePunct w:val="0"/>
        <w:autoSpaceDE/>
        <w:autoSpaceDN/>
        <w:bidi w:val="0"/>
        <w:adjustRightInd w:val="0"/>
        <w:snapToGrid w:val="0"/>
        <w:spacing w:beforeLines="0" w:afterLines="0"/>
        <w:textAlignment w:val="auto"/>
        <w:outlineLvl w:val="1"/>
        <w:rPr>
          <w:rFonts w:hint="default" w:ascii="Times New Roman" w:hAnsi="Times New Roman" w:cs="Times New Roman"/>
          <w:color w:val="auto"/>
        </w:rPr>
      </w:pPr>
      <w:bookmarkStart w:id="672" w:name="_Toc28622"/>
      <w:bookmarkStart w:id="673" w:name="_Toc15965"/>
      <w:r>
        <w:rPr>
          <w:rFonts w:hint="default" w:ascii="Times New Roman" w:hAnsi="Times New Roman" w:cs="Times New Roman"/>
          <w:color w:val="auto"/>
        </w:rPr>
        <w:t>噪声污染防治措施</w:t>
      </w:r>
      <w:bookmarkEnd w:id="672"/>
      <w:bookmarkEnd w:id="673"/>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本项目的噪声主要来源于生产装置区各釜类设备的搅拌机、泵、风机产生的噪声。应加强噪声的治理工作，主要从设备选型、阻隔传播途径和受声者保护三方面入手。</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（1）在设备选型中选择可靠先进的低噪声设施，例如：机泵尽量选用低噪声增安型电机，使噪声控制在85分贝以下。</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（2）振动转动设备安装时设置减振支座，包扎阻尼材料，并提高安装质量。</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（3）高噪声设备设置消声器或隔声罩，例如风机，在进出口处安装消音器，以阻隔噪声的传播。</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（4）机泵尽量集中布置，在平面布置中，离受影响的厂界尽可能远。</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（5）加强对现场人员的自身保护，例如对于现场巡检人员，按照有关要求发放防噪用品，以减轻人员与高噪音设备长期接触。</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综上所述，本项目对其噪声源所采取的控制措施均为目前国内普遍采用的经济、实用的有效手段，实践表明其控制效果明显。经采取上述噪声治理措施后，能够确保厂界昼夜噪声值均达到《工业企业厂界环境噪声标准》(GB12348-2008)中的3类标准限值的要求。因此，本项目噪声治理措施是可行的。</w:t>
      </w:r>
    </w:p>
    <w:p>
      <w:pPr>
        <w:pStyle w:val="4"/>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rPr>
      </w:pPr>
      <w:bookmarkStart w:id="674" w:name="_Toc16759"/>
      <w:bookmarkStart w:id="675" w:name="_Toc5821"/>
      <w:r>
        <w:rPr>
          <w:rFonts w:hint="default" w:ascii="Times New Roman" w:hAnsi="Times New Roman" w:cs="Times New Roman"/>
          <w:color w:val="auto"/>
        </w:rPr>
        <w:t>固体废物污染防治措施</w:t>
      </w:r>
      <w:bookmarkEnd w:id="674"/>
      <w:bookmarkEnd w:id="675"/>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rPr>
      </w:pPr>
      <w:bookmarkStart w:id="676" w:name="_Toc25575"/>
      <w:r>
        <w:rPr>
          <w:rFonts w:hint="default" w:ascii="Times New Roman" w:hAnsi="Times New Roman" w:cs="Times New Roman"/>
          <w:color w:val="auto"/>
        </w:rPr>
        <w:t>固体处置措施</w:t>
      </w:r>
      <w:bookmarkEnd w:id="676"/>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本项目固废拟采用处置措施见表</w:t>
      </w:r>
      <w:r>
        <w:rPr>
          <w:rFonts w:hint="default" w:ascii="Times New Roman" w:hAnsi="Times New Roman" w:cs="Times New Roman"/>
          <w:color w:val="auto"/>
          <w:lang w:val="en-US" w:eastAsia="zh-CN"/>
        </w:rPr>
        <w:t>8-2</w:t>
      </w:r>
      <w:r>
        <w:rPr>
          <w:rFonts w:hint="default" w:ascii="Times New Roman" w:hAnsi="Times New Roman" w:cs="Times New Roman"/>
          <w:color w:val="auto"/>
        </w:rPr>
        <w:t>。</w:t>
      </w:r>
    </w:p>
    <w:p>
      <w:pPr>
        <w:pStyle w:val="14"/>
        <w:bidi w:val="0"/>
        <w:rPr>
          <w:rFonts w:hint="default" w:ascii="Times New Roman" w:hAnsi="Times New Roman" w:cs="Times New Roman"/>
          <w:color w:val="auto"/>
          <w:lang w:eastAsia="zh-CN"/>
        </w:rPr>
      </w:pPr>
    </w:p>
    <w:p>
      <w:pPr>
        <w:pStyle w:val="14"/>
        <w:bidi w:val="0"/>
        <w:rPr>
          <w:rFonts w:hint="default" w:ascii="Times New Roman" w:hAnsi="Times New Roman" w:cs="Times New Roman"/>
          <w:color w:val="auto"/>
          <w:lang w:eastAsia="zh-CN"/>
        </w:rPr>
      </w:pPr>
    </w:p>
    <w:p>
      <w:pPr>
        <w:pStyle w:val="14"/>
        <w:bidi w:val="0"/>
        <w:rPr>
          <w:rFonts w:hint="default" w:ascii="Times New Roman" w:hAnsi="Times New Roman" w:cs="Times New Roman"/>
          <w:color w:val="auto"/>
        </w:rPr>
      </w:pP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 xml:space="preserve">8-2  </w:t>
      </w:r>
      <w:r>
        <w:rPr>
          <w:rFonts w:hint="default" w:ascii="Times New Roman" w:hAnsi="Times New Roman" w:cs="Times New Roman"/>
          <w:color w:val="auto"/>
        </w:rPr>
        <w:t>拟建工程固废处置措施一览表</w:t>
      </w:r>
    </w:p>
    <w:tbl>
      <w:tblPr>
        <w:tblStyle w:val="24"/>
        <w:tblW w:w="933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71"/>
        <w:gridCol w:w="2232"/>
        <w:gridCol w:w="2012"/>
        <w:gridCol w:w="1372"/>
        <w:gridCol w:w="29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3" w:hRule="atLeast"/>
          <w:tblHeader/>
          <w:jc w:val="center"/>
        </w:trPr>
        <w:tc>
          <w:tcPr>
            <w:tcW w:w="77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223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废物名称</w:t>
            </w:r>
          </w:p>
        </w:tc>
        <w:tc>
          <w:tcPr>
            <w:tcW w:w="201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固废属性</w:t>
            </w:r>
          </w:p>
        </w:tc>
        <w:tc>
          <w:tcPr>
            <w:tcW w:w="137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废物代码</w:t>
            </w:r>
          </w:p>
        </w:tc>
        <w:tc>
          <w:tcPr>
            <w:tcW w:w="294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处置方式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3" w:hRule="atLeast"/>
          <w:jc w:val="center"/>
        </w:trPr>
        <w:tc>
          <w:tcPr>
            <w:tcW w:w="77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223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201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137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94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交由环卫部门统一清运处理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4" w:hRule="atLeast"/>
          <w:jc w:val="center"/>
        </w:trPr>
        <w:tc>
          <w:tcPr>
            <w:tcW w:w="77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223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未沾染原辅材料的废弃外包装物</w:t>
            </w:r>
          </w:p>
        </w:tc>
        <w:tc>
          <w:tcPr>
            <w:tcW w:w="201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一般工业固体废物</w:t>
            </w:r>
          </w:p>
        </w:tc>
        <w:tc>
          <w:tcPr>
            <w:tcW w:w="137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949"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外售给废品回收站综合利用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3" w:hRule="atLeast"/>
          <w:jc w:val="center"/>
        </w:trPr>
        <w:tc>
          <w:tcPr>
            <w:tcW w:w="77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223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沾染原辅材料的空桶</w:t>
            </w:r>
          </w:p>
        </w:tc>
        <w:tc>
          <w:tcPr>
            <w:tcW w:w="201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w:t>
            </w:r>
          </w:p>
        </w:tc>
        <w:tc>
          <w:tcPr>
            <w:tcW w:w="137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900-041-49</w:t>
            </w:r>
          </w:p>
        </w:tc>
        <w:tc>
          <w:tcPr>
            <w:tcW w:w="2949"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车间暂存间暂存，定期</w:t>
            </w:r>
            <w:r>
              <w:rPr>
                <w:rFonts w:hint="default" w:ascii="Times New Roman" w:hAnsi="Times New Roman" w:cs="Times New Roman"/>
                <w:color w:val="auto"/>
                <w:sz w:val="21"/>
                <w:szCs w:val="21"/>
              </w:rPr>
              <w:t>交</w:t>
            </w:r>
            <w:r>
              <w:rPr>
                <w:rFonts w:hint="default" w:ascii="Times New Roman" w:hAnsi="Times New Roman" w:cs="Times New Roman"/>
                <w:color w:val="auto"/>
                <w:sz w:val="21"/>
                <w:szCs w:val="21"/>
                <w:lang w:eastAsia="zh-CN"/>
              </w:rPr>
              <w:t>岳阳市凌峰化工有限公司</w:t>
            </w:r>
            <w:r>
              <w:rPr>
                <w:rFonts w:hint="default" w:ascii="Times New Roman" w:hAnsi="Times New Roman" w:cs="Times New Roman"/>
                <w:color w:val="auto"/>
                <w:sz w:val="21"/>
                <w:szCs w:val="21"/>
              </w:rPr>
              <w:t>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3" w:hRule="atLeast"/>
          <w:jc w:val="center"/>
        </w:trPr>
        <w:tc>
          <w:tcPr>
            <w:tcW w:w="77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223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废有机液</w:t>
            </w:r>
          </w:p>
        </w:tc>
        <w:tc>
          <w:tcPr>
            <w:tcW w:w="201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w:t>
            </w:r>
          </w:p>
        </w:tc>
        <w:tc>
          <w:tcPr>
            <w:tcW w:w="137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900-403-06</w:t>
            </w:r>
          </w:p>
        </w:tc>
        <w:tc>
          <w:tcPr>
            <w:tcW w:w="2949"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bl>
    <w:p>
      <w:pPr>
        <w:pStyle w:val="39"/>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color w:val="auto"/>
        </w:rPr>
      </w:pPr>
    </w:p>
    <w:p>
      <w:pPr>
        <w:pStyle w:val="39"/>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color w:val="auto"/>
        </w:rPr>
      </w:pPr>
      <w:r>
        <w:rPr>
          <w:rFonts w:hint="default" w:ascii="Times New Roman" w:hAnsi="Times New Roman" w:cs="Times New Roman"/>
          <w:color w:val="auto"/>
        </w:rPr>
        <w:t>本项目员工生活垃圾收集后定期交由环卫部门统一清运处理；未沾染原辅材料的废弃外包装物暂存于一般工业固体废物暂存间，集中收集后外售给废品回收站综合利用；沾染原辅材料的空桶、精馏釜底残渣等危险废物均暂存于危险废物暂存间，定期交由</w:t>
      </w:r>
      <w:r>
        <w:rPr>
          <w:rFonts w:hint="default" w:ascii="Times New Roman" w:hAnsi="Times New Roman" w:cs="Times New Roman"/>
          <w:color w:val="auto"/>
          <w:lang w:eastAsia="zh-CN"/>
        </w:rPr>
        <w:t>岳阳市凌峰化工有限公司</w:t>
      </w:r>
      <w:r>
        <w:rPr>
          <w:rFonts w:hint="default" w:ascii="Times New Roman" w:hAnsi="Times New Roman" w:cs="Times New Roman"/>
          <w:color w:val="auto"/>
        </w:rPr>
        <w:t>处置。本项目固体废物均得到妥善处置，不会造成二次污染，不会对本项目所在区域的环境产生显著负面影响。因此，本项目固体废物处置措施可行。</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rPr>
      </w:pPr>
      <w:bookmarkStart w:id="677" w:name="_Toc10614"/>
      <w:r>
        <w:rPr>
          <w:rFonts w:hint="default" w:ascii="Times New Roman" w:hAnsi="Times New Roman" w:cs="Times New Roman"/>
          <w:color w:val="auto"/>
        </w:rPr>
        <w:t>本项目依托现有固废暂存场所的可靠性分析</w:t>
      </w:r>
      <w:bookmarkEnd w:id="677"/>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根据工程分析，本项目沾染原辅材料的空桶等危险废物产生量分别约为0.12t、30.29t，贮存周期分别约为2个月、1个月，所需占地面积分别约为10m</w:t>
      </w:r>
      <w:r>
        <w:rPr>
          <w:rFonts w:hint="default" w:ascii="Times New Roman" w:hAnsi="Times New Roman" w:cs="Times New Roman"/>
          <w:color w:val="auto"/>
          <w:vertAlign w:val="superscript"/>
        </w:rPr>
        <w:t>2</w:t>
      </w:r>
      <w:r>
        <w:rPr>
          <w:rFonts w:hint="default" w:ascii="Times New Roman" w:hAnsi="Times New Roman" w:cs="Times New Roman"/>
          <w:color w:val="auto"/>
        </w:rPr>
        <w:t>、10m</w:t>
      </w:r>
      <w:r>
        <w:rPr>
          <w:rFonts w:hint="default" w:ascii="Times New Roman" w:hAnsi="Times New Roman" w:cs="Times New Roman"/>
          <w:color w:val="auto"/>
          <w:vertAlign w:val="superscript"/>
        </w:rPr>
        <w:t>2</w:t>
      </w:r>
      <w:r>
        <w:rPr>
          <w:rFonts w:hint="default" w:ascii="Times New Roman" w:hAnsi="Times New Roman" w:cs="Times New Roman"/>
          <w:color w:val="auto"/>
        </w:rPr>
        <w:t>，厂区内现有一个危险废物暂存间，位于综合库西部，占地面积为50m</w:t>
      </w:r>
      <w:r>
        <w:rPr>
          <w:rFonts w:hint="default" w:ascii="Times New Roman" w:hAnsi="Times New Roman" w:cs="Times New Roman"/>
          <w:color w:val="auto"/>
          <w:vertAlign w:val="superscript"/>
        </w:rPr>
        <w:t>2</w:t>
      </w:r>
      <w:r>
        <w:rPr>
          <w:rFonts w:hint="default" w:ascii="Times New Roman" w:hAnsi="Times New Roman" w:cs="Times New Roman"/>
          <w:color w:val="auto"/>
        </w:rPr>
        <w:t>，剩余占地面积约30m</w:t>
      </w:r>
      <w:r>
        <w:rPr>
          <w:rFonts w:hint="default" w:ascii="Times New Roman" w:hAnsi="Times New Roman" w:cs="Times New Roman"/>
          <w:color w:val="auto"/>
          <w:vertAlign w:val="superscript"/>
        </w:rPr>
        <w:t>2</w:t>
      </w:r>
      <w:r>
        <w:rPr>
          <w:rFonts w:hint="default" w:ascii="Times New Roman" w:hAnsi="Times New Roman" w:cs="Times New Roman"/>
          <w:color w:val="auto"/>
        </w:rPr>
        <w:t>，可以满足暂存本项目危险废物的要求。本项目一般工业固体废物产生量约为1.0t/a，所需占地面积约为5m</w:t>
      </w:r>
      <w:r>
        <w:rPr>
          <w:rFonts w:hint="default" w:ascii="Times New Roman" w:hAnsi="Times New Roman" w:cs="Times New Roman"/>
          <w:color w:val="auto"/>
          <w:vertAlign w:val="superscript"/>
        </w:rPr>
        <w:t>2</w:t>
      </w:r>
      <w:r>
        <w:rPr>
          <w:rFonts w:hint="default" w:ascii="Times New Roman" w:hAnsi="Times New Roman" w:cs="Times New Roman"/>
          <w:color w:val="auto"/>
        </w:rPr>
        <w:t>，厂区内现有一个一般工业固体废物暂存间，位于综合库西部，占地面积为10m</w:t>
      </w:r>
      <w:r>
        <w:rPr>
          <w:rFonts w:hint="default" w:ascii="Times New Roman" w:hAnsi="Times New Roman" w:cs="Times New Roman"/>
          <w:color w:val="auto"/>
          <w:vertAlign w:val="superscript"/>
        </w:rPr>
        <w:t>2</w:t>
      </w:r>
      <w:r>
        <w:rPr>
          <w:rFonts w:hint="default" w:ascii="Times New Roman" w:hAnsi="Times New Roman" w:cs="Times New Roman"/>
          <w:color w:val="auto"/>
        </w:rPr>
        <w:t>，剩余占地面积约5m</w:t>
      </w:r>
      <w:r>
        <w:rPr>
          <w:rFonts w:hint="default" w:ascii="Times New Roman" w:hAnsi="Times New Roman" w:cs="Times New Roman"/>
          <w:color w:val="auto"/>
          <w:vertAlign w:val="superscript"/>
        </w:rPr>
        <w:t>2</w:t>
      </w:r>
      <w:r>
        <w:rPr>
          <w:rFonts w:hint="default" w:ascii="Times New Roman" w:hAnsi="Times New Roman" w:cs="Times New Roman"/>
          <w:color w:val="auto"/>
        </w:rPr>
        <w:t>，可以满足暂存本项目一般工业固体废物的要求。</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color w:val="auto"/>
        </w:rPr>
      </w:pPr>
      <w:bookmarkStart w:id="678" w:name="_Toc463"/>
      <w:r>
        <w:rPr>
          <w:rFonts w:hint="default" w:ascii="Times New Roman" w:hAnsi="Times New Roman" w:cs="Times New Roman"/>
          <w:color w:val="auto"/>
        </w:rPr>
        <w:t>固废管理要求</w:t>
      </w:r>
      <w:bookmarkEnd w:id="678"/>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通过分析，本项目固体废物均可得到妥善处置和综合利用，建设单位在建设和运营中，应从以下几个方面加强对固废的管理。</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1）危险废物的收集及厂区内部转运</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①</w:t>
      </w:r>
      <w:r>
        <w:rPr>
          <w:rFonts w:hint="default" w:ascii="Times New Roman" w:hAnsi="Times New Roman" w:cs="Times New Roman"/>
          <w:color w:val="auto"/>
        </w:rPr>
        <w:fldChar w:fldCharType="end"/>
      </w:r>
      <w:r>
        <w:rPr>
          <w:rFonts w:hint="default" w:ascii="Times New Roman" w:hAnsi="Times New Roman" w:cs="Times New Roman"/>
          <w:color w:val="auto"/>
        </w:rPr>
        <w:t>危险废物的收集应根据危险废物产生的工艺特征、排放周期、危险废物特性、废物管理计划等因素制定收集计划。</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②</w:t>
      </w:r>
      <w:r>
        <w:rPr>
          <w:rFonts w:hint="default" w:ascii="Times New Roman" w:hAnsi="Times New Roman" w:cs="Times New Roman"/>
          <w:color w:val="auto"/>
        </w:rPr>
        <w:fldChar w:fldCharType="end"/>
      </w:r>
      <w:r>
        <w:rPr>
          <w:rFonts w:hint="default" w:ascii="Times New Roman" w:hAnsi="Times New Roman" w:cs="Times New Roman"/>
          <w:color w:val="auto"/>
        </w:rPr>
        <w:t>危险废物的收集应制定详细的操作规程，内容至少应包括适用范围、操作程序和方法、专用设备和工具、转移和交接、安全保障和应急防护等。危险废物的收集和转运作业人员应根据工作需要配备必要的个人防护装备，如手套、防护镜、防护服、防毒面具或口罩等。</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③</w:t>
      </w:r>
      <w:r>
        <w:rPr>
          <w:rFonts w:hint="default" w:ascii="Times New Roman" w:hAnsi="Times New Roman" w:cs="Times New Roman"/>
          <w:color w:val="auto"/>
        </w:rPr>
        <w:fldChar w:fldCharType="end"/>
      </w:r>
      <w:r>
        <w:rPr>
          <w:rFonts w:hint="default" w:ascii="Times New Roman" w:hAnsi="Times New Roman" w:cs="Times New Roman"/>
          <w:color w:val="auto"/>
        </w:rPr>
        <w:t>在危险废物收集和转运过程中，应采取相应的安全防护和污染防治措施包括防爆、防火、防中毒、防感染、防泄漏、防飞扬、防雨或其防止污染环境的措施。</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4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④</w:t>
      </w:r>
      <w:r>
        <w:rPr>
          <w:rFonts w:hint="default" w:ascii="Times New Roman" w:hAnsi="Times New Roman" w:cs="Times New Roman"/>
          <w:color w:val="auto"/>
        </w:rPr>
        <w:fldChar w:fldCharType="end"/>
      </w:r>
      <w:r>
        <w:rPr>
          <w:rFonts w:hint="default" w:ascii="Times New Roman" w:hAnsi="Times New Roman" w:cs="Times New Roman"/>
          <w:color w:val="auto"/>
        </w:rPr>
        <w:t>危险废物收集时，应根据危险废物的种类、数量、危险特性、物理形态、运输要求等因素确定包装形式，具体包装应符合如下要求：</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ROMAN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I</w:t>
      </w:r>
      <w:r>
        <w:rPr>
          <w:rFonts w:hint="default" w:ascii="Times New Roman" w:hAnsi="Times New Roman" w:cs="Times New Roman"/>
          <w:color w:val="auto"/>
        </w:rPr>
        <w:fldChar w:fldCharType="end"/>
      </w:r>
      <w:r>
        <w:rPr>
          <w:rFonts w:hint="default" w:ascii="Times New Roman" w:hAnsi="Times New Roman" w:cs="Times New Roman"/>
          <w:color w:val="auto"/>
        </w:rPr>
        <w:t>.包装材质要与危险废物相容。</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ROMAN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II</w:t>
      </w:r>
      <w:r>
        <w:rPr>
          <w:rFonts w:hint="default" w:ascii="Times New Roman" w:hAnsi="Times New Roman" w:cs="Times New Roman"/>
          <w:color w:val="auto"/>
        </w:rPr>
        <w:fldChar w:fldCharType="end"/>
      </w:r>
      <w:r>
        <w:rPr>
          <w:rFonts w:hint="default" w:ascii="Times New Roman" w:hAnsi="Times New Roman" w:cs="Times New Roman"/>
          <w:color w:val="auto"/>
        </w:rPr>
        <w:t>.性质类似的废物可收集到同一容器中，性质不相容的废物不应混合包装。</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ROMAN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III</w:t>
      </w:r>
      <w:r>
        <w:rPr>
          <w:rFonts w:hint="default" w:ascii="Times New Roman" w:hAnsi="Times New Roman" w:cs="Times New Roman"/>
          <w:color w:val="auto"/>
        </w:rPr>
        <w:fldChar w:fldCharType="end"/>
      </w:r>
      <w:r>
        <w:rPr>
          <w:rFonts w:hint="default" w:ascii="Times New Roman" w:hAnsi="Times New Roman" w:cs="Times New Roman"/>
          <w:color w:val="auto"/>
        </w:rPr>
        <w:t>.危险废物包装应能有效隔断危险废物迁移扩散途径，并得到防渗、防漏要求。</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4 \* ROMAN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IV</w:t>
      </w:r>
      <w:r>
        <w:rPr>
          <w:rFonts w:hint="default" w:ascii="Times New Roman" w:hAnsi="Times New Roman" w:cs="Times New Roman"/>
          <w:color w:val="auto"/>
        </w:rPr>
        <w:fldChar w:fldCharType="end"/>
      </w:r>
      <w:r>
        <w:rPr>
          <w:rFonts w:hint="default" w:ascii="Times New Roman" w:hAnsi="Times New Roman" w:cs="Times New Roman"/>
          <w:color w:val="auto"/>
        </w:rPr>
        <w:t>.包装好的危险废物应设置相应的标签，标签信息应填写完整翔实。</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5 \* ROMAN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V</w:t>
      </w:r>
      <w:r>
        <w:rPr>
          <w:rFonts w:hint="default" w:ascii="Times New Roman" w:hAnsi="Times New Roman" w:cs="Times New Roman"/>
          <w:color w:val="auto"/>
        </w:rPr>
        <w:fldChar w:fldCharType="end"/>
      </w:r>
      <w:r>
        <w:rPr>
          <w:rFonts w:hint="default" w:ascii="Times New Roman" w:hAnsi="Times New Roman" w:cs="Times New Roman"/>
          <w:color w:val="auto"/>
        </w:rPr>
        <w:t>.盛装过危险废物的包装袋或包装容器破损后应按危险废物进行管理和处置。</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6 \* ROMAN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VI</w:t>
      </w:r>
      <w:r>
        <w:rPr>
          <w:rFonts w:hint="default" w:ascii="Times New Roman" w:hAnsi="Times New Roman" w:cs="Times New Roman"/>
          <w:color w:val="auto"/>
        </w:rPr>
        <w:fldChar w:fldCharType="end"/>
      </w:r>
      <w:r>
        <w:rPr>
          <w:rFonts w:hint="default" w:ascii="Times New Roman" w:hAnsi="Times New Roman" w:cs="Times New Roman"/>
          <w:color w:val="auto"/>
        </w:rPr>
        <w:t>.危险废物还应根据GB12463的有关要求进行运输管理。</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5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⑤</w:t>
      </w:r>
      <w:r>
        <w:rPr>
          <w:rFonts w:hint="default" w:ascii="Times New Roman" w:hAnsi="Times New Roman" w:cs="Times New Roman"/>
          <w:color w:val="auto"/>
        </w:rPr>
        <w:fldChar w:fldCharType="end"/>
      </w:r>
      <w:r>
        <w:rPr>
          <w:rFonts w:hint="default" w:ascii="Times New Roman" w:hAnsi="Times New Roman" w:cs="Times New Roman"/>
          <w:color w:val="auto"/>
        </w:rPr>
        <w:t>危险废物的收集作业应满足如下要求：</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ROMAN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I</w:t>
      </w:r>
      <w:r>
        <w:rPr>
          <w:rFonts w:hint="default" w:ascii="Times New Roman" w:hAnsi="Times New Roman" w:cs="Times New Roman"/>
          <w:color w:val="auto"/>
        </w:rPr>
        <w:fldChar w:fldCharType="end"/>
      </w:r>
      <w:r>
        <w:rPr>
          <w:rFonts w:hint="default" w:ascii="Times New Roman" w:hAnsi="Times New Roman" w:cs="Times New Roman"/>
          <w:color w:val="auto"/>
        </w:rPr>
        <w:t>.应根据收集设备、转运车辆以及现场人员等实际情况确定相应作业区域，同时要设置作业界限标志和警示牌。</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ROMAN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II</w:t>
      </w:r>
      <w:r>
        <w:rPr>
          <w:rFonts w:hint="default" w:ascii="Times New Roman" w:hAnsi="Times New Roman" w:cs="Times New Roman"/>
          <w:color w:val="auto"/>
        </w:rPr>
        <w:fldChar w:fldCharType="end"/>
      </w:r>
      <w:r>
        <w:rPr>
          <w:rFonts w:hint="default" w:ascii="Times New Roman" w:hAnsi="Times New Roman" w:cs="Times New Roman"/>
          <w:color w:val="auto"/>
        </w:rPr>
        <w:t>.作业区域内应设置危险废物收集专用通道和人员避险通道。</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ROMAN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III</w:t>
      </w:r>
      <w:r>
        <w:rPr>
          <w:rFonts w:hint="default" w:ascii="Times New Roman" w:hAnsi="Times New Roman" w:cs="Times New Roman"/>
          <w:color w:val="auto"/>
        </w:rPr>
        <w:fldChar w:fldCharType="end"/>
      </w:r>
      <w:r>
        <w:rPr>
          <w:rFonts w:hint="default" w:ascii="Times New Roman" w:hAnsi="Times New Roman" w:cs="Times New Roman"/>
          <w:color w:val="auto"/>
        </w:rPr>
        <w:t>.收集时应配备必要的收集工具和包装物，以及必要的应急监测设备及应急装备。</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4 \* ROMAN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IV</w:t>
      </w:r>
      <w:r>
        <w:rPr>
          <w:rFonts w:hint="default" w:ascii="Times New Roman" w:hAnsi="Times New Roman" w:cs="Times New Roman"/>
          <w:color w:val="auto"/>
        </w:rPr>
        <w:fldChar w:fldCharType="end"/>
      </w:r>
      <w:r>
        <w:rPr>
          <w:rFonts w:hint="default" w:ascii="Times New Roman" w:hAnsi="Times New Roman" w:cs="Times New Roman"/>
          <w:color w:val="auto"/>
        </w:rPr>
        <w:t>.危险废物收集应参照《危险废物收集 贮存 运输技术规范》（HJ2025-2012）附录A填写记录表，并将记录表作为危险废物管理的重要档案妥善保存。</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5 \* ROMAN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V</w:t>
      </w:r>
      <w:r>
        <w:rPr>
          <w:rFonts w:hint="default" w:ascii="Times New Roman" w:hAnsi="Times New Roman" w:cs="Times New Roman"/>
          <w:color w:val="auto"/>
        </w:rPr>
        <w:fldChar w:fldCharType="end"/>
      </w:r>
      <w:r>
        <w:rPr>
          <w:rFonts w:hint="default" w:ascii="Times New Roman" w:hAnsi="Times New Roman" w:cs="Times New Roman"/>
          <w:color w:val="auto"/>
        </w:rPr>
        <w:t>.收集结束后应清理和恢复收集作业区域，确保作业区域环境整洁安全。</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6 \* ROMAN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VI</w:t>
      </w:r>
      <w:r>
        <w:rPr>
          <w:rFonts w:hint="default" w:ascii="Times New Roman" w:hAnsi="Times New Roman" w:cs="Times New Roman"/>
          <w:color w:val="auto"/>
        </w:rPr>
        <w:fldChar w:fldCharType="end"/>
      </w:r>
      <w:r>
        <w:rPr>
          <w:rFonts w:hint="default" w:ascii="Times New Roman" w:hAnsi="Times New Roman" w:cs="Times New Roman"/>
          <w:color w:val="auto"/>
        </w:rPr>
        <w:t>.收集过危险废物的容器、设备、设施、场所及其它物品转作它用时，应消除污染，确保其使用安全。</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6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⑥</w:t>
      </w:r>
      <w:r>
        <w:rPr>
          <w:rFonts w:hint="default" w:ascii="Times New Roman" w:hAnsi="Times New Roman" w:cs="Times New Roman"/>
          <w:color w:val="auto"/>
        </w:rPr>
        <w:fldChar w:fldCharType="end"/>
      </w:r>
      <w:r>
        <w:rPr>
          <w:rFonts w:hint="default" w:ascii="Times New Roman" w:hAnsi="Times New Roman" w:cs="Times New Roman"/>
          <w:color w:val="auto"/>
        </w:rPr>
        <w:t>危险废物内部转运作业应满足如下要求：</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ROMAN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I</w:t>
      </w:r>
      <w:r>
        <w:rPr>
          <w:rFonts w:hint="default" w:ascii="Times New Roman" w:hAnsi="Times New Roman" w:cs="Times New Roman"/>
          <w:color w:val="auto"/>
        </w:rPr>
        <w:fldChar w:fldCharType="end"/>
      </w:r>
      <w:r>
        <w:rPr>
          <w:rFonts w:hint="default" w:ascii="Times New Roman" w:hAnsi="Times New Roman" w:cs="Times New Roman"/>
          <w:color w:val="auto"/>
        </w:rPr>
        <w:t>.危险废物内部转运应综合考虑厂区的实际情况确定转运路线，尽量避开办公区和生活区。</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ROMAN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II</w:t>
      </w:r>
      <w:r>
        <w:rPr>
          <w:rFonts w:hint="default" w:ascii="Times New Roman" w:hAnsi="Times New Roman" w:cs="Times New Roman"/>
          <w:color w:val="auto"/>
        </w:rPr>
        <w:fldChar w:fldCharType="end"/>
      </w:r>
      <w:r>
        <w:rPr>
          <w:rFonts w:hint="default" w:ascii="Times New Roman" w:hAnsi="Times New Roman" w:cs="Times New Roman"/>
          <w:color w:val="auto"/>
        </w:rPr>
        <w:t>.危险废物内部转运作业应采用专用的工具，危险废物内部转运应参照危险废物收集 贮存 运输技术规范》（HJ2025-2012）附录B填写《危险废物厂内转运记录表》。</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ROMAN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III</w:t>
      </w:r>
      <w:r>
        <w:rPr>
          <w:rFonts w:hint="default" w:ascii="Times New Roman" w:hAnsi="Times New Roman" w:cs="Times New Roman"/>
          <w:color w:val="auto"/>
        </w:rPr>
        <w:fldChar w:fldCharType="end"/>
      </w:r>
      <w:r>
        <w:rPr>
          <w:rFonts w:hint="default" w:ascii="Times New Roman" w:hAnsi="Times New Roman" w:cs="Times New Roman"/>
          <w:color w:val="auto"/>
        </w:rPr>
        <w:t>危险废物内部转运结束后，应对转运路线进行检查和清理确保无危险废物遗失在转运路线上，并对转运工具进行清洗。</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采用不同的容器进行密闭收集。本项目厂内应设置危废收集专用通道，并避开办公区和生活区，危废通过危废收集专用通道进行厂区内部转运。</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2）固废暂存场所建设要求</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评价要求本项目一般工业固体废物应与危险废物分别存放，未沾染原辅材料的废弃外包装物暂存于一般工业固体废物暂存间，沾染原辅材料的空桶、釜底残渣等危险废物暂存于危险废物暂存间。现有工程已建危险废物暂存间，其建设满足《危险废物贮存污染控制标准》（GB18597-2001）及2013年修改单的相关要求，本项目危险废物暂存依托现有工程的危险废物暂存间。</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本项目危险废物的贮存还需注意以下几点：</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①应当使用符合标准的容器盛装危险废物：容器完好无损、材质满足相应的强度要求、衬里要与危险废物向荣、容器上必须粘贴符合相应标准的标签；禁止将不相容的危险废物混装在同一容器里。</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对危险废物的容器和包装物以及收集、贮存和利用危险废物的设施和场所，根据《环境保护图形标志-固体废物贮存（处置）场》（GB15562.2）、《危险废物贮存污染控制标准》（GB18597-2001）等有关标准设置危险废物识别标志。</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②危险废物堆要防风、防雨、防晒；在衬里上设计、建造泄漏液收集消除系统；应设计建造径流疏导系统和雨水收集池。地面均进行固化，并在危废暂存间四周设置泄漏导流沟，设置事故应急池，收集泄漏物料及消防废水。</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③按GB18597-2001第7、8、9条之规定加强危险废物贮存设施的运行和管理。</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④运输危险废物的车辆要采取防扬散、防流失、防渗漏等防止污染环境的措施。</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⑤制定好固体废物特别是危险废物转移运输途中的污染防治及事故应急措施。在生产区域配备必要的应急设施设备及急救用品。</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在采取上述措施后，本项目产生的固体废物均能够得到妥善处置，固体废物处置措施在经济上和技术上是合理和可行的。</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sectPr>
          <w:headerReference r:id="rId18" w:type="default"/>
          <w:footerReference r:id="rId19" w:type="default"/>
          <w:pgSz w:w="11905" w:h="16838"/>
          <w:pgMar w:top="1417" w:right="1417" w:bottom="1134" w:left="1701"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cs="Times New Roman"/>
          <w:color w:val="auto"/>
          <w:sz w:val="44"/>
          <w:szCs w:val="44"/>
        </w:rPr>
      </w:pPr>
      <w:bookmarkStart w:id="679" w:name="_Toc11558"/>
      <w:bookmarkStart w:id="680" w:name="_Toc328548637"/>
      <w:bookmarkStart w:id="681" w:name="_Toc295201858"/>
      <w:bookmarkStart w:id="682" w:name="_Toc373328324"/>
      <w:bookmarkStart w:id="683" w:name="_Toc127"/>
      <w:bookmarkStart w:id="684" w:name="_Toc4800"/>
      <w:bookmarkStart w:id="685" w:name="_Toc328401166"/>
      <w:bookmarkStart w:id="686" w:name="_Toc304578491"/>
      <w:bookmarkStart w:id="687" w:name="_Toc113094414"/>
      <w:r>
        <w:rPr>
          <w:rFonts w:hint="default" w:ascii="Times New Roman" w:hAnsi="Times New Roman" w:cs="Times New Roman"/>
          <w:color w:val="auto"/>
          <w:sz w:val="44"/>
          <w:szCs w:val="44"/>
          <w:lang w:eastAsia="zh-CN"/>
        </w:rPr>
        <w:t>总量控制分析</w:t>
      </w:r>
      <w:bookmarkEnd w:id="679"/>
    </w:p>
    <w:p>
      <w:pPr>
        <w:pStyle w:val="4"/>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lang w:val="en-US" w:eastAsia="zh-CN"/>
        </w:rPr>
      </w:pPr>
      <w:bookmarkStart w:id="688" w:name="_Toc305827057"/>
      <w:bookmarkStart w:id="689" w:name="_Toc307236482"/>
      <w:bookmarkStart w:id="690" w:name="_Toc232225583"/>
      <w:bookmarkStart w:id="691" w:name="_Toc29348_WPSOffice_Level2"/>
      <w:bookmarkStart w:id="692" w:name="_Toc305827399"/>
      <w:bookmarkStart w:id="693" w:name="_Toc243124331"/>
      <w:bookmarkStart w:id="694" w:name="_Toc304349321"/>
      <w:bookmarkStart w:id="695" w:name="_Toc10586"/>
      <w:bookmarkStart w:id="696" w:name="_Toc232414517"/>
      <w:bookmarkStart w:id="697" w:name="_Toc46736876"/>
      <w:bookmarkStart w:id="698" w:name="_Toc54491315"/>
      <w:bookmarkStart w:id="699" w:name="_Toc305826962"/>
      <w:bookmarkStart w:id="700" w:name="_Toc15937_WPSOffice_Level2"/>
      <w:bookmarkStart w:id="701" w:name="_Toc11825_WPSOffice_Level2"/>
      <w:bookmarkStart w:id="702" w:name="_Toc305828067"/>
      <w:bookmarkStart w:id="703" w:name="_Toc13296"/>
      <w:bookmarkStart w:id="704" w:name="_Toc15026"/>
      <w:bookmarkStart w:id="705" w:name="_Toc3462"/>
      <w:bookmarkStart w:id="706" w:name="_Toc305827568"/>
      <w:bookmarkStart w:id="707" w:name="_Toc31148"/>
      <w:bookmarkStart w:id="708" w:name="_Toc4726_WPSOffice_Level2"/>
      <w:bookmarkStart w:id="709" w:name="_Toc16302"/>
      <w:bookmarkStart w:id="710" w:name="_Toc18886"/>
      <w:bookmarkStart w:id="711" w:name="_Toc38377275"/>
      <w:bookmarkStart w:id="712" w:name="_Toc15605"/>
      <w:bookmarkStart w:id="713" w:name="_Toc26017"/>
      <w:bookmarkStart w:id="714" w:name="_Toc27093_WPSOffice_Level2"/>
      <w:bookmarkStart w:id="715" w:name="_Toc305827704"/>
      <w:bookmarkStart w:id="716" w:name="_Toc305827799"/>
      <w:bookmarkStart w:id="717" w:name="_Toc305828164"/>
      <w:bookmarkStart w:id="718" w:name="_Toc305826785"/>
      <w:bookmarkStart w:id="719" w:name="_Toc232414623"/>
      <w:bookmarkStart w:id="720" w:name="_Toc307293893"/>
      <w:r>
        <w:rPr>
          <w:rFonts w:hint="default" w:ascii="Times New Roman" w:hAnsi="Times New Roman" w:cs="Times New Roman"/>
          <w:color w:val="auto"/>
          <w:lang w:val="en-US" w:eastAsia="zh-CN"/>
        </w:rPr>
        <w:t>总量控制因子</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bookmarkStart w:id="721" w:name="_Toc6926"/>
      <w:bookmarkStart w:id="722" w:name="_Toc312999501"/>
      <w:r>
        <w:rPr>
          <w:rFonts w:hint="default" w:ascii="Times New Roman" w:hAnsi="Times New Roman" w:eastAsia="宋体" w:cs="Times New Roman"/>
          <w:color w:val="auto"/>
          <w:kern w:val="2"/>
          <w:sz w:val="24"/>
          <w:szCs w:val="24"/>
          <w:lang w:val="en-US" w:eastAsia="zh-CN" w:bidi="ar-SA"/>
        </w:rPr>
        <w:t>根据国家环境保护部对实施污染物排放总量控制的要求、《国民经济和社会发展第十三个五年规划纲要》环保规划要求和《湖南省“十三五”主要污染物减排规划》，根据本工程的污染特点和环保部门的要求，根据国家总量控制有关规定，结合公司生产实际情况，</w:t>
      </w:r>
      <w:r>
        <w:rPr>
          <w:rFonts w:hint="default" w:ascii="Times New Roman" w:hAnsi="Times New Roman" w:cs="Times New Roman"/>
          <w:color w:val="auto"/>
        </w:rPr>
        <w:t>岳阳鑫达实业有限公司为巴陵公司改制的企业，</w:t>
      </w:r>
      <w:r>
        <w:rPr>
          <w:rFonts w:hint="default" w:ascii="Times New Roman" w:hAnsi="Times New Roman" w:cs="Times New Roman"/>
          <w:color w:val="auto"/>
          <w:lang w:eastAsia="zh-CN"/>
        </w:rPr>
        <w:t>巴陵石化公司</w:t>
      </w:r>
      <w:r>
        <w:rPr>
          <w:rFonts w:hint="default" w:ascii="Times New Roman" w:hAnsi="Times New Roman" w:cs="Times New Roman"/>
          <w:color w:val="auto"/>
        </w:rPr>
        <w:t>内部已有总量进行调剂，无需另外申请购买，根据岳阳市环境保护局对现有工程环境影响报告书批复，</w:t>
      </w:r>
      <w:r>
        <w:rPr>
          <w:rFonts w:hint="default" w:ascii="Times New Roman" w:hAnsi="Times New Roman" w:cs="Times New Roman"/>
          <w:color w:val="auto"/>
          <w:lang w:val="zh-CN"/>
        </w:rPr>
        <w:t>公司核定</w:t>
      </w:r>
      <w:r>
        <w:rPr>
          <w:rFonts w:hint="default" w:ascii="Times New Roman" w:hAnsi="Times New Roman" w:cs="Times New Roman"/>
          <w:color w:val="auto"/>
        </w:rPr>
        <w:t>总量如下：COD 0.</w:t>
      </w:r>
      <w:r>
        <w:rPr>
          <w:rFonts w:hint="default" w:ascii="Times New Roman" w:hAnsi="Times New Roman" w:cs="Times New Roman"/>
          <w:color w:val="auto"/>
          <w:lang w:val="en-US" w:eastAsia="zh-CN"/>
        </w:rPr>
        <w:t>3</w:t>
      </w:r>
      <w:r>
        <w:rPr>
          <w:rFonts w:hint="default" w:ascii="Times New Roman" w:hAnsi="Times New Roman" w:cs="Times New Roman"/>
          <w:color w:val="auto"/>
        </w:rPr>
        <w:t>t/a、NH3-N 0.1t/a</w:t>
      </w:r>
      <w:r>
        <w:rPr>
          <w:rFonts w:hint="default" w:ascii="Times New Roman" w:hAnsi="Times New Roman" w:cs="Times New Roman"/>
          <w:color w:val="auto"/>
          <w:lang w:val="zh-CN"/>
        </w:rPr>
        <w:t>。</w:t>
      </w:r>
    </w:p>
    <w:bookmarkEnd w:id="721"/>
    <w:bookmarkEnd w:id="722"/>
    <w:p>
      <w:pPr>
        <w:pStyle w:val="4"/>
        <w:keepNext w:val="0"/>
        <w:keepLines w:val="0"/>
        <w:pageBreakBefore w:val="0"/>
        <w:widowControl w:val="0"/>
        <w:kinsoku/>
        <w:wordWrap/>
        <w:overflowPunct/>
        <w:topLinePunct w:val="0"/>
        <w:autoSpaceDE/>
        <w:autoSpaceDN/>
        <w:bidi w:val="0"/>
        <w:adjustRightInd w:val="0"/>
        <w:snapToGrid w:val="0"/>
        <w:spacing w:beforeLines="0" w:afterLines="0"/>
        <w:textAlignment w:val="auto"/>
        <w:outlineLvl w:val="1"/>
        <w:rPr>
          <w:rFonts w:hint="default" w:ascii="Times New Roman" w:hAnsi="Times New Roman" w:cs="Times New Roman"/>
          <w:color w:val="auto"/>
          <w:lang w:val="en-US" w:eastAsia="zh-CN"/>
        </w:rPr>
      </w:pPr>
      <w:bookmarkStart w:id="723" w:name="_Toc1628_WPSOffice_Level2"/>
      <w:bookmarkStart w:id="724" w:name="_Toc17486"/>
      <w:bookmarkStart w:id="725" w:name="_Toc28074"/>
      <w:bookmarkStart w:id="726" w:name="_Toc15340_WPSOffice_Level2"/>
      <w:bookmarkStart w:id="727" w:name="_Toc19715"/>
      <w:bookmarkStart w:id="728" w:name="_Toc20754"/>
      <w:bookmarkStart w:id="729" w:name="_Toc5448_WPSOffice_Level2"/>
      <w:bookmarkStart w:id="730" w:name="_Toc4078_WPSOffice_Level2"/>
      <w:bookmarkStart w:id="731" w:name="_Toc29270"/>
      <w:bookmarkStart w:id="732" w:name="_Toc13616"/>
      <w:bookmarkStart w:id="733" w:name="_Toc3530"/>
      <w:bookmarkStart w:id="734" w:name="_Toc17391_WPSOffice_Level2"/>
      <w:bookmarkStart w:id="735" w:name="_Toc7042"/>
      <w:bookmarkStart w:id="736" w:name="_Toc30045"/>
      <w:bookmarkStart w:id="737" w:name="_Toc8713"/>
      <w:bookmarkStart w:id="738" w:name="_Toc29192"/>
      <w:bookmarkStart w:id="739" w:name="_Toc18147_WPSOffice_Level2"/>
      <w:bookmarkStart w:id="740" w:name="_Toc23572_WPSOffice_Level2"/>
      <w:bookmarkStart w:id="741" w:name="_Toc24493"/>
      <w:bookmarkStart w:id="742" w:name="_Toc9873"/>
      <w:bookmarkStart w:id="743" w:name="_Toc11033_WPSOffice_Level2"/>
      <w:bookmarkStart w:id="744" w:name="_Toc21703"/>
      <w:bookmarkStart w:id="745" w:name="_Toc29715_WPSOffice_Level2"/>
      <w:bookmarkStart w:id="746" w:name="_Toc31520"/>
      <w:bookmarkStart w:id="747" w:name="_Toc29787"/>
      <w:bookmarkStart w:id="748" w:name="_Toc4076_WPSOffice_Level2"/>
      <w:r>
        <w:rPr>
          <w:rFonts w:hint="default" w:ascii="Times New Roman" w:hAnsi="Times New Roman" w:cs="Times New Roman"/>
          <w:color w:val="auto"/>
          <w:lang w:val="en-US" w:eastAsia="zh-CN"/>
        </w:rPr>
        <w:t>水污染物排放总量控制分析</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bookmarkStart w:id="749" w:name="_Toc19559"/>
      <w:r>
        <w:rPr>
          <w:rFonts w:hint="default" w:ascii="Times New Roman" w:hAnsi="Times New Roman" w:cs="Times New Roman"/>
          <w:color w:val="auto"/>
        </w:rPr>
        <w:t>根据工程分析，以实际排放浓度为总量控制指标依据。本项目污染物排放总量指标汇总</w:t>
      </w:r>
      <w:r>
        <w:rPr>
          <w:rFonts w:hint="default" w:ascii="Times New Roman" w:hAnsi="Times New Roman" w:cs="Times New Roman"/>
          <w:color w:val="auto"/>
          <w:lang w:val="en-US" w:eastAsia="zh-CN"/>
        </w:rPr>
        <w:t>详</w:t>
      </w:r>
      <w:r>
        <w:rPr>
          <w:rFonts w:hint="default" w:ascii="Times New Roman" w:hAnsi="Times New Roman" w:cs="Times New Roman"/>
          <w:color w:val="auto"/>
          <w:lang w:eastAsia="zh-CN"/>
        </w:rPr>
        <w:t>见</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REF _Ref13532 \h </w:instrText>
      </w:r>
      <w:r>
        <w:rPr>
          <w:rFonts w:hint="default" w:ascii="Times New Roman" w:hAnsi="Times New Roman" w:cs="Times New Roman"/>
          <w:color w:val="auto"/>
        </w:rPr>
        <w:fldChar w:fldCharType="separate"/>
      </w: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9</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color w:val="auto"/>
          <w:kern w:val="2"/>
          <w:sz w:val="21"/>
          <w:szCs w:val="21"/>
          <w:lang w:val="en-US" w:eastAsia="zh-CN" w:bidi="ar-SA"/>
        </w:rPr>
      </w:pPr>
      <w:bookmarkStart w:id="750" w:name="_Ref13532"/>
      <w:r>
        <w:rPr>
          <w:rFonts w:hint="default" w:ascii="Times New Roman" w:hAnsi="Times New Roman" w:eastAsia="宋体" w:cs="Times New Roman"/>
          <w:b/>
          <w:color w:val="auto"/>
          <w:kern w:val="2"/>
          <w:sz w:val="21"/>
          <w:szCs w:val="21"/>
          <w:lang w:val="en-US" w:eastAsia="zh-CN" w:bidi="ar-SA"/>
        </w:rPr>
        <w:t xml:space="preserve">表 </w:t>
      </w:r>
      <w:r>
        <w:rPr>
          <w:rFonts w:hint="default" w:ascii="Times New Roman" w:hAnsi="Times New Roman" w:eastAsia="宋体" w:cs="Times New Roman"/>
          <w:b/>
          <w:color w:val="auto"/>
          <w:kern w:val="2"/>
          <w:sz w:val="21"/>
          <w:szCs w:val="21"/>
          <w:lang w:val="en-US" w:eastAsia="zh-CN" w:bidi="ar-SA"/>
        </w:rPr>
        <w:fldChar w:fldCharType="begin"/>
      </w:r>
      <w:r>
        <w:rPr>
          <w:rFonts w:hint="default" w:ascii="Times New Roman" w:hAnsi="Times New Roman" w:eastAsia="宋体" w:cs="Times New Roman"/>
          <w:b/>
          <w:color w:val="auto"/>
          <w:kern w:val="2"/>
          <w:sz w:val="21"/>
          <w:szCs w:val="21"/>
          <w:lang w:val="en-US" w:eastAsia="zh-CN" w:bidi="ar-SA"/>
        </w:rPr>
        <w:instrText xml:space="preserve"> STYLEREF 1 \s </w:instrText>
      </w:r>
      <w:r>
        <w:rPr>
          <w:rFonts w:hint="default" w:ascii="Times New Roman" w:hAnsi="Times New Roman" w:eastAsia="宋体" w:cs="Times New Roman"/>
          <w:b/>
          <w:color w:val="auto"/>
          <w:kern w:val="2"/>
          <w:sz w:val="21"/>
          <w:szCs w:val="21"/>
          <w:lang w:val="en-US" w:eastAsia="zh-CN" w:bidi="ar-SA"/>
        </w:rPr>
        <w:fldChar w:fldCharType="separate"/>
      </w:r>
      <w:r>
        <w:rPr>
          <w:rFonts w:hint="default" w:ascii="Times New Roman" w:hAnsi="Times New Roman" w:eastAsia="宋体" w:cs="Times New Roman"/>
          <w:b/>
          <w:color w:val="auto"/>
          <w:kern w:val="2"/>
          <w:sz w:val="21"/>
          <w:szCs w:val="21"/>
          <w:lang w:val="en-US" w:eastAsia="zh-CN" w:bidi="ar-SA"/>
        </w:rPr>
        <w:t>9</w:t>
      </w:r>
      <w:r>
        <w:rPr>
          <w:rFonts w:hint="default" w:ascii="Times New Roman" w:hAnsi="Times New Roman" w:eastAsia="宋体" w:cs="Times New Roman"/>
          <w:b/>
          <w:color w:val="auto"/>
          <w:kern w:val="2"/>
          <w:sz w:val="21"/>
          <w:szCs w:val="21"/>
          <w:lang w:val="en-US" w:eastAsia="zh-CN" w:bidi="ar-SA"/>
        </w:rPr>
        <w:fldChar w:fldCharType="end"/>
      </w:r>
      <w:r>
        <w:rPr>
          <w:rFonts w:hint="default" w:ascii="Times New Roman" w:hAnsi="Times New Roman" w:eastAsia="宋体" w:cs="Times New Roman"/>
          <w:b/>
          <w:color w:val="auto"/>
          <w:kern w:val="2"/>
          <w:sz w:val="21"/>
          <w:szCs w:val="21"/>
          <w:lang w:val="en-US" w:eastAsia="zh-CN" w:bidi="ar-SA"/>
        </w:rPr>
        <w:t>-</w:t>
      </w:r>
      <w:r>
        <w:rPr>
          <w:rFonts w:hint="default" w:ascii="Times New Roman" w:hAnsi="Times New Roman" w:eastAsia="宋体" w:cs="Times New Roman"/>
          <w:b/>
          <w:color w:val="auto"/>
          <w:kern w:val="2"/>
          <w:sz w:val="21"/>
          <w:szCs w:val="21"/>
          <w:lang w:val="en-US" w:eastAsia="zh-CN" w:bidi="ar-SA"/>
        </w:rPr>
        <w:fldChar w:fldCharType="begin"/>
      </w:r>
      <w:r>
        <w:rPr>
          <w:rFonts w:hint="default" w:ascii="Times New Roman" w:hAnsi="Times New Roman" w:eastAsia="宋体" w:cs="Times New Roman"/>
          <w:b/>
          <w:color w:val="auto"/>
          <w:kern w:val="2"/>
          <w:sz w:val="21"/>
          <w:szCs w:val="21"/>
          <w:lang w:val="en-US" w:eastAsia="zh-CN" w:bidi="ar-SA"/>
        </w:rPr>
        <w:instrText xml:space="preserve"> SEQ 表 \* ARABIC \s 1 </w:instrText>
      </w:r>
      <w:r>
        <w:rPr>
          <w:rFonts w:hint="default" w:ascii="Times New Roman" w:hAnsi="Times New Roman" w:eastAsia="宋体" w:cs="Times New Roman"/>
          <w:b/>
          <w:color w:val="auto"/>
          <w:kern w:val="2"/>
          <w:sz w:val="21"/>
          <w:szCs w:val="21"/>
          <w:lang w:val="en-US" w:eastAsia="zh-CN" w:bidi="ar-SA"/>
        </w:rPr>
        <w:fldChar w:fldCharType="separate"/>
      </w:r>
      <w:r>
        <w:rPr>
          <w:rFonts w:hint="default" w:ascii="Times New Roman" w:hAnsi="Times New Roman" w:eastAsia="宋体" w:cs="Times New Roman"/>
          <w:b/>
          <w:color w:val="auto"/>
          <w:kern w:val="2"/>
          <w:sz w:val="21"/>
          <w:szCs w:val="21"/>
          <w:lang w:val="en-US" w:eastAsia="zh-CN" w:bidi="ar-SA"/>
        </w:rPr>
        <w:t>1</w:t>
      </w:r>
      <w:r>
        <w:rPr>
          <w:rFonts w:hint="default" w:ascii="Times New Roman" w:hAnsi="Times New Roman" w:eastAsia="宋体" w:cs="Times New Roman"/>
          <w:b/>
          <w:color w:val="auto"/>
          <w:kern w:val="2"/>
          <w:sz w:val="21"/>
          <w:szCs w:val="21"/>
          <w:lang w:val="en-US" w:eastAsia="zh-CN" w:bidi="ar-SA"/>
        </w:rPr>
        <w:fldChar w:fldCharType="end"/>
      </w:r>
      <w:bookmarkEnd w:id="750"/>
      <w:r>
        <w:rPr>
          <w:rFonts w:hint="default" w:ascii="Times New Roman" w:hAnsi="Times New Roman" w:eastAsia="宋体" w:cs="Times New Roman"/>
          <w:b/>
          <w:color w:val="auto"/>
          <w:kern w:val="2"/>
          <w:sz w:val="21"/>
          <w:szCs w:val="21"/>
          <w:lang w:val="en-US" w:eastAsia="zh-CN" w:bidi="ar-SA"/>
        </w:rPr>
        <w:t>水污染物排放总量指标 单位：t/a</w:t>
      </w:r>
    </w:p>
    <w:tbl>
      <w:tblPr>
        <w:tblStyle w:val="24"/>
        <w:tblW w:w="89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374"/>
        <w:gridCol w:w="1"/>
        <w:gridCol w:w="1372"/>
        <w:gridCol w:w="1"/>
        <w:gridCol w:w="1372"/>
        <w:gridCol w:w="1"/>
        <w:gridCol w:w="1372"/>
        <w:gridCol w:w="1"/>
        <w:gridCol w:w="1372"/>
        <w:gridCol w:w="1"/>
        <w:gridCol w:w="1372"/>
        <w:gridCol w:w="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115" w:hRule="exact"/>
          <w:jc w:val="center"/>
        </w:trPr>
        <w:tc>
          <w:tcPr>
            <w:tcW w:w="2097" w:type="dxa"/>
            <w:gridSpan w:val="3"/>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bookmarkStart w:id="751" w:name="_Toc20835"/>
            <w:r>
              <w:rPr>
                <w:rFonts w:hint="default" w:ascii="Times New Roman" w:hAnsi="Times New Roman" w:cs="Times New Roman"/>
                <w:color w:val="auto"/>
                <w:lang w:val="en-US" w:eastAsia="zh-CN"/>
              </w:rPr>
              <w:t>,</w:t>
            </w:r>
            <w:r>
              <w:rPr>
                <w:rFonts w:hint="default" w:ascii="Times New Roman" w:hAnsi="Times New Roman" w:cs="Times New Roman"/>
                <w:color w:val="auto"/>
              </w:rPr>
              <w:t>污染物</w:t>
            </w:r>
          </w:p>
        </w:tc>
        <w:tc>
          <w:tcPr>
            <w:tcW w:w="1373"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现有工程排放总量</w:t>
            </w:r>
          </w:p>
        </w:tc>
        <w:tc>
          <w:tcPr>
            <w:tcW w:w="1373"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本项目排放总量</w:t>
            </w:r>
          </w:p>
        </w:tc>
        <w:tc>
          <w:tcPr>
            <w:tcW w:w="1373"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工程后全厂排放总量</w:t>
            </w:r>
          </w:p>
        </w:tc>
        <w:tc>
          <w:tcPr>
            <w:tcW w:w="1373"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建设单位已有总量指标</w:t>
            </w:r>
          </w:p>
        </w:tc>
        <w:tc>
          <w:tcPr>
            <w:tcW w:w="1373"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建议申请新增排放总量指标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dxa"/>
          <w:cantSplit/>
          <w:trHeight w:val="720" w:hRule="exact"/>
          <w:jc w:val="center"/>
        </w:trPr>
        <w:tc>
          <w:tcPr>
            <w:tcW w:w="722"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废水</w:t>
            </w:r>
          </w:p>
        </w:tc>
        <w:tc>
          <w:tcPr>
            <w:tcW w:w="137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COD</w:t>
            </w:r>
          </w:p>
        </w:tc>
        <w:tc>
          <w:tcPr>
            <w:tcW w:w="1373"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 xml:space="preserve">0.1174 </w:t>
            </w:r>
          </w:p>
        </w:tc>
        <w:tc>
          <w:tcPr>
            <w:tcW w:w="1373"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0.30762</w:t>
            </w:r>
          </w:p>
        </w:tc>
        <w:tc>
          <w:tcPr>
            <w:tcW w:w="1373"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cs="Times New Roman"/>
                <w:color w:val="auto"/>
              </w:rPr>
              <w:t>0.</w:t>
            </w:r>
            <w:r>
              <w:rPr>
                <w:rFonts w:hint="default" w:ascii="Times New Roman" w:hAnsi="Times New Roman" w:cs="Times New Roman"/>
                <w:color w:val="auto"/>
                <w:lang w:val="en-US" w:eastAsia="zh-CN"/>
              </w:rPr>
              <w:t>42502</w:t>
            </w:r>
          </w:p>
        </w:tc>
        <w:tc>
          <w:tcPr>
            <w:tcW w:w="1373"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lang w:eastAsia="zh-CN"/>
              </w:rPr>
            </w:pPr>
            <w:r>
              <w:rPr>
                <w:rFonts w:hint="default" w:ascii="Times New Roman" w:hAnsi="Times New Roman" w:cs="Times New Roman"/>
                <w:color w:val="auto"/>
              </w:rPr>
              <w:t>0.</w:t>
            </w:r>
            <w:r>
              <w:rPr>
                <w:rFonts w:hint="default" w:ascii="Times New Roman" w:hAnsi="Times New Roman" w:cs="Times New Roman"/>
                <w:color w:val="auto"/>
                <w:lang w:val="en-US" w:eastAsia="zh-CN"/>
              </w:rPr>
              <w:t>3</w:t>
            </w:r>
          </w:p>
        </w:tc>
        <w:tc>
          <w:tcPr>
            <w:tcW w:w="1373"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w:t>
            </w:r>
            <w:r>
              <w:rPr>
                <w:rFonts w:hint="default" w:ascii="Times New Roman" w:hAnsi="Times New Roman" w:cs="Times New Roman"/>
                <w:color w:val="auto"/>
                <w:lang w:val="en-US" w:eastAsia="zh-CN"/>
              </w:rPr>
              <w:t>3</w:t>
            </w:r>
            <w:r>
              <w:rPr>
                <w:rFonts w:hint="default" w:ascii="Times New Roman" w:hAnsi="Times New Roman" w:cs="Times New Roman"/>
                <w:color w:val="auto"/>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dxa"/>
          <w:cantSplit/>
          <w:trHeight w:val="745" w:hRule="exact"/>
          <w:jc w:val="center"/>
        </w:trPr>
        <w:tc>
          <w:tcPr>
            <w:tcW w:w="722"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1374"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NH</w:t>
            </w:r>
            <w:r>
              <w:rPr>
                <w:rFonts w:hint="default" w:ascii="Times New Roman" w:hAnsi="Times New Roman" w:cs="Times New Roman"/>
                <w:color w:val="auto"/>
                <w:vertAlign w:val="subscript"/>
              </w:rPr>
              <w:t>3</w:t>
            </w:r>
            <w:r>
              <w:rPr>
                <w:rFonts w:hint="default" w:ascii="Times New Roman" w:hAnsi="Times New Roman" w:cs="Times New Roman"/>
                <w:color w:val="auto"/>
              </w:rPr>
              <w:t>-N</w:t>
            </w:r>
          </w:p>
        </w:tc>
        <w:tc>
          <w:tcPr>
            <w:tcW w:w="1373"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0.0157</w:t>
            </w:r>
          </w:p>
        </w:tc>
        <w:tc>
          <w:tcPr>
            <w:tcW w:w="1373"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1373"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0.0157</w:t>
            </w:r>
          </w:p>
        </w:tc>
        <w:tc>
          <w:tcPr>
            <w:tcW w:w="1373"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w:t>
            </w:r>
          </w:p>
        </w:tc>
        <w:tc>
          <w:tcPr>
            <w:tcW w:w="1373" w:type="dxa"/>
            <w:gridSpan w:val="2"/>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r>
      <w:bookmarkEnd w:id="749"/>
      <w:bookmarkEnd w:id="751"/>
    </w:tbl>
    <w:p>
      <w:pPr>
        <w:pStyle w:val="39"/>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color w:val="auto"/>
          <w:lang w:val="en-US" w:eastAsia="zh-CN"/>
        </w:rPr>
      </w:pPr>
    </w:p>
    <w:p>
      <w:pPr>
        <w:pStyle w:val="39"/>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项目废水污染物排放总量指标COD：0.30762t/a，工程后全程排放总量</w:t>
      </w:r>
      <w:r>
        <w:rPr>
          <w:rFonts w:hint="default" w:ascii="Times New Roman" w:hAnsi="Times New Roman" w:cs="Times New Roman"/>
          <w:color w:val="auto"/>
        </w:rPr>
        <w:t>0.</w:t>
      </w:r>
      <w:r>
        <w:rPr>
          <w:rFonts w:hint="default" w:ascii="Times New Roman" w:hAnsi="Times New Roman" w:cs="Times New Roman"/>
          <w:color w:val="auto"/>
          <w:lang w:val="en-US" w:eastAsia="zh-CN"/>
        </w:rPr>
        <w:t>42502t/a，建议申请新增排放总量指标0.3t/a。总量指标由建设单位通过交易平台申请购买。</w:t>
      </w:r>
      <w:bookmarkEnd w:id="737"/>
      <w:bookmarkEnd w:id="738"/>
      <w:bookmarkEnd w:id="739"/>
      <w:bookmarkEnd w:id="740"/>
      <w:bookmarkEnd w:id="741"/>
      <w:bookmarkEnd w:id="742"/>
      <w:bookmarkEnd w:id="743"/>
      <w:bookmarkEnd w:id="744"/>
      <w:bookmarkEnd w:id="745"/>
      <w:bookmarkEnd w:id="746"/>
      <w:bookmarkEnd w:id="747"/>
      <w:bookmarkEnd w:id="748"/>
    </w:p>
    <w:p>
      <w:pPr>
        <w:pStyle w:val="39"/>
        <w:bidi w:val="0"/>
        <w:rPr>
          <w:rFonts w:hint="default" w:ascii="Times New Roman" w:hAnsi="Times New Roman" w:cs="Times New Roman"/>
          <w:color w:val="auto"/>
        </w:rPr>
        <w:sectPr>
          <w:pgSz w:w="11905" w:h="16838"/>
          <w:pgMar w:top="1417" w:right="1417" w:bottom="1134" w:left="1701"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3"/>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sz w:val="44"/>
          <w:szCs w:val="44"/>
        </w:rPr>
      </w:pPr>
      <w:bookmarkStart w:id="752" w:name="_Toc19373"/>
      <w:r>
        <w:rPr>
          <w:rFonts w:hint="default" w:ascii="Times New Roman" w:hAnsi="Times New Roman" w:cs="Times New Roman"/>
          <w:color w:val="auto"/>
          <w:sz w:val="44"/>
          <w:szCs w:val="44"/>
        </w:rPr>
        <w:t>环境影响经济损益分析</w:t>
      </w:r>
      <w:bookmarkEnd w:id="680"/>
      <w:bookmarkEnd w:id="681"/>
      <w:bookmarkEnd w:id="682"/>
      <w:bookmarkEnd w:id="683"/>
      <w:bookmarkEnd w:id="684"/>
      <w:bookmarkEnd w:id="685"/>
      <w:bookmarkEnd w:id="752"/>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环境经济损益分析是从经济学的角度来分析、预测拟建项目的环境损益，应体现经济效益、社会效益和环境效益对立统一的辩证关系。其工作内容是确定环保措施的项目内容，通过统计分析环保措施投入的资金、运转费用等与取得的环境经济效益之间的关系，说明拟建项目环保设施占工程总投资比例的可行性、合理性及拟建项目对社会环境的影响等内容。</w:t>
      </w:r>
    </w:p>
    <w:p>
      <w:pPr>
        <w:pStyle w:val="4"/>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bookmarkStart w:id="753" w:name="_Toc2885"/>
      <w:bookmarkStart w:id="754" w:name="_Toc7296"/>
      <w:bookmarkStart w:id="755" w:name="_Toc25875"/>
      <w:r>
        <w:rPr>
          <w:rFonts w:hint="default" w:ascii="Times New Roman" w:hAnsi="Times New Roman" w:cs="Times New Roman"/>
          <w:color w:val="auto"/>
        </w:rPr>
        <w:t>经济效益分析</w:t>
      </w:r>
      <w:bookmarkEnd w:id="753"/>
      <w:bookmarkEnd w:id="754"/>
      <w:bookmarkEnd w:id="755"/>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总投资505万元，项目建成达产后，预计一年利税可达1275万元。本项目经济效益好，主要分析指标达到或符合行业标准，项目具有良好的盈利能力和清偿能力，并具有财务生存能力和较强的抗风险能力，经济效益显著。</w:t>
      </w:r>
    </w:p>
    <w:p>
      <w:pPr>
        <w:pStyle w:val="4"/>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bookmarkStart w:id="756" w:name="_Toc24333"/>
      <w:bookmarkStart w:id="757" w:name="_Toc19041"/>
      <w:bookmarkStart w:id="758" w:name="_Toc31888"/>
      <w:r>
        <w:rPr>
          <w:rFonts w:hint="default" w:ascii="Times New Roman" w:hAnsi="Times New Roman" w:cs="Times New Roman"/>
          <w:color w:val="auto"/>
        </w:rPr>
        <w:t>社会效益分析</w:t>
      </w:r>
      <w:bookmarkEnd w:id="756"/>
      <w:bookmarkEnd w:id="757"/>
      <w:bookmarkEnd w:id="758"/>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（1）本项目的建设符合国家的基本政策，符湖南岳阳绿色化工产业园规划要求。</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（2）本项目加工规模较大，装备先进，产品质量优良，原辅材料需求量大，运输量较大，项目建成投运后为当地运输行业、上下游关联企业提供了相应的发展机会，带动相关行业及地方经济的发展。</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综上，本项目的建设和运营，周边居民和企业都是受益群体。本项目的建设和实施，有利于云溪区进一步发展，社会效益显著。</w:t>
      </w:r>
    </w:p>
    <w:p>
      <w:pPr>
        <w:pStyle w:val="4"/>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bookmarkStart w:id="759" w:name="_Toc25696"/>
      <w:bookmarkStart w:id="760" w:name="_Toc31238"/>
      <w:bookmarkStart w:id="761" w:name="_Toc28958"/>
      <w:r>
        <w:rPr>
          <w:rFonts w:hint="default" w:ascii="Times New Roman" w:hAnsi="Times New Roman" w:cs="Times New Roman"/>
          <w:color w:val="auto"/>
        </w:rPr>
        <w:t>环境效益分析</w:t>
      </w:r>
      <w:bookmarkEnd w:id="759"/>
      <w:bookmarkEnd w:id="760"/>
      <w:bookmarkEnd w:id="761"/>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在建设过程中和建成运行后，必然存在一定的环境影响。由于采用了清洁的生产工艺，加大了污染防治力度，根据预测结果，本项目的环境影响较小，是可以接受的。本项目将贯彻清洁生产的原则，并采取各种环保措施使污染降低到最低程度。</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本项目总投资50</w:t>
      </w:r>
      <w:r>
        <w:rPr>
          <w:rFonts w:hint="default" w:ascii="Times New Roman" w:hAnsi="Times New Roman" w:cs="Times New Roman"/>
          <w:color w:val="auto"/>
          <w:lang w:val="en-US" w:eastAsia="zh-CN"/>
        </w:rPr>
        <w:t>5</w:t>
      </w:r>
      <w:r>
        <w:rPr>
          <w:rFonts w:hint="default" w:ascii="Times New Roman" w:hAnsi="Times New Roman" w:cs="Times New Roman"/>
          <w:color w:val="auto"/>
        </w:rPr>
        <w:t>万元，环保投资估算为</w:t>
      </w:r>
      <w:r>
        <w:rPr>
          <w:rFonts w:hint="default" w:ascii="Times New Roman" w:hAnsi="Times New Roman" w:cs="Times New Roman"/>
          <w:color w:val="auto"/>
          <w:lang w:val="en-US" w:eastAsia="zh-CN"/>
        </w:rPr>
        <w:t>80</w:t>
      </w:r>
      <w:r>
        <w:rPr>
          <w:rFonts w:hint="default" w:ascii="Times New Roman" w:hAnsi="Times New Roman" w:cs="Times New Roman"/>
          <w:color w:val="auto"/>
        </w:rPr>
        <w:t>万元，占项目总投资的1</w:t>
      </w:r>
      <w:r>
        <w:rPr>
          <w:rFonts w:hint="default" w:ascii="Times New Roman" w:hAnsi="Times New Roman" w:cs="Times New Roman"/>
          <w:color w:val="auto"/>
          <w:lang w:val="en-US" w:eastAsia="zh-CN"/>
        </w:rPr>
        <w:t>5.84</w:t>
      </w:r>
      <w:r>
        <w:rPr>
          <w:rFonts w:hint="default" w:ascii="Times New Roman" w:hAnsi="Times New Roman" w:cs="Times New Roman"/>
          <w:color w:val="auto"/>
        </w:rPr>
        <w:t>%，具体见表</w:t>
      </w:r>
      <w:r>
        <w:rPr>
          <w:rFonts w:hint="default" w:ascii="Times New Roman" w:hAnsi="Times New Roman" w:cs="Times New Roman"/>
          <w:color w:val="auto"/>
          <w:lang w:val="en-US" w:eastAsia="zh-CN"/>
        </w:rPr>
        <w:t xml:space="preserve"> 10-1</w:t>
      </w:r>
      <w:r>
        <w:rPr>
          <w:rFonts w:hint="default" w:ascii="Times New Roman" w:hAnsi="Times New Roman" w:cs="Times New Roman"/>
          <w:color w:val="auto"/>
        </w:rPr>
        <w:t>。</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lang w:val="en-US" w:eastAsia="zh-CN"/>
        </w:rPr>
        <w:sectPr>
          <w:pgSz w:w="11905" w:h="16838"/>
          <w:pgMar w:top="1417" w:right="1417" w:bottom="1134" w:left="1701"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color w:val="auto"/>
          <w:u w:val="single"/>
        </w:rPr>
      </w:pPr>
      <w:r>
        <w:rPr>
          <w:rFonts w:hint="default" w:ascii="Times New Roman" w:hAnsi="Times New Roman" w:cs="Times New Roman"/>
          <w:b/>
          <w:bCs/>
          <w:color w:val="auto"/>
          <w:u w:val="single"/>
        </w:rPr>
        <w:t xml:space="preserve">表 </w:t>
      </w:r>
      <w:r>
        <w:rPr>
          <w:rFonts w:hint="default" w:ascii="Times New Roman" w:hAnsi="Times New Roman" w:cs="Times New Roman"/>
          <w:b/>
          <w:bCs/>
          <w:color w:val="auto"/>
          <w:u w:val="single"/>
        </w:rPr>
        <w:fldChar w:fldCharType="begin"/>
      </w:r>
      <w:r>
        <w:rPr>
          <w:rFonts w:hint="default" w:ascii="Times New Roman" w:hAnsi="Times New Roman" w:cs="Times New Roman"/>
          <w:b/>
          <w:bCs/>
          <w:color w:val="auto"/>
          <w:u w:val="single"/>
        </w:rPr>
        <w:instrText xml:space="preserve"> STYLEREF 1 \s </w:instrText>
      </w:r>
      <w:r>
        <w:rPr>
          <w:rFonts w:hint="default" w:ascii="Times New Roman" w:hAnsi="Times New Roman" w:cs="Times New Roman"/>
          <w:b/>
          <w:bCs/>
          <w:color w:val="auto"/>
          <w:u w:val="single"/>
        </w:rPr>
        <w:fldChar w:fldCharType="separate"/>
      </w:r>
      <w:r>
        <w:rPr>
          <w:rFonts w:hint="default" w:ascii="Times New Roman" w:hAnsi="Times New Roman" w:cs="Times New Roman"/>
          <w:b/>
          <w:bCs/>
          <w:color w:val="auto"/>
          <w:u w:val="single"/>
        </w:rPr>
        <w:t>10</w:t>
      </w:r>
      <w:r>
        <w:rPr>
          <w:rFonts w:hint="default" w:ascii="Times New Roman" w:hAnsi="Times New Roman" w:cs="Times New Roman"/>
          <w:b/>
          <w:bCs/>
          <w:color w:val="auto"/>
          <w:u w:val="single"/>
        </w:rPr>
        <w:fldChar w:fldCharType="end"/>
      </w:r>
      <w:r>
        <w:rPr>
          <w:rFonts w:hint="default" w:ascii="Times New Roman" w:hAnsi="Times New Roman" w:cs="Times New Roman"/>
          <w:b/>
          <w:bCs/>
          <w:color w:val="auto"/>
          <w:u w:val="single"/>
          <w:lang w:eastAsia="zh-CN"/>
        </w:rPr>
        <w:t>-</w:t>
      </w:r>
      <w:r>
        <w:rPr>
          <w:rFonts w:hint="default" w:ascii="Times New Roman" w:hAnsi="Times New Roman" w:cs="Times New Roman"/>
          <w:b/>
          <w:bCs/>
          <w:color w:val="auto"/>
          <w:u w:val="single"/>
        </w:rPr>
        <w:fldChar w:fldCharType="begin"/>
      </w:r>
      <w:r>
        <w:rPr>
          <w:rFonts w:hint="default" w:ascii="Times New Roman" w:hAnsi="Times New Roman" w:cs="Times New Roman"/>
          <w:b/>
          <w:bCs/>
          <w:color w:val="auto"/>
          <w:u w:val="single"/>
        </w:rPr>
        <w:instrText xml:space="preserve"> SEQ 表 \* ARABIC \s 1 </w:instrText>
      </w:r>
      <w:r>
        <w:rPr>
          <w:rFonts w:hint="default" w:ascii="Times New Roman" w:hAnsi="Times New Roman" w:cs="Times New Roman"/>
          <w:b/>
          <w:bCs/>
          <w:color w:val="auto"/>
          <w:u w:val="single"/>
        </w:rPr>
        <w:fldChar w:fldCharType="separate"/>
      </w:r>
      <w:r>
        <w:rPr>
          <w:rFonts w:hint="default" w:ascii="Times New Roman" w:hAnsi="Times New Roman" w:cs="Times New Roman"/>
          <w:b/>
          <w:bCs/>
          <w:color w:val="auto"/>
          <w:u w:val="single"/>
        </w:rPr>
        <w:t>1</w:t>
      </w:r>
      <w:r>
        <w:rPr>
          <w:rFonts w:hint="default" w:ascii="Times New Roman" w:hAnsi="Times New Roman" w:cs="Times New Roman"/>
          <w:b/>
          <w:bCs/>
          <w:color w:val="auto"/>
          <w:u w:val="single"/>
        </w:rPr>
        <w:fldChar w:fldCharType="end"/>
      </w:r>
      <w:r>
        <w:rPr>
          <w:rFonts w:hint="default" w:ascii="Times New Roman" w:hAnsi="Times New Roman" w:cs="Times New Roman"/>
          <w:b/>
          <w:bCs/>
          <w:color w:val="auto"/>
          <w:u w:val="single"/>
        </w:rPr>
        <w:t>环保投资一览表</w:t>
      </w:r>
      <w:r>
        <w:rPr>
          <w:rFonts w:hint="default" w:ascii="Times New Roman" w:hAnsi="Times New Roman" w:cs="Times New Roman"/>
          <w:b/>
          <w:bCs/>
          <w:color w:val="auto"/>
          <w:u w:val="single"/>
          <w:lang w:val="en-US" w:eastAsia="zh-CN"/>
        </w:rPr>
        <w:t xml:space="preserve"> </w:t>
      </w:r>
      <w:r>
        <w:rPr>
          <w:rFonts w:hint="default" w:ascii="Times New Roman" w:hAnsi="Times New Roman" w:cs="Times New Roman"/>
          <w:b/>
          <w:bCs/>
          <w:color w:val="auto"/>
          <w:u w:val="single"/>
        </w:rPr>
        <w:t xml:space="preserve"> 单位：万元</w:t>
      </w:r>
    </w:p>
    <w:tbl>
      <w:tblPr>
        <w:tblStyle w:val="24"/>
        <w:tblW w:w="95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77"/>
        <w:gridCol w:w="2998"/>
        <w:gridCol w:w="3797"/>
        <w:gridCol w:w="20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7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299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项目名称</w:t>
            </w:r>
          </w:p>
        </w:tc>
        <w:tc>
          <w:tcPr>
            <w:tcW w:w="379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环保设施/措施</w:t>
            </w:r>
          </w:p>
        </w:tc>
        <w:tc>
          <w:tcPr>
            <w:tcW w:w="201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投资</w:t>
            </w:r>
            <w:r>
              <w:rPr>
                <w:rFonts w:hint="default" w:ascii="Times New Roman" w:hAnsi="Times New Roman" w:cs="Times New Roman"/>
                <w:color w:val="auto"/>
                <w:sz w:val="21"/>
                <w:szCs w:val="21"/>
                <w:lang w:eastAsia="zh-CN"/>
              </w:rPr>
              <w:t>（万元）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777"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299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工艺废气</w:t>
            </w:r>
          </w:p>
        </w:tc>
        <w:tc>
          <w:tcPr>
            <w:tcW w:w="379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集气管道</w:t>
            </w:r>
          </w:p>
        </w:tc>
        <w:tc>
          <w:tcPr>
            <w:tcW w:w="201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9" w:hRule="atLeast"/>
          <w:jc w:val="center"/>
        </w:trPr>
        <w:tc>
          <w:tcPr>
            <w:tcW w:w="777"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299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原料废气</w:t>
            </w:r>
          </w:p>
        </w:tc>
        <w:tc>
          <w:tcPr>
            <w:tcW w:w="379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集气罩</w:t>
            </w:r>
          </w:p>
        </w:tc>
        <w:tc>
          <w:tcPr>
            <w:tcW w:w="201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777"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299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工艺废水</w:t>
            </w:r>
          </w:p>
        </w:tc>
        <w:tc>
          <w:tcPr>
            <w:tcW w:w="3797"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污水处理系统</w:t>
            </w:r>
          </w:p>
        </w:tc>
        <w:tc>
          <w:tcPr>
            <w:tcW w:w="2017" w:type="dxa"/>
            <w:vMerge w:val="restart"/>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9" w:hRule="atLeast"/>
          <w:jc w:val="center"/>
        </w:trPr>
        <w:tc>
          <w:tcPr>
            <w:tcW w:w="777"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299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设备清洗废水、地面清洗废水等废水</w:t>
            </w:r>
          </w:p>
        </w:tc>
        <w:tc>
          <w:tcPr>
            <w:tcW w:w="3797"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2017"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777"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299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w:t>
            </w:r>
          </w:p>
        </w:tc>
        <w:tc>
          <w:tcPr>
            <w:tcW w:w="379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化粪池</w:t>
            </w:r>
          </w:p>
        </w:tc>
        <w:tc>
          <w:tcPr>
            <w:tcW w:w="201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0（依托现有化粪池）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4" w:hRule="atLeast"/>
          <w:jc w:val="center"/>
        </w:trPr>
        <w:tc>
          <w:tcPr>
            <w:tcW w:w="777"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299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初期雨水</w:t>
            </w:r>
          </w:p>
        </w:tc>
        <w:tc>
          <w:tcPr>
            <w:tcW w:w="379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lang w:eastAsia="zh-CN"/>
              </w:rPr>
              <w:t>雨水切换阀门、沟渠、围堰</w:t>
            </w:r>
          </w:p>
        </w:tc>
        <w:tc>
          <w:tcPr>
            <w:tcW w:w="201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9" w:hRule="atLeast"/>
          <w:jc w:val="center"/>
        </w:trPr>
        <w:tc>
          <w:tcPr>
            <w:tcW w:w="777" w:type="dxa"/>
            <w:vMerge w:val="continue"/>
            <w:tcBorders>
              <w:bottom w:val="single" w:color="auto"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299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地下水污染防治</w:t>
            </w:r>
          </w:p>
        </w:tc>
        <w:tc>
          <w:tcPr>
            <w:tcW w:w="379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地下水分区防渗处理；设置地下水监测井，制定地下水污染跟踪监测计划。</w:t>
            </w:r>
          </w:p>
        </w:tc>
        <w:tc>
          <w:tcPr>
            <w:tcW w:w="201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0（依托厂区现有）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77" w:type="dxa"/>
            <w:tcBorders>
              <w:top w:val="single" w:color="auto" w:sz="4" w:space="0"/>
              <w:bottom w:val="single" w:color="auto"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299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降低</w:t>
            </w:r>
            <w:r>
              <w:rPr>
                <w:rFonts w:hint="default" w:ascii="Times New Roman" w:hAnsi="Times New Roman" w:cs="Times New Roman"/>
                <w:color w:val="auto"/>
                <w:sz w:val="21"/>
                <w:szCs w:val="21"/>
              </w:rPr>
              <w:t>生产装置区各釜类设备的搅拌机、泵、风机产生的噪声</w:t>
            </w:r>
          </w:p>
        </w:tc>
        <w:tc>
          <w:tcPr>
            <w:tcW w:w="379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基础减振、消声器、隔声</w:t>
            </w:r>
          </w:p>
        </w:tc>
        <w:tc>
          <w:tcPr>
            <w:tcW w:w="201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5" w:hRule="atLeast"/>
          <w:jc w:val="center"/>
        </w:trPr>
        <w:tc>
          <w:tcPr>
            <w:tcW w:w="777" w:type="dxa"/>
            <w:vMerge w:val="restart"/>
            <w:tcBorders>
              <w:top w:val="single" w:color="auto"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299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379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设置垃圾桶，定期交由环卫部门统一清运处理</w:t>
            </w:r>
          </w:p>
        </w:tc>
        <w:tc>
          <w:tcPr>
            <w:tcW w:w="201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777" w:type="dxa"/>
            <w:vMerge w:val="continue"/>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2998"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未沾染原辅材料的废弃外包装物等一般工业固体废物</w:t>
            </w:r>
          </w:p>
        </w:tc>
        <w:tc>
          <w:tcPr>
            <w:tcW w:w="379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一般工业固体集中收集后</w:t>
            </w:r>
            <w:r>
              <w:rPr>
                <w:rFonts w:hint="default" w:ascii="Times New Roman" w:hAnsi="Times New Roman" w:cs="Times New Roman"/>
                <w:color w:val="auto"/>
                <w:sz w:val="21"/>
                <w:szCs w:val="21"/>
                <w:u w:val="single"/>
                <w:lang w:eastAsia="zh-CN"/>
              </w:rPr>
              <w:t>存放一般固废</w:t>
            </w:r>
            <w:r>
              <w:rPr>
                <w:rFonts w:hint="default" w:ascii="Times New Roman" w:hAnsi="Times New Roman" w:cs="Times New Roman"/>
                <w:color w:val="auto"/>
                <w:sz w:val="21"/>
                <w:szCs w:val="21"/>
                <w:u w:val="single"/>
              </w:rPr>
              <w:t>暂存间</w:t>
            </w:r>
            <w:r>
              <w:rPr>
                <w:rFonts w:hint="default" w:ascii="Times New Roman" w:hAnsi="Times New Roman" w:cs="Times New Roman"/>
                <w:color w:val="auto"/>
                <w:sz w:val="21"/>
                <w:szCs w:val="21"/>
                <w:u w:val="single"/>
                <w:lang w:eastAsia="zh-CN"/>
              </w:rPr>
              <w:t>，</w:t>
            </w:r>
            <w:r>
              <w:rPr>
                <w:rFonts w:hint="default" w:ascii="Times New Roman" w:hAnsi="Times New Roman" w:cs="Times New Roman"/>
                <w:color w:val="auto"/>
                <w:sz w:val="21"/>
                <w:szCs w:val="21"/>
                <w:u w:val="single"/>
              </w:rPr>
              <w:t>外售给废品回收站综合利用。</w:t>
            </w:r>
          </w:p>
        </w:tc>
        <w:tc>
          <w:tcPr>
            <w:tcW w:w="201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0（依托厂区现有）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5" w:hRule="atLeast"/>
          <w:jc w:val="center"/>
        </w:trPr>
        <w:tc>
          <w:tcPr>
            <w:tcW w:w="777" w:type="dxa"/>
            <w:vMerge w:val="continue"/>
            <w:tcBorders>
              <w:bottom w:val="single" w:color="auto"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2998" w:type="dxa"/>
            <w:tcBorders>
              <w:bottom w:val="single" w:color="auto"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沾染原辅材料的空桶等危险废物</w:t>
            </w:r>
          </w:p>
        </w:tc>
        <w:tc>
          <w:tcPr>
            <w:tcW w:w="3797" w:type="dxa"/>
            <w:tcBorders>
              <w:bottom w:val="single" w:color="auto"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lang w:eastAsia="zh-CN"/>
              </w:rPr>
              <w:t>危废</w:t>
            </w:r>
            <w:r>
              <w:rPr>
                <w:rFonts w:hint="default" w:ascii="Times New Roman" w:hAnsi="Times New Roman" w:cs="Times New Roman"/>
                <w:color w:val="auto"/>
                <w:sz w:val="21"/>
                <w:szCs w:val="21"/>
                <w:u w:val="single"/>
              </w:rPr>
              <w:t>收集后</w:t>
            </w:r>
            <w:r>
              <w:rPr>
                <w:rFonts w:hint="default" w:ascii="Times New Roman" w:hAnsi="Times New Roman" w:cs="Times New Roman"/>
                <w:color w:val="auto"/>
                <w:sz w:val="21"/>
                <w:szCs w:val="21"/>
                <w:u w:val="single"/>
                <w:lang w:eastAsia="zh-CN"/>
              </w:rPr>
              <w:t>存放</w:t>
            </w:r>
            <w:r>
              <w:rPr>
                <w:rFonts w:hint="default" w:ascii="Times New Roman" w:hAnsi="Times New Roman" w:cs="Times New Roman"/>
                <w:color w:val="auto"/>
                <w:sz w:val="21"/>
                <w:szCs w:val="21"/>
                <w:u w:val="single"/>
              </w:rPr>
              <w:t>危险废物暂存间</w:t>
            </w:r>
            <w:r>
              <w:rPr>
                <w:rFonts w:hint="default" w:ascii="Times New Roman" w:hAnsi="Times New Roman" w:cs="Times New Roman"/>
                <w:color w:val="auto"/>
                <w:sz w:val="21"/>
                <w:szCs w:val="21"/>
                <w:u w:val="single"/>
                <w:lang w:eastAsia="zh-CN"/>
              </w:rPr>
              <w:t>，定期</w:t>
            </w:r>
            <w:r>
              <w:rPr>
                <w:rFonts w:hint="default" w:ascii="Times New Roman" w:hAnsi="Times New Roman" w:cs="Times New Roman"/>
                <w:color w:val="auto"/>
                <w:sz w:val="21"/>
                <w:szCs w:val="21"/>
                <w:u w:val="single"/>
              </w:rPr>
              <w:t>交</w:t>
            </w:r>
            <w:r>
              <w:rPr>
                <w:rFonts w:hint="default" w:ascii="Times New Roman" w:hAnsi="Times New Roman" w:cs="Times New Roman"/>
                <w:color w:val="auto"/>
                <w:sz w:val="21"/>
                <w:szCs w:val="21"/>
                <w:u w:val="single"/>
                <w:lang w:eastAsia="zh-CN"/>
              </w:rPr>
              <w:t>岳阳市凌峰化工有限公司</w:t>
            </w:r>
            <w:r>
              <w:rPr>
                <w:rFonts w:hint="default" w:ascii="Times New Roman" w:hAnsi="Times New Roman" w:cs="Times New Roman"/>
                <w:color w:val="auto"/>
                <w:sz w:val="21"/>
                <w:szCs w:val="21"/>
                <w:u w:val="single"/>
              </w:rPr>
              <w:t>处置。</w:t>
            </w:r>
          </w:p>
        </w:tc>
        <w:tc>
          <w:tcPr>
            <w:tcW w:w="201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w:t>
            </w:r>
            <w:r>
              <w:rPr>
                <w:rFonts w:hint="default" w:ascii="Times New Roman" w:hAnsi="Times New Roman" w:cs="Times New Roman"/>
                <w:color w:val="auto"/>
                <w:sz w:val="21"/>
                <w:szCs w:val="21"/>
              </w:rPr>
              <w:t>（处置费用）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9" w:hRule="atLeast"/>
          <w:jc w:val="center"/>
        </w:trPr>
        <w:tc>
          <w:tcPr>
            <w:tcW w:w="7572" w:type="dxa"/>
            <w:gridSpan w:val="3"/>
            <w:tcBorders>
              <w:top w:val="single" w:color="auto" w:sz="4" w:space="0"/>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2017"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76</w:t>
            </w:r>
          </w:p>
        </w:tc>
      </w:tr>
    </w:tbl>
    <w:p>
      <w:pPr>
        <w:pStyle w:val="39"/>
        <w:keepNext w:val="0"/>
        <w:keepLines w:val="0"/>
        <w:pageBreakBefore w:val="0"/>
        <w:widowControl w:val="0"/>
        <w:kinsoku/>
        <w:wordWrap/>
        <w:overflowPunct/>
        <w:topLinePunct w:val="0"/>
        <w:autoSpaceDE/>
        <w:autoSpaceDN/>
        <w:bidi w:val="0"/>
        <w:adjustRightInd/>
        <w:snapToGrid/>
        <w:spacing w:before="157" w:beforeLines="50"/>
        <w:textAlignment w:val="auto"/>
        <w:outlineLvl w:val="9"/>
        <w:rPr>
          <w:rFonts w:hint="default" w:ascii="Times New Roman" w:hAnsi="Times New Roman" w:cs="Times New Roman"/>
          <w:color w:val="auto"/>
        </w:rPr>
      </w:pPr>
      <w:r>
        <w:rPr>
          <w:rFonts w:hint="default" w:ascii="Times New Roman" w:hAnsi="Times New Roman" w:cs="Times New Roman"/>
          <w:color w:val="auto"/>
        </w:rPr>
        <w:t>建设项目环保措施主要是体现国家环保政策，贯彻</w:t>
      </w:r>
      <w:r>
        <w:rPr>
          <w:rFonts w:hint="default" w:ascii="Times New Roman" w:hAnsi="Times New Roman" w:cs="Times New Roman"/>
          <w:color w:val="auto"/>
          <w:lang w:eastAsia="zh-CN"/>
        </w:rPr>
        <w:t>“</w:t>
      </w:r>
      <w:r>
        <w:rPr>
          <w:rFonts w:hint="default" w:ascii="Times New Roman" w:hAnsi="Times New Roman" w:cs="Times New Roman"/>
          <w:color w:val="auto"/>
        </w:rPr>
        <w:t>总量控制</w:t>
      </w:r>
      <w:r>
        <w:rPr>
          <w:rFonts w:hint="default" w:ascii="Times New Roman" w:hAnsi="Times New Roman" w:cs="Times New Roman"/>
          <w:color w:val="auto"/>
          <w:lang w:eastAsia="zh-CN"/>
        </w:rPr>
        <w:t>”</w:t>
      </w:r>
      <w:r>
        <w:rPr>
          <w:rFonts w:hint="default" w:ascii="Times New Roman" w:hAnsi="Times New Roman" w:cs="Times New Roman"/>
          <w:color w:val="auto"/>
        </w:rPr>
        <w:t>、</w:t>
      </w:r>
      <w:r>
        <w:rPr>
          <w:rFonts w:hint="default" w:ascii="Times New Roman" w:hAnsi="Times New Roman" w:cs="Times New Roman"/>
          <w:color w:val="auto"/>
          <w:lang w:eastAsia="zh-CN"/>
        </w:rPr>
        <w:t>“</w:t>
      </w:r>
      <w:r>
        <w:rPr>
          <w:rFonts w:hint="default" w:ascii="Times New Roman" w:hAnsi="Times New Roman" w:cs="Times New Roman"/>
          <w:color w:val="auto"/>
        </w:rPr>
        <w:t>清洁生产</w:t>
      </w:r>
      <w:r>
        <w:rPr>
          <w:rFonts w:hint="default" w:ascii="Times New Roman" w:hAnsi="Times New Roman" w:cs="Times New Roman"/>
          <w:color w:val="auto"/>
          <w:lang w:eastAsia="zh-CN"/>
        </w:rPr>
        <w:t>”</w:t>
      </w:r>
      <w:r>
        <w:rPr>
          <w:rFonts w:hint="default" w:ascii="Times New Roman" w:hAnsi="Times New Roman" w:cs="Times New Roman"/>
          <w:color w:val="auto"/>
        </w:rPr>
        <w:t>的原则，达到保护环境的目的。</w:t>
      </w:r>
    </w:p>
    <w:p>
      <w:pPr>
        <w:pStyle w:val="39"/>
        <w:bidi w:val="0"/>
        <w:rPr>
          <w:rFonts w:hint="default" w:ascii="Times New Roman" w:hAnsi="Times New Roman" w:cs="Times New Roman"/>
          <w:color w:val="auto"/>
        </w:rPr>
      </w:pPr>
      <w:r>
        <w:rPr>
          <w:rFonts w:hint="default" w:ascii="Times New Roman" w:hAnsi="Times New Roman" w:cs="Times New Roman"/>
          <w:color w:val="auto"/>
        </w:rPr>
        <w:t>环保措施实施后，可使废气、废水、厂界噪声达标排放，固废得到妥善处理，满足要求，有效地减少污染物排放。本建设项目实施中严格执行</w:t>
      </w:r>
      <w:r>
        <w:rPr>
          <w:rFonts w:hint="default" w:ascii="Times New Roman" w:hAnsi="Times New Roman" w:cs="Times New Roman"/>
          <w:color w:val="auto"/>
          <w:lang w:eastAsia="zh-CN"/>
        </w:rPr>
        <w:t>“</w:t>
      </w:r>
      <w:r>
        <w:rPr>
          <w:rFonts w:hint="default" w:ascii="Times New Roman" w:hAnsi="Times New Roman" w:cs="Times New Roman"/>
          <w:color w:val="auto"/>
        </w:rPr>
        <w:t>三同时</w:t>
      </w:r>
      <w:r>
        <w:rPr>
          <w:rFonts w:hint="default" w:ascii="Times New Roman" w:hAnsi="Times New Roman" w:cs="Times New Roman"/>
          <w:color w:val="auto"/>
          <w:lang w:eastAsia="zh-CN"/>
        </w:rPr>
        <w:t>”</w:t>
      </w:r>
      <w:r>
        <w:rPr>
          <w:rFonts w:hint="default" w:ascii="Times New Roman" w:hAnsi="Times New Roman" w:cs="Times New Roman"/>
          <w:color w:val="auto"/>
        </w:rPr>
        <w:t>政策，各类污染物均采取合理、有效措施处理后达标排放，预测结果表明本项目对区域环境影响不明显，环保投资效益佳。</w:t>
      </w:r>
    </w:p>
    <w:p>
      <w:pPr>
        <w:pStyle w:val="39"/>
        <w:bidi w:val="0"/>
        <w:rPr>
          <w:rFonts w:hint="default" w:ascii="Times New Roman" w:hAnsi="Times New Roman" w:cs="Times New Roman"/>
          <w:color w:val="auto"/>
        </w:rPr>
        <w:sectPr>
          <w:pgSz w:w="11905" w:h="16838"/>
          <w:pgMar w:top="1417" w:right="1417" w:bottom="1134" w:left="1701" w:header="850" w:footer="992" w:gutter="0"/>
          <w:pgBorders>
            <w:top w:val="none" w:sz="0" w:space="0"/>
            <w:left w:val="none" w:sz="0" w:space="0"/>
            <w:bottom w:val="none" w:sz="0" w:space="0"/>
            <w:right w:val="none" w:sz="0" w:space="0"/>
          </w:pgBorders>
          <w:pgNumType w:fmt="decimal"/>
          <w:cols w:space="0" w:num="1"/>
          <w:rtlGutter w:val="0"/>
          <w:docGrid w:linePitch="312" w:charSpace="0"/>
        </w:sectPr>
      </w:pPr>
      <w:r>
        <w:rPr>
          <w:rFonts w:hint="default" w:ascii="Times New Roman" w:hAnsi="Times New Roman" w:cs="Times New Roman"/>
          <w:color w:val="auto"/>
        </w:rPr>
        <w:t>综上，本项目具有良好的社会效益、经济效益，能促进社会、经济、环境的协调发展。</w:t>
      </w:r>
    </w:p>
    <w:bookmarkEnd w:id="686"/>
    <w:bookmarkEnd w:id="687"/>
    <w:p>
      <w:pPr>
        <w:pStyle w:val="3"/>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sz w:val="44"/>
          <w:szCs w:val="44"/>
        </w:rPr>
      </w:pPr>
      <w:bookmarkStart w:id="762" w:name="_Toc328548657"/>
      <w:bookmarkStart w:id="763" w:name="_Toc373328343"/>
      <w:bookmarkStart w:id="764" w:name="_Toc328401191"/>
      <w:bookmarkStart w:id="765" w:name="_Toc17009"/>
      <w:bookmarkStart w:id="766" w:name="_Toc26704"/>
      <w:bookmarkStart w:id="767" w:name="_Toc3554"/>
      <w:r>
        <w:rPr>
          <w:rFonts w:hint="default" w:ascii="Times New Roman" w:hAnsi="Times New Roman" w:cs="Times New Roman"/>
          <w:color w:val="auto"/>
          <w:sz w:val="44"/>
          <w:szCs w:val="44"/>
        </w:rPr>
        <w:t>环境管理与监测</w:t>
      </w:r>
      <w:bookmarkEnd w:id="762"/>
      <w:bookmarkEnd w:id="763"/>
      <w:bookmarkEnd w:id="764"/>
      <w:r>
        <w:rPr>
          <w:rFonts w:hint="default" w:ascii="Times New Roman" w:hAnsi="Times New Roman" w:cs="Times New Roman"/>
          <w:color w:val="auto"/>
          <w:sz w:val="44"/>
          <w:szCs w:val="44"/>
        </w:rPr>
        <w:t>计划</w:t>
      </w:r>
      <w:bookmarkEnd w:id="765"/>
      <w:bookmarkEnd w:id="766"/>
      <w:bookmarkEnd w:id="767"/>
    </w:p>
    <w:p>
      <w:pPr>
        <w:pStyle w:val="4"/>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outlineLvl w:val="1"/>
        <w:rPr>
          <w:rFonts w:hint="default" w:ascii="Times New Roman" w:hAnsi="Times New Roman" w:cs="Times New Roman"/>
          <w:color w:val="auto"/>
        </w:rPr>
      </w:pPr>
      <w:bookmarkStart w:id="768" w:name="_Toc32766"/>
      <w:bookmarkStart w:id="769" w:name="_Toc6541"/>
      <w:bookmarkStart w:id="770" w:name="_Toc498963443"/>
      <w:bookmarkStart w:id="771" w:name="_Toc313972093"/>
      <w:bookmarkStart w:id="772" w:name="_Toc7924"/>
      <w:bookmarkStart w:id="773" w:name="_Toc470859908"/>
      <w:bookmarkStart w:id="774" w:name="_Toc524679978"/>
      <w:bookmarkStart w:id="775" w:name="_Toc210137252"/>
      <w:bookmarkStart w:id="776" w:name="_Toc528336807"/>
      <w:bookmarkStart w:id="777" w:name="_Toc305592484"/>
      <w:bookmarkStart w:id="778" w:name="_Toc306652047"/>
      <w:bookmarkStart w:id="779" w:name="_Toc328548659"/>
      <w:bookmarkStart w:id="780" w:name="_Toc328401196"/>
      <w:bookmarkStart w:id="781" w:name="_Toc373328345"/>
      <w:r>
        <w:rPr>
          <w:rFonts w:hint="default" w:ascii="Times New Roman" w:hAnsi="Times New Roman" w:cs="Times New Roman"/>
          <w:color w:val="auto"/>
        </w:rPr>
        <w:t>环境管理</w:t>
      </w:r>
      <w:bookmarkEnd w:id="768"/>
      <w:bookmarkEnd w:id="769"/>
      <w:bookmarkEnd w:id="770"/>
      <w:bookmarkEnd w:id="771"/>
      <w:bookmarkEnd w:id="772"/>
      <w:bookmarkEnd w:id="773"/>
    </w:p>
    <w:bookmarkEnd w:id="774"/>
    <w:bookmarkEnd w:id="775"/>
    <w:bookmarkEnd w:id="776"/>
    <w:bookmarkEnd w:id="777"/>
    <w:bookmarkEnd w:id="778"/>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782" w:name="_Toc16738"/>
      <w:bookmarkStart w:id="783" w:name="_Toc70435421"/>
      <w:bookmarkStart w:id="784" w:name="_Toc306652048"/>
      <w:bookmarkStart w:id="785" w:name="_Toc71554703"/>
      <w:bookmarkStart w:id="786" w:name="_Toc305592485"/>
      <w:bookmarkStart w:id="787" w:name="_Toc71855573"/>
      <w:bookmarkStart w:id="788" w:name="_Toc90818023"/>
      <w:bookmarkStart w:id="789" w:name="_Toc71257719"/>
      <w:bookmarkStart w:id="790" w:name="_Toc71863271"/>
      <w:bookmarkStart w:id="791" w:name="_Toc71554626"/>
      <w:bookmarkStart w:id="792" w:name="_Toc210137253"/>
      <w:r>
        <w:rPr>
          <w:rFonts w:hint="default" w:ascii="Times New Roman" w:hAnsi="Times New Roman" w:cs="Times New Roman"/>
          <w:color w:val="auto"/>
        </w:rPr>
        <w:t>环境管理机构</w:t>
      </w:r>
      <w:bookmarkEnd w:id="782"/>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岳阳鑫达实业有限公司是巴陵石化有限责任公司的改制企业，目前已有较完善的环境管理机构与环境管理制度，实行公司董事长领导下的各级环保部门负责制，公司设有安全环保部和环保人员；监测依托第三方检测机构，负责全公司的日常环境监测工作，定期对总公司内所有的污染源及大气环境、水环境、声环境进行监测。其职责主要包括：</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（1）环保总负责人对全厂环保问题总负责。</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（2）生产部主管对生产中的环保问题总负责。</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（3）环保管理机构负责制定公司环保法规及相关制度，并负责监督执行。并对公司环保设施运行情况及厂区环境状况进行监督管理。</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（4）环保管理部门依据环保局等部门提出的要求，开展相应的环保方面工作，并定期整理环保资料上报有关部门。</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（5）岳阳市衡润检测有限公司对本项目厂区内涉及环保方面相关指标进行定期监测，并负责出具监测报告。</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（6）厂区环保管理人员对现场环保设施的运行状况负责。</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（7）负责处理各类污染事故及火灾事故，组织抢救和善后处理等。</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本项目位于岳阳鑫达实业有限公司现有厂区内，为扩建项目。本项目依托企业内现有工程的环境管理制度、环境管理机构及环保人员。</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本项目的环境保护管理应实行</w:t>
      </w:r>
      <w:r>
        <w:rPr>
          <w:rFonts w:hint="default" w:ascii="Times New Roman" w:hAnsi="Times New Roman" w:cs="Times New Roman"/>
          <w:color w:val="auto"/>
          <w:lang w:eastAsia="zh-CN"/>
        </w:rPr>
        <w:t>“</w:t>
      </w:r>
      <w:r>
        <w:rPr>
          <w:rFonts w:hint="default" w:ascii="Times New Roman" w:hAnsi="Times New Roman" w:cs="Times New Roman"/>
          <w:color w:val="auto"/>
        </w:rPr>
        <w:t>领导全面负责、分级落实、分工复杂、归口管理</w:t>
      </w:r>
      <w:r>
        <w:rPr>
          <w:rFonts w:hint="default" w:ascii="Times New Roman" w:hAnsi="Times New Roman" w:cs="Times New Roman"/>
          <w:color w:val="auto"/>
          <w:lang w:eastAsia="zh-CN"/>
        </w:rPr>
        <w:t>”</w:t>
      </w:r>
      <w:r>
        <w:rPr>
          <w:rFonts w:hint="default" w:ascii="Times New Roman" w:hAnsi="Times New Roman" w:cs="Times New Roman"/>
          <w:color w:val="auto"/>
        </w:rPr>
        <w:t>的体制。根据建设项目的特点，为做好生产全过程的环境保护工作，减轻本项目建设后外排污染物对环境的影响程度，建议项目指挥部应设置专职的环保部门或环保人员，由该部门负责人主持环境保护的有关工作，将各项指标落实到具体的负责人，将各项指标落实到具体的负责人，并建立相应的奖惩制度，确保环保措施的落实和发挥效益。</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793" w:name="_Toc9019"/>
      <w:r>
        <w:rPr>
          <w:rFonts w:hint="default" w:ascii="Times New Roman" w:hAnsi="Times New Roman" w:cs="Times New Roman"/>
          <w:color w:val="auto"/>
        </w:rPr>
        <w:t>环境管理机构主要职责</w:t>
      </w:r>
      <w:bookmarkEnd w:id="793"/>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本工程应设独立的环境管理部门，其机构职责为：</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（1）贯彻执行国家和地方的环境保护政策、法规及环境保护标准；</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（2）建立并完善企业环境保护管理制度，经常督促检查落实情况；</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（3）编制并组织实施本企业的环境保护规划和计划；</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（4）搞好环境保护宣传和教育，不断提高职工的环境保护意识；</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（5）组织对基层环保人员的培训，提高工作素质；</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（6）领导并组织企业的环境监测工作，建立环境监控档案；</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（7）制定本企业污染治理设备设施操作规程和检修计划，检查、记录污染治理设施运行及检修情况，确保治理设施常年正常运行；</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（8）制定各车间的污染物排放指标，定时考核和统计，确保全厂污染物排放达到国家排放标准和总量控制指标。</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794" w:name="_Toc1047"/>
      <w:r>
        <w:rPr>
          <w:rFonts w:hint="default" w:ascii="Times New Roman" w:hAnsi="Times New Roman" w:cs="Times New Roman"/>
          <w:color w:val="auto"/>
        </w:rPr>
        <w:t>不同时期环境管理内容</w:t>
      </w:r>
      <w:bookmarkEnd w:id="794"/>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在不同的时期，建设项目环境管理的侧重点与内容均有所不同，本项目投产前与投产后运营期环境管理的内容如下表所示。</w:t>
      </w: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11</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建设项目不同时期环境管理内容</w:t>
      </w:r>
    </w:p>
    <w:tbl>
      <w:tblPr>
        <w:tblStyle w:val="24"/>
        <w:tblW w:w="89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3"/>
        <w:gridCol w:w="79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102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时期</w:t>
            </w:r>
          </w:p>
        </w:tc>
        <w:tc>
          <w:tcPr>
            <w:tcW w:w="797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环境管理内容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28" w:hRule="atLeast"/>
          <w:jc w:val="center"/>
        </w:trPr>
        <w:tc>
          <w:tcPr>
            <w:tcW w:w="102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投产前</w:t>
            </w:r>
          </w:p>
        </w:tc>
        <w:tc>
          <w:tcPr>
            <w:tcW w:w="797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①确保污染治理措施执行</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三同时</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，落实环保投资，使各项治理措施达到设计要求；</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②向上级环保部门上报建设项目竣工试运行报告，组织进行环保设施试运行；</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③编制环保设施竣工验收方案报告，向环保部门申报，进行竣工验收监测，办理竣工验收手续。竣工验收不合格时，不得投产；</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④竣工验收合格后，向当地环保部门进行排污申报登记，正式投产运行。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08" w:hRule="atLeast"/>
          <w:jc w:val="center"/>
        </w:trPr>
        <w:tc>
          <w:tcPr>
            <w:tcW w:w="102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施工期</w:t>
            </w:r>
          </w:p>
        </w:tc>
        <w:tc>
          <w:tcPr>
            <w:tcW w:w="797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①审查工程设计方案、施工图设计中环境保护措施是否正确落实了经批准的环境影响报告书提出的环境保护措施，监督并协助施工单位建立施工环境保护制度。</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②对施工过程中水、声、气环境的影响，提出减少工程环境影响的措施。监督检查施工单位在施工各个环节落实治理环境保护措施，纠正可能造成环境污染的施工操作，防范环境污染于未然。</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③记录工程施工环境影响情况、环境保护措施效果，环境保护工作建设情况；</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④及时向工程监理反映有关环境保护措施和施工中出现的问题，配合环境保护主管部门处理和和原因造成的环境污染事故。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8" w:hRule="atLeast"/>
          <w:jc w:val="center"/>
        </w:trPr>
        <w:tc>
          <w:tcPr>
            <w:tcW w:w="102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运营期</w:t>
            </w:r>
          </w:p>
        </w:tc>
        <w:tc>
          <w:tcPr>
            <w:tcW w:w="7975"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制定生产安全与监控运行体系、标准操作程序、安全操作规程和岗位责任制等到有关的规章制度，实施有效的目标责任管理，把原材料消耗、能耗、污染物排放和污染事故等作为考核指标，落实到个人岗位，纳入奖惩制度；</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②采用封闭式生产管理，监控和分析原材料和能源的消耗、环保设施的运行，污染物的排放与控制，指派专人对原料、产品的进出，废物的产生、处理和处置进行登记监控；</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③制定处理设施的运行和区域空气环境、水环境、噪声环境的监测计划，并负责组织实施，并建立相关档案和环保管理台帐，定期报地方环保主管部门备案、审核；</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④加强处理设施的运营管理，对处理设施实行巡查制度。</w:t>
            </w:r>
          </w:p>
        </w:tc>
      </w:tr>
      <w:bookmarkEnd w:id="783"/>
      <w:bookmarkEnd w:id="784"/>
      <w:bookmarkEnd w:id="785"/>
      <w:bookmarkEnd w:id="786"/>
      <w:bookmarkEnd w:id="787"/>
      <w:bookmarkEnd w:id="788"/>
      <w:bookmarkEnd w:id="789"/>
      <w:bookmarkEnd w:id="790"/>
      <w:bookmarkEnd w:id="791"/>
      <w:bookmarkEnd w:id="792"/>
    </w:tbl>
    <w:p>
      <w:pPr>
        <w:rPr>
          <w:rFonts w:hint="default" w:ascii="Times New Roman" w:hAnsi="Times New Roman" w:cs="Times New Roman"/>
          <w:color w:val="auto"/>
        </w:rPr>
      </w:pPr>
      <w:bookmarkStart w:id="795" w:name="_Toc313972094"/>
      <w:bookmarkStart w:id="796" w:name="_Toc470859909"/>
    </w:p>
    <w:p>
      <w:pPr>
        <w:pStyle w:val="4"/>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rPr>
      </w:pPr>
      <w:bookmarkStart w:id="797" w:name="_Toc9473"/>
      <w:r>
        <w:rPr>
          <w:rFonts w:hint="default" w:ascii="Times New Roman" w:hAnsi="Times New Roman" w:cs="Times New Roman"/>
          <w:color w:val="auto"/>
        </w:rPr>
        <w:t>排污口信息</w:t>
      </w:r>
      <w:bookmarkEnd w:id="797"/>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排污口是企业污染物进入环境、污染环境的通道，强化排污口的管理是实施污染物总量控制的基础工作之一，也是区域环境管理逐步实现污染物排放科学化、定量化的重要手段，具体原则如下：</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(1)如实向环保管理部门申报排污口数量、位置及所排放的主要污染物的种类、数量、排放去向等情况。列入总量控制的污染物排污口以及行业特征污染物排放口列为管理重点。</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(2)废气排气筒应设置便于采样、监测的采样孔和采样平台，设置应符合《污染源监测技术规范》。</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(3)工程固废堆存时，特别是危险废物应设置专用堆放场地，并有防扬散、防流失、防渗漏措施。</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(4)排污口应便于采样与计量监测，便于日常现场监督检查。</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(5)按照排污口规范管理及排放口环境保护图形标志管理有关规定，在排污口附近设置环境保护图形标志牌，根据《环境保护图形标志》实施细则，填写本扩建工程的主要污染物；标志牌必须保持清晰、完整，发现形象损坏、颜色污染或有变化、退色等不符合图形标志标准的情况，应及时修复或更换，检查时间至少每年一次。排放口图形标志详见下图。</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drawing>
          <wp:anchor distT="0" distB="0" distL="114300" distR="114300" simplePos="0" relativeHeight="251730944" behindDoc="0" locked="0" layoutInCell="1" allowOverlap="1">
            <wp:simplePos x="0" y="0"/>
            <wp:positionH relativeFrom="column">
              <wp:posOffset>144780</wp:posOffset>
            </wp:positionH>
            <wp:positionV relativeFrom="paragraph">
              <wp:posOffset>655955</wp:posOffset>
            </wp:positionV>
            <wp:extent cx="5420995" cy="1252220"/>
            <wp:effectExtent l="0" t="0" r="8255" b="5080"/>
            <wp:wrapTopAndBottom/>
            <wp:docPr id="263" name="图片 263" descr="说明: 说明: 说明: BZ7QQ%I_HI%(5%LMD2@6X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说明: 说明: 说明: BZ7QQ%I_HI%(5%LMD2@6XW0"/>
                    <pic:cNvPicPr>
                      <a:picLocks noChangeAspect="1"/>
                    </pic:cNvPicPr>
                  </pic:nvPicPr>
                  <pic:blipFill>
                    <a:blip r:embed="rId61" cstate="print"/>
                    <a:stretch>
                      <a:fillRect/>
                    </a:stretch>
                  </pic:blipFill>
                  <pic:spPr>
                    <a:xfrm>
                      <a:off x="0" y="0"/>
                      <a:ext cx="5420995" cy="1252220"/>
                    </a:xfrm>
                    <a:prstGeom prst="rect">
                      <a:avLst/>
                    </a:prstGeom>
                    <a:noFill/>
                    <a:ln>
                      <a:noFill/>
                    </a:ln>
                  </pic:spPr>
                </pic:pic>
              </a:graphicData>
            </a:graphic>
          </wp:anchor>
        </w:drawing>
      </w:r>
      <w:r>
        <w:rPr>
          <w:rFonts w:hint="default" w:ascii="Times New Roman" w:hAnsi="Times New Roman" w:cs="Times New Roman"/>
          <w:color w:val="auto"/>
        </w:rPr>
        <w:t>(6)环保图形标志牌设置位置应距污染物排放口及固体废物堆放场或采样点较近且醒目处，设置高度一般为牌上缘距离地面约2m。</w:t>
      </w:r>
    </w:p>
    <w:p>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11</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排污口环境保护图形</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color w:val="auto"/>
        </w:rPr>
      </w:pPr>
      <w:r>
        <w:rPr>
          <w:rFonts w:hint="default" w:ascii="Times New Roman" w:hAnsi="Times New Roman" w:cs="Times New Roman"/>
          <w:color w:val="auto"/>
        </w:rPr>
        <w:t>排污口建档管理：</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(1)本项目排污口使用国家环保局统一印制的《中华人民共和国规范化排污口标志登记证》，并按要求填写有关内容；</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(2)根据排污口管理内容要求，本项目建成投产后，应将主要污染物种类、数量、排放去向，立标情况及设施运行情况记录于档案。</w:t>
      </w:r>
    </w:p>
    <w:p>
      <w:pPr>
        <w:pStyle w:val="4"/>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bookmarkStart w:id="798" w:name="_Toc8139"/>
      <w:bookmarkStart w:id="799" w:name="_Toc498963444"/>
      <w:bookmarkStart w:id="800" w:name="_Toc31007"/>
      <w:bookmarkStart w:id="801" w:name="_Toc13239"/>
      <w:r>
        <w:rPr>
          <w:rFonts w:hint="default" w:ascii="Times New Roman" w:hAnsi="Times New Roman" w:cs="Times New Roman"/>
          <w:color w:val="auto"/>
        </w:rPr>
        <w:t>环境监理</w:t>
      </w:r>
      <w:bookmarkEnd w:id="798"/>
      <w:bookmarkEnd w:id="799"/>
      <w:bookmarkEnd w:id="800"/>
      <w:r>
        <w:rPr>
          <w:rFonts w:hint="default" w:ascii="Times New Roman" w:hAnsi="Times New Roman" w:cs="Times New Roman"/>
          <w:color w:val="auto"/>
        </w:rPr>
        <w:t>计划</w:t>
      </w:r>
      <w:bookmarkEnd w:id="801"/>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为确保环境保护设计、环境影响报告书中提出的各项环境保护措施能够顺利实施，保证施工合同中有关环境保护的合同条款切实得到落实，评价建议建设项目应当开展环境监理工作。环境监理的目的是使施工现场的环境监督、管理责任分明，目标明确，并贯穿于整个工程实施过程中，从而保证各项环境保护措施能够顺利实施。建议本项目环境监理工作纳入工程监理工作范围，要求工程监理中有专职环保人员，按工程质量和环保质量双重要求对项目进行全面质量管理。</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本项目的主要监理内容包括：</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（1）监督其是否按照环评报告的要求，在整个施工过程中与地方环保部门加强联系，并采取相应防护措施；</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（2）监督危险废物暂存间、一般工业固体废物暂存间等是否进行了防渗处置，防渗系数是否能满足相关标准要求；</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（3）监督环境保护设计、环境影响报告书中提出的各项环境保护措施、处置措施是否落实到位。</w:t>
      </w:r>
    </w:p>
    <w:bookmarkEnd w:id="795"/>
    <w:bookmarkEnd w:id="796"/>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环境监测计划的制定和执行，能有效保障环保措施的实施和落实，可以监督环保设施的运行状况，使环保设备及时得到维护和修理，减少或杜绝事故排放。</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802" w:name="_Toc16229"/>
      <w:r>
        <w:rPr>
          <w:rFonts w:hint="default" w:ascii="Times New Roman" w:hAnsi="Times New Roman" w:cs="Times New Roman"/>
          <w:color w:val="auto"/>
        </w:rPr>
        <w:t>施工期环境监测计划</w:t>
      </w:r>
      <w:bookmarkEnd w:id="802"/>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施工期环境监测因子、监测点布设、监测频次等内容见下表。</w:t>
      </w:r>
    </w:p>
    <w:p>
      <w:pPr>
        <w:pStyle w:val="1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p>
    <w:p>
      <w:pPr>
        <w:pStyle w:val="1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11</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施工期环境监测计划表</w:t>
      </w:r>
    </w:p>
    <w:tbl>
      <w:tblPr>
        <w:tblStyle w:val="24"/>
        <w:tblW w:w="900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1800"/>
        <w:gridCol w:w="3233"/>
        <w:gridCol w:w="21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7" w:hRule="exact"/>
        </w:trPr>
        <w:tc>
          <w:tcPr>
            <w:tcW w:w="18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监测类别</w:t>
            </w:r>
          </w:p>
        </w:tc>
        <w:tc>
          <w:tcPr>
            <w:tcW w:w="18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监测因子</w:t>
            </w:r>
          </w:p>
        </w:tc>
        <w:tc>
          <w:tcPr>
            <w:tcW w:w="323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监测点布设</w:t>
            </w:r>
          </w:p>
        </w:tc>
        <w:tc>
          <w:tcPr>
            <w:tcW w:w="216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2" w:hRule="exact"/>
        </w:trPr>
        <w:tc>
          <w:tcPr>
            <w:tcW w:w="18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施工噪声</w:t>
            </w:r>
          </w:p>
        </w:tc>
        <w:tc>
          <w:tcPr>
            <w:tcW w:w="18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Leq(A）</w:t>
            </w:r>
          </w:p>
        </w:tc>
        <w:tc>
          <w:tcPr>
            <w:tcW w:w="323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施工场界四周</w:t>
            </w:r>
          </w:p>
        </w:tc>
        <w:tc>
          <w:tcPr>
            <w:tcW w:w="216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每月1~2次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exact"/>
        </w:trPr>
        <w:tc>
          <w:tcPr>
            <w:tcW w:w="18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施工扬尘</w:t>
            </w:r>
          </w:p>
        </w:tc>
        <w:tc>
          <w:tcPr>
            <w:tcW w:w="1800"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TSP</w:t>
            </w:r>
          </w:p>
        </w:tc>
        <w:tc>
          <w:tcPr>
            <w:tcW w:w="3233"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施工场地上下风向</w:t>
            </w:r>
          </w:p>
        </w:tc>
        <w:tc>
          <w:tcPr>
            <w:tcW w:w="2169" w:type="dxa"/>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每月1~2次</w:t>
            </w:r>
          </w:p>
        </w:tc>
      </w:tr>
    </w:tbl>
    <w:p>
      <w:pPr>
        <w:pStyle w:val="5"/>
        <w:keepNext w:val="0"/>
        <w:keepLines w:val="0"/>
        <w:pageBreakBefore w:val="0"/>
        <w:widowControl w:val="0"/>
        <w:numPr>
          <w:ilvl w:val="2"/>
          <w:numId w:val="0"/>
        </w:numPr>
        <w:kinsoku/>
        <w:wordWrap/>
        <w:overflowPunct/>
        <w:topLinePunct w:val="0"/>
        <w:autoSpaceDE/>
        <w:autoSpaceDN/>
        <w:bidi w:val="0"/>
        <w:adjustRightInd w:val="0"/>
        <w:snapToGrid w:val="0"/>
        <w:spacing w:before="0" w:beforeLines="0" w:after="0" w:afterLines="0" w:line="360" w:lineRule="auto"/>
        <w:ind w:leftChars="0"/>
        <w:jc w:val="left"/>
        <w:textAlignment w:val="auto"/>
        <w:outlineLvl w:val="2"/>
        <w:rPr>
          <w:rFonts w:hint="default" w:ascii="Times New Roman" w:hAnsi="Times New Roman" w:cs="Times New Roman"/>
          <w:color w:val="auto"/>
        </w:rPr>
      </w:pPr>
      <w:bookmarkStart w:id="803" w:name="_Toc4187"/>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outlineLvl w:val="2"/>
        <w:rPr>
          <w:rFonts w:hint="default" w:ascii="Times New Roman" w:hAnsi="Times New Roman" w:cs="Times New Roman"/>
          <w:color w:val="auto"/>
        </w:rPr>
      </w:pPr>
      <w:r>
        <w:rPr>
          <w:rFonts w:hint="default" w:ascii="Times New Roman" w:hAnsi="Times New Roman" w:cs="Times New Roman"/>
          <w:color w:val="auto"/>
        </w:rPr>
        <w:t>营运期环境监测计划</w:t>
      </w:r>
      <w:bookmarkEnd w:id="803"/>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运营期环境监测计划包括污染源监测计划和环境质量监测计划。环境监控计划中所有监测项目的采样和分析方法应严格按照环境监测相关技术规范要求进行。</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（1）污染源监测计划</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运行期污染源监测的主要项目包括废水污染源和噪声污染源，监测方案见下表。</w:t>
      </w:r>
    </w:p>
    <w:p>
      <w:pPr>
        <w:pStyle w:val="1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bookmarkStart w:id="804" w:name="_Toc25418"/>
      <w:bookmarkStart w:id="805" w:name="_Toc498963446"/>
      <w:bookmarkStart w:id="806" w:name="_Toc313972095"/>
      <w:bookmarkStart w:id="807" w:name="_Toc470859910"/>
    </w:p>
    <w:p>
      <w:pPr>
        <w:pStyle w:val="1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p>
    <w:p>
      <w:pPr>
        <w:pStyle w:val="1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11</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4</w:t>
      </w:r>
      <w:r>
        <w:rPr>
          <w:rFonts w:hint="default" w:ascii="Times New Roman" w:hAnsi="Times New Roman" w:cs="Times New Roman"/>
          <w:color w:val="auto"/>
        </w:rPr>
        <w:fldChar w:fldCharType="end"/>
      </w:r>
      <w:r>
        <w:rPr>
          <w:rFonts w:hint="default" w:ascii="Times New Roman" w:hAnsi="Times New Roman" w:cs="Times New Roman"/>
          <w:color w:val="auto"/>
        </w:rPr>
        <w:t>营运期环境污染源监测计划</w:t>
      </w:r>
    </w:p>
    <w:tbl>
      <w:tblPr>
        <w:tblStyle w:val="24"/>
        <w:tblW w:w="892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0"/>
        <w:gridCol w:w="1756"/>
        <w:gridCol w:w="2652"/>
        <w:gridCol w:w="1432"/>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44" w:hRule="atLeast"/>
          <w:jc w:val="center"/>
        </w:trPr>
        <w:tc>
          <w:tcPr>
            <w:tcW w:w="13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污染源</w:t>
            </w:r>
          </w:p>
        </w:tc>
        <w:tc>
          <w:tcPr>
            <w:tcW w:w="175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监测地点</w:t>
            </w:r>
          </w:p>
        </w:tc>
        <w:tc>
          <w:tcPr>
            <w:tcW w:w="265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监测项目</w:t>
            </w:r>
          </w:p>
        </w:tc>
        <w:tc>
          <w:tcPr>
            <w:tcW w:w="143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监测频率</w:t>
            </w:r>
          </w:p>
        </w:tc>
        <w:tc>
          <w:tcPr>
            <w:tcW w:w="170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24" w:hRule="atLeast"/>
          <w:jc w:val="center"/>
        </w:trPr>
        <w:tc>
          <w:tcPr>
            <w:tcW w:w="13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废水污染源</w:t>
            </w:r>
          </w:p>
        </w:tc>
        <w:tc>
          <w:tcPr>
            <w:tcW w:w="175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厂区废水总排口</w:t>
            </w:r>
          </w:p>
        </w:tc>
        <w:tc>
          <w:tcPr>
            <w:tcW w:w="265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水量、pH、氨氮、CODCr、石油类、挥发酚、镍</w:t>
            </w:r>
          </w:p>
        </w:tc>
        <w:tc>
          <w:tcPr>
            <w:tcW w:w="143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每季度一次</w:t>
            </w:r>
          </w:p>
        </w:tc>
        <w:tc>
          <w:tcPr>
            <w:tcW w:w="170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发生事故排放时立即进行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9" w:hRule="atLeast"/>
          <w:jc w:val="center"/>
        </w:trPr>
        <w:tc>
          <w:tcPr>
            <w:tcW w:w="1380"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噪声污染源</w:t>
            </w:r>
          </w:p>
        </w:tc>
        <w:tc>
          <w:tcPr>
            <w:tcW w:w="1756"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公司厂界</w:t>
            </w:r>
          </w:p>
        </w:tc>
        <w:tc>
          <w:tcPr>
            <w:tcW w:w="265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昼、夜等效A声级</w:t>
            </w:r>
          </w:p>
        </w:tc>
        <w:tc>
          <w:tcPr>
            <w:tcW w:w="1432"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每季度一次</w:t>
            </w:r>
          </w:p>
        </w:tc>
        <w:tc>
          <w:tcPr>
            <w:tcW w:w="1701" w:type="dxa"/>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测边界噪声</w:t>
            </w:r>
          </w:p>
        </w:tc>
      </w:tr>
    </w:tbl>
    <w:p>
      <w:pPr>
        <w:pStyle w:val="39"/>
        <w:keepNext w:val="0"/>
        <w:keepLines w:val="0"/>
        <w:pageBreakBefore w:val="0"/>
        <w:widowControl w:val="0"/>
        <w:kinsoku/>
        <w:wordWrap/>
        <w:overflowPunct/>
        <w:topLinePunct w:val="0"/>
        <w:autoSpaceDE/>
        <w:autoSpaceDN/>
        <w:bidi w:val="0"/>
        <w:adjustRightInd/>
        <w:snapToGrid/>
        <w:spacing w:before="157" w:beforeLines="50"/>
        <w:textAlignment w:val="auto"/>
        <w:outlineLvl w:val="9"/>
        <w:rPr>
          <w:rFonts w:hint="default" w:ascii="Times New Roman" w:hAnsi="Times New Roman" w:cs="Times New Roman"/>
          <w:color w:val="auto"/>
        </w:rPr>
      </w:pPr>
      <w:r>
        <w:rPr>
          <w:rFonts w:hint="default" w:ascii="Times New Roman" w:hAnsi="Times New Roman" w:cs="Times New Roman"/>
          <w:color w:val="auto"/>
        </w:rPr>
        <w:t>项目环境质量监测计划见表</w:t>
      </w:r>
      <w:r>
        <w:rPr>
          <w:rFonts w:hint="default" w:ascii="Times New Roman" w:hAnsi="Times New Roman" w:cs="Times New Roman"/>
          <w:color w:val="auto"/>
          <w:lang w:val="en-US" w:eastAsia="zh-CN"/>
        </w:rPr>
        <w:t xml:space="preserve"> 11-5</w:t>
      </w:r>
      <w:r>
        <w:rPr>
          <w:rFonts w:hint="default" w:ascii="Times New Roman" w:hAnsi="Times New Roman" w:cs="Times New Roman"/>
          <w:color w:val="auto"/>
        </w:rPr>
        <w:t>。</w:t>
      </w:r>
    </w:p>
    <w:p>
      <w:pPr>
        <w:pStyle w:val="14"/>
        <w:bidi w:val="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11</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5</w:t>
      </w:r>
      <w:r>
        <w:rPr>
          <w:rFonts w:hint="default" w:ascii="Times New Roman" w:hAnsi="Times New Roman" w:cs="Times New Roman"/>
          <w:color w:val="auto"/>
        </w:rPr>
        <w:fldChar w:fldCharType="end"/>
      </w:r>
      <w:r>
        <w:rPr>
          <w:rFonts w:hint="default" w:ascii="Times New Roman" w:hAnsi="Times New Roman" w:cs="Times New Roman"/>
          <w:color w:val="auto"/>
        </w:rPr>
        <w:t>项目环境质量监测计划</w:t>
      </w:r>
    </w:p>
    <w:tbl>
      <w:tblPr>
        <w:tblStyle w:val="24"/>
        <w:tblW w:w="890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050"/>
        <w:gridCol w:w="1335"/>
        <w:gridCol w:w="1395"/>
        <w:gridCol w:w="1170"/>
        <w:gridCol w:w="2318"/>
        <w:gridCol w:w="16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39" w:hRule="atLeast"/>
          <w:jc w:val="center"/>
        </w:trPr>
        <w:tc>
          <w:tcPr>
            <w:tcW w:w="105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要素</w:t>
            </w:r>
          </w:p>
        </w:tc>
        <w:tc>
          <w:tcPr>
            <w:tcW w:w="1335"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监测地点</w:t>
            </w:r>
          </w:p>
        </w:tc>
        <w:tc>
          <w:tcPr>
            <w:tcW w:w="1395"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监测项目</w:t>
            </w:r>
          </w:p>
        </w:tc>
        <w:tc>
          <w:tcPr>
            <w:tcW w:w="117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监测频率</w:t>
            </w:r>
          </w:p>
        </w:tc>
        <w:tc>
          <w:tcPr>
            <w:tcW w:w="2318"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采样分析方法</w:t>
            </w:r>
          </w:p>
        </w:tc>
        <w:tc>
          <w:tcPr>
            <w:tcW w:w="164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730" w:hRule="atLeast"/>
          <w:jc w:val="center"/>
        </w:trPr>
        <w:tc>
          <w:tcPr>
            <w:tcW w:w="105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w:t>
            </w:r>
          </w:p>
        </w:tc>
        <w:tc>
          <w:tcPr>
            <w:tcW w:w="1335"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与现状监测点一致</w:t>
            </w:r>
          </w:p>
        </w:tc>
        <w:tc>
          <w:tcPr>
            <w:tcW w:w="1395"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与现状监测</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因子一致</w:t>
            </w:r>
          </w:p>
        </w:tc>
        <w:tc>
          <w:tcPr>
            <w:tcW w:w="117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监督监测</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每年一次</w:t>
            </w:r>
          </w:p>
        </w:tc>
        <w:tc>
          <w:tcPr>
            <w:tcW w:w="2318"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《地表水环境质量标准》</w:t>
            </w:r>
          </w:p>
        </w:tc>
        <w:tc>
          <w:tcPr>
            <w:tcW w:w="1640" w:type="dxa"/>
            <w:vMerge w:val="restart"/>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与岳阳</w:t>
            </w:r>
            <w:r>
              <w:rPr>
                <w:rFonts w:hint="default" w:ascii="Times New Roman" w:hAnsi="Times New Roman" w:cs="Times New Roman"/>
                <w:color w:val="auto"/>
                <w:sz w:val="21"/>
                <w:szCs w:val="21"/>
                <w:lang w:eastAsia="zh-CN"/>
              </w:rPr>
              <w:t>巴陵石化公司</w:t>
            </w:r>
            <w:r>
              <w:rPr>
                <w:rFonts w:hint="default" w:ascii="Times New Roman" w:hAnsi="Times New Roman" w:cs="Times New Roman"/>
                <w:color w:val="auto"/>
                <w:sz w:val="21"/>
                <w:szCs w:val="21"/>
              </w:rPr>
              <w:t>协商共同监测，项目特征污染因子可自行监测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800" w:hRule="atLeast"/>
          <w:jc w:val="center"/>
        </w:trPr>
        <w:tc>
          <w:tcPr>
            <w:tcW w:w="105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w:t>
            </w:r>
          </w:p>
        </w:tc>
        <w:tc>
          <w:tcPr>
            <w:tcW w:w="1335"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与现状监测点一致</w:t>
            </w:r>
          </w:p>
        </w:tc>
        <w:tc>
          <w:tcPr>
            <w:tcW w:w="1395"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与现状监测</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因子一致</w:t>
            </w:r>
          </w:p>
        </w:tc>
        <w:tc>
          <w:tcPr>
            <w:tcW w:w="1170"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监督监测</w:t>
            </w:r>
          </w:p>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每年一次</w:t>
            </w:r>
          </w:p>
        </w:tc>
        <w:tc>
          <w:tcPr>
            <w:tcW w:w="2318" w:type="dxa"/>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《地下水环境质量标准》</w:t>
            </w:r>
          </w:p>
        </w:tc>
        <w:tc>
          <w:tcPr>
            <w:tcW w:w="1640" w:type="dxa"/>
            <w:vMerge w:val="continue"/>
            <w:tcBorders>
              <w:tl2br w:val="nil"/>
              <w:tr2bl w:val="nil"/>
            </w:tcBorders>
            <w:vAlign w:val="center"/>
          </w:tcPr>
          <w:p>
            <w:pPr>
              <w:pStyle w:val="40"/>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bl>
    <w:p>
      <w:pPr>
        <w:pStyle w:val="39"/>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color w:val="auto"/>
        </w:rPr>
      </w:pPr>
    </w:p>
    <w:p>
      <w:pPr>
        <w:pStyle w:val="39"/>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color w:val="auto"/>
        </w:rPr>
      </w:pPr>
      <w:r>
        <w:rPr>
          <w:rFonts w:hint="default" w:ascii="Times New Roman" w:hAnsi="Times New Roman" w:cs="Times New Roman"/>
          <w:color w:val="auto"/>
        </w:rPr>
        <w:t>监测按《环境监测技术规范》和《污染源统一监测分析方法》的有关规定执行。</w:t>
      </w:r>
    </w:p>
    <w:p>
      <w:pPr>
        <w:pStyle w:val="4"/>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cs="Times New Roman"/>
          <w:color w:val="auto"/>
        </w:rPr>
      </w:pPr>
      <w:bookmarkStart w:id="808" w:name="_Toc12073"/>
      <w:bookmarkStart w:id="809" w:name="_Toc15371"/>
      <w:r>
        <w:rPr>
          <w:rFonts w:hint="default" w:ascii="Times New Roman" w:hAnsi="Times New Roman" w:cs="Times New Roman"/>
          <w:color w:val="auto"/>
        </w:rPr>
        <w:t>竣工环境保护验收</w:t>
      </w:r>
      <w:bookmarkEnd w:id="804"/>
      <w:bookmarkEnd w:id="805"/>
      <w:bookmarkEnd w:id="806"/>
      <w:bookmarkEnd w:id="807"/>
      <w:bookmarkEnd w:id="808"/>
      <w:bookmarkEnd w:id="809"/>
      <w:bookmarkStart w:id="810" w:name="_Toc306652050"/>
      <w:bookmarkStart w:id="811" w:name="_Toc305592487"/>
      <w:bookmarkStart w:id="812" w:name="_Toc208024978"/>
      <w:bookmarkStart w:id="813" w:name="_Toc171998030"/>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rPr>
        <w:t>根据《中华人民共和国环境噪声污染防治法》、《中华人民共和国固体废物污染环境防治法》、《关于发布〈建设项目竣工环境保护验收暂行办法〉的公告》（国环规环评[2017]4号）以及其他有关规定，本项目建成投入初步运营后，建设单位需向当地环境保护行政主管部门申请对项目（噪声、固体废物污染防治设施）竣工环境保护验收申请，项目（废水和大气污染防治措施）进行自主验收。自主环保竣工验收参照《建设项目竣工环境保护验收暂行办法》（国环规环评[2017]4号）进行。本项目环保措施竣工验收项目内容见下表</w:t>
      </w:r>
      <w:bookmarkEnd w:id="810"/>
      <w:bookmarkEnd w:id="811"/>
      <w:bookmarkEnd w:id="812"/>
      <w:bookmarkEnd w:id="813"/>
      <w:r>
        <w:rPr>
          <w:rFonts w:hint="default" w:ascii="Times New Roman" w:hAnsi="Times New Roman" w:cs="Times New Roman"/>
          <w:color w:val="auto"/>
        </w:rPr>
        <w:t>。</w:t>
      </w:r>
    </w:p>
    <w:p>
      <w:pPr>
        <w:pStyle w:val="39"/>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rPr>
        <w:sectPr>
          <w:pgSz w:w="11905" w:h="16838"/>
          <w:pgMar w:top="1417" w:right="1417" w:bottom="1134" w:left="1701"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14"/>
        <w:bidi w:val="0"/>
        <w:rPr>
          <w:rFonts w:hint="default" w:ascii="Times New Roman" w:hAnsi="Times New Roman" w:cs="Times New Roman"/>
          <w:color w:val="auto"/>
          <w:u w:val="wave"/>
          <w:lang w:eastAsia="zh-CN"/>
        </w:rPr>
      </w:pPr>
      <w:bookmarkStart w:id="814" w:name="_Ref400391623"/>
      <w:r>
        <w:rPr>
          <w:rFonts w:hint="default" w:ascii="Times New Roman" w:hAnsi="Times New Roman" w:cs="Times New Roman"/>
          <w:color w:val="auto"/>
          <w:u w:val="wave"/>
        </w:rPr>
        <w:t xml:space="preserve">表 </w:t>
      </w:r>
      <w:r>
        <w:rPr>
          <w:rFonts w:hint="default" w:ascii="Times New Roman" w:hAnsi="Times New Roman" w:cs="Times New Roman"/>
          <w:color w:val="auto"/>
          <w:u w:val="wave"/>
        </w:rPr>
        <w:fldChar w:fldCharType="begin"/>
      </w:r>
      <w:r>
        <w:rPr>
          <w:rFonts w:hint="default" w:ascii="Times New Roman" w:hAnsi="Times New Roman" w:cs="Times New Roman"/>
          <w:color w:val="auto"/>
          <w:u w:val="wave"/>
        </w:rPr>
        <w:instrText xml:space="preserve"> STYLEREF 1 \s </w:instrText>
      </w:r>
      <w:r>
        <w:rPr>
          <w:rFonts w:hint="default" w:ascii="Times New Roman" w:hAnsi="Times New Roman" w:cs="Times New Roman"/>
          <w:color w:val="auto"/>
          <w:u w:val="wave"/>
        </w:rPr>
        <w:fldChar w:fldCharType="separate"/>
      </w:r>
      <w:r>
        <w:rPr>
          <w:rFonts w:hint="default" w:ascii="Times New Roman" w:hAnsi="Times New Roman" w:cs="Times New Roman"/>
          <w:color w:val="auto"/>
          <w:u w:val="wave"/>
        </w:rPr>
        <w:t>11</w:t>
      </w:r>
      <w:r>
        <w:rPr>
          <w:rFonts w:hint="default" w:ascii="Times New Roman" w:hAnsi="Times New Roman" w:cs="Times New Roman"/>
          <w:color w:val="auto"/>
          <w:u w:val="wave"/>
        </w:rPr>
        <w:fldChar w:fldCharType="end"/>
      </w:r>
      <w:r>
        <w:rPr>
          <w:rFonts w:hint="default" w:ascii="Times New Roman" w:hAnsi="Times New Roman" w:cs="Times New Roman"/>
          <w:color w:val="auto"/>
          <w:u w:val="wave"/>
          <w:lang w:eastAsia="zh-CN"/>
        </w:rPr>
        <w:t>-</w:t>
      </w:r>
      <w:r>
        <w:rPr>
          <w:rFonts w:hint="default" w:ascii="Times New Roman" w:hAnsi="Times New Roman" w:cs="Times New Roman"/>
          <w:color w:val="auto"/>
          <w:u w:val="wave"/>
        </w:rPr>
        <w:fldChar w:fldCharType="begin"/>
      </w:r>
      <w:r>
        <w:rPr>
          <w:rFonts w:hint="default" w:ascii="Times New Roman" w:hAnsi="Times New Roman" w:cs="Times New Roman"/>
          <w:color w:val="auto"/>
          <w:u w:val="wave"/>
        </w:rPr>
        <w:instrText xml:space="preserve"> SEQ 表 \* ARABIC \s 1 </w:instrText>
      </w:r>
      <w:r>
        <w:rPr>
          <w:rFonts w:hint="default" w:ascii="Times New Roman" w:hAnsi="Times New Roman" w:cs="Times New Roman"/>
          <w:color w:val="auto"/>
          <w:u w:val="wave"/>
        </w:rPr>
        <w:fldChar w:fldCharType="separate"/>
      </w:r>
      <w:r>
        <w:rPr>
          <w:rFonts w:hint="default" w:ascii="Times New Roman" w:hAnsi="Times New Roman" w:cs="Times New Roman"/>
          <w:color w:val="auto"/>
          <w:u w:val="wave"/>
        </w:rPr>
        <w:t>6</w:t>
      </w:r>
      <w:r>
        <w:rPr>
          <w:rFonts w:hint="default" w:ascii="Times New Roman" w:hAnsi="Times New Roman" w:cs="Times New Roman"/>
          <w:color w:val="auto"/>
          <w:u w:val="wave"/>
        </w:rPr>
        <w:fldChar w:fldCharType="end"/>
      </w:r>
      <w:r>
        <w:rPr>
          <w:rFonts w:hint="default" w:ascii="Times New Roman" w:hAnsi="Times New Roman" w:cs="Times New Roman"/>
          <w:color w:val="auto"/>
          <w:u w:val="wave"/>
        </w:rPr>
        <w:t>环境保护设施竣工验收项目内容</w:t>
      </w:r>
      <w:bookmarkEnd w:id="814"/>
      <w:r>
        <w:rPr>
          <w:rFonts w:hint="default" w:ascii="Times New Roman" w:hAnsi="Times New Roman" w:cs="Times New Roman"/>
          <w:color w:val="auto"/>
          <w:u w:val="wave"/>
          <w:lang w:eastAsia="zh-CN"/>
        </w:rPr>
        <w:t>一览表</w:t>
      </w:r>
    </w:p>
    <w:tbl>
      <w:tblPr>
        <w:tblStyle w:val="24"/>
        <w:tblW w:w="142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4"/>
        <w:gridCol w:w="1618"/>
        <w:gridCol w:w="5158"/>
        <w:gridCol w:w="2155"/>
        <w:gridCol w:w="1020"/>
        <w:gridCol w:w="33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5" w:hRule="atLeast"/>
          <w:tblHeader/>
          <w:jc w:val="center"/>
        </w:trPr>
        <w:tc>
          <w:tcPr>
            <w:tcW w:w="96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污染源</w:t>
            </w:r>
          </w:p>
        </w:tc>
        <w:tc>
          <w:tcPr>
            <w:tcW w:w="161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污染源</w:t>
            </w:r>
          </w:p>
        </w:tc>
        <w:tc>
          <w:tcPr>
            <w:tcW w:w="515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环保设施/措施</w:t>
            </w:r>
          </w:p>
        </w:tc>
        <w:tc>
          <w:tcPr>
            <w:tcW w:w="21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主要污染物</w:t>
            </w:r>
          </w:p>
        </w:tc>
        <w:tc>
          <w:tcPr>
            <w:tcW w:w="102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点位</w:t>
            </w:r>
          </w:p>
        </w:tc>
        <w:tc>
          <w:tcPr>
            <w:tcW w:w="336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验收内容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964"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bookmarkStart w:id="815" w:name="_Hlk498957384"/>
            <w:r>
              <w:rPr>
                <w:rFonts w:hint="default" w:ascii="Times New Roman" w:hAnsi="Times New Roman" w:cs="Times New Roman"/>
                <w:color w:val="auto"/>
                <w:sz w:val="21"/>
                <w:szCs w:val="21"/>
              </w:rPr>
              <w:t>废气</w:t>
            </w:r>
          </w:p>
        </w:tc>
        <w:tc>
          <w:tcPr>
            <w:tcW w:w="161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有组织</w:t>
            </w:r>
            <w:r>
              <w:rPr>
                <w:rFonts w:hint="default" w:ascii="Times New Roman" w:hAnsi="Times New Roman" w:cs="Times New Roman"/>
                <w:color w:val="auto"/>
                <w:sz w:val="21"/>
                <w:szCs w:val="21"/>
                <w:highlight w:val="none"/>
              </w:rPr>
              <w:t>废气</w:t>
            </w:r>
          </w:p>
        </w:tc>
        <w:tc>
          <w:tcPr>
            <w:tcW w:w="515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各个生产设施都为密封设置，彼此通过密封管道连接。生产过程中产生的废气都由密封管道连接巴陵石化放空总管，通向巴陵石化火炬台进行燃烧处理。</w:t>
            </w:r>
          </w:p>
        </w:tc>
        <w:tc>
          <w:tcPr>
            <w:tcW w:w="21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非甲烷总烃</w:t>
            </w:r>
          </w:p>
        </w:tc>
        <w:tc>
          <w:tcPr>
            <w:tcW w:w="102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36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96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p>
        </w:tc>
        <w:tc>
          <w:tcPr>
            <w:tcW w:w="161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cs="Times New Roman"/>
                <w:color w:val="auto"/>
                <w:sz w:val="21"/>
                <w:szCs w:val="21"/>
                <w:highlight w:val="none"/>
                <w:u w:val="single"/>
                <w:lang w:eastAsia="zh-CN"/>
              </w:rPr>
              <w:t>无组织废气</w:t>
            </w:r>
          </w:p>
        </w:tc>
        <w:tc>
          <w:tcPr>
            <w:tcW w:w="515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u w:val="single"/>
              </w:rPr>
              <w:t>由于生产装置阀门、管线、塔体的跑、冒、滴、漏或安全阀超压释放逸散到大气中的无组织废气</w:t>
            </w:r>
          </w:p>
        </w:tc>
        <w:tc>
          <w:tcPr>
            <w:tcW w:w="21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非甲烷总烃</w:t>
            </w:r>
          </w:p>
        </w:tc>
        <w:tc>
          <w:tcPr>
            <w:tcW w:w="102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lang w:val="en-US" w:eastAsia="zh-CN"/>
              </w:rPr>
              <w:t>厂界上风向、下风向</w:t>
            </w:r>
          </w:p>
        </w:tc>
        <w:tc>
          <w:tcPr>
            <w:tcW w:w="336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cs="Times New Roman"/>
                <w:color w:val="auto"/>
                <w:sz w:val="21"/>
                <w:szCs w:val="21"/>
                <w:u w:val="single"/>
              </w:rPr>
              <w:t>是否达到《无机化学工业污染物排放标准》（GB31573-2015）中的</w:t>
            </w:r>
            <w:r>
              <w:rPr>
                <w:rFonts w:hint="default" w:ascii="Times New Roman" w:hAnsi="Times New Roman" w:cs="Times New Roman"/>
                <w:color w:val="auto"/>
                <w:sz w:val="21"/>
                <w:szCs w:val="21"/>
                <w:u w:val="single"/>
                <w:lang w:eastAsia="zh-CN"/>
              </w:rPr>
              <w:t>无组织废气标准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964"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161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雨污分流</w:t>
            </w:r>
          </w:p>
        </w:tc>
        <w:tc>
          <w:tcPr>
            <w:tcW w:w="515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切换阀门</w:t>
            </w:r>
          </w:p>
        </w:tc>
        <w:tc>
          <w:tcPr>
            <w:tcW w:w="21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36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厂区内是否完全实施了雨污分流。</w:t>
            </w:r>
          </w:p>
        </w:tc>
      </w:tr>
      <w:bookmarkEnd w:id="815"/>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96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p>
        </w:tc>
        <w:tc>
          <w:tcPr>
            <w:tcW w:w="161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w:t>
            </w:r>
          </w:p>
        </w:tc>
        <w:tc>
          <w:tcPr>
            <w:tcW w:w="515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生活污水经化粪池处理后，通过工业园污水管网排入巴陵石化污水处理厂进行处理达标后排入长江。</w:t>
            </w:r>
          </w:p>
        </w:tc>
        <w:tc>
          <w:tcPr>
            <w:tcW w:w="21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COD、BOD</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-N、SS、石油类</w:t>
            </w:r>
          </w:p>
        </w:tc>
        <w:tc>
          <w:tcPr>
            <w:tcW w:w="1020"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厂区废水排口</w:t>
            </w:r>
          </w:p>
        </w:tc>
        <w:tc>
          <w:tcPr>
            <w:tcW w:w="3365"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是否达到《无机化学工业污染物排放标准》（GB31573-2015）中的间接排放标准及巴陵石化污水处理厂进水水质标准要求。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14" w:hRule="atLeast"/>
          <w:jc w:val="center"/>
        </w:trPr>
        <w:tc>
          <w:tcPr>
            <w:tcW w:w="96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p>
        </w:tc>
        <w:tc>
          <w:tcPr>
            <w:tcW w:w="161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工艺废水、设备清洗废水、地面清洗废水等</w:t>
            </w:r>
          </w:p>
        </w:tc>
        <w:tc>
          <w:tcPr>
            <w:tcW w:w="515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工艺废水、设备清洗废水、地面清洗废水排入污水收集池，通过新建污水预处理系统回收镍盐后，通过工业园污水管网排入巴陵石化污水处理厂进行处理达标后排入长江。</w:t>
            </w:r>
          </w:p>
        </w:tc>
        <w:tc>
          <w:tcPr>
            <w:tcW w:w="21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COD、石油类、镍</w:t>
            </w:r>
          </w:p>
        </w:tc>
        <w:tc>
          <w:tcPr>
            <w:tcW w:w="1020"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p>
        </w:tc>
        <w:tc>
          <w:tcPr>
            <w:tcW w:w="336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96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p>
        </w:tc>
        <w:tc>
          <w:tcPr>
            <w:tcW w:w="161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初期雨水</w:t>
            </w:r>
          </w:p>
        </w:tc>
        <w:tc>
          <w:tcPr>
            <w:tcW w:w="515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初期雨水经雨水沟</w:t>
            </w:r>
            <w:r>
              <w:rPr>
                <w:rFonts w:hint="default" w:ascii="Times New Roman" w:hAnsi="Times New Roman" w:cs="Times New Roman"/>
                <w:color w:val="auto"/>
                <w:sz w:val="21"/>
                <w:szCs w:val="21"/>
                <w:lang w:eastAsia="zh-CN"/>
              </w:rPr>
              <w:t>接入暗沟</w:t>
            </w:r>
            <w:r>
              <w:rPr>
                <w:rFonts w:hint="default" w:ascii="Times New Roman" w:hAnsi="Times New Roman" w:cs="Times New Roman"/>
                <w:color w:val="auto"/>
                <w:sz w:val="21"/>
                <w:szCs w:val="21"/>
              </w:rPr>
              <w:t>，通过工业园污水管网排入巴陵石化公司污水处理厂进行处理，达标后排入长江。后期的清净雨水通过阀门切换进入园区雨水管道，最终汇入长江。</w:t>
            </w:r>
          </w:p>
        </w:tc>
        <w:tc>
          <w:tcPr>
            <w:tcW w:w="21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-N、SS</w:t>
            </w:r>
          </w:p>
        </w:tc>
        <w:tc>
          <w:tcPr>
            <w:tcW w:w="102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厂区雨水排口</w:t>
            </w:r>
          </w:p>
        </w:tc>
        <w:tc>
          <w:tcPr>
            <w:tcW w:w="3365"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6" w:hRule="atLeast"/>
          <w:jc w:val="center"/>
        </w:trPr>
        <w:tc>
          <w:tcPr>
            <w:tcW w:w="96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w:t>
            </w:r>
          </w:p>
        </w:tc>
        <w:tc>
          <w:tcPr>
            <w:tcW w:w="161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地下水污染防治</w:t>
            </w:r>
          </w:p>
        </w:tc>
        <w:tc>
          <w:tcPr>
            <w:tcW w:w="515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对地下物料输送管道、污水管道、初期雨水收集池、污水收集池、事故池、储罐区、生产装置区、原辅材料库、危险废物暂存间、甲类堆场的地面等进行分区防渗处理；设置地下水监测井，制定地下水污染跟踪监测计划。</w:t>
            </w:r>
          </w:p>
        </w:tc>
        <w:tc>
          <w:tcPr>
            <w:tcW w:w="21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水位、pH、耗氧量、氨氮、挥发性酚类、硫酸盐、硫化物、氟化物、氯化物、镍、总硬度、嗅与味</w:t>
            </w:r>
          </w:p>
        </w:tc>
        <w:tc>
          <w:tcPr>
            <w:tcW w:w="102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本项目场地、上游、下游各设1个。</w:t>
            </w:r>
          </w:p>
        </w:tc>
        <w:tc>
          <w:tcPr>
            <w:tcW w:w="336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地下水质不受本项目影响。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964" w:type="dxa"/>
            <w:vMerge w:val="restart"/>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161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515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交由环卫部门统一清运处理，设置垃圾桶。</w:t>
            </w:r>
          </w:p>
        </w:tc>
        <w:tc>
          <w:tcPr>
            <w:tcW w:w="21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36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是否交由环卫部门统一清运处理。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21" w:hRule="atLeast"/>
          <w:jc w:val="center"/>
        </w:trPr>
        <w:tc>
          <w:tcPr>
            <w:tcW w:w="96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p>
        </w:tc>
        <w:tc>
          <w:tcPr>
            <w:tcW w:w="161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未沾染原材料的废弃外包装物等一般工业固体废物</w:t>
            </w:r>
          </w:p>
        </w:tc>
        <w:tc>
          <w:tcPr>
            <w:tcW w:w="515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按相关标准要求建设一般工业固体废物暂存间，集中收集后外售给废旧物资回收公司。</w:t>
            </w:r>
          </w:p>
        </w:tc>
        <w:tc>
          <w:tcPr>
            <w:tcW w:w="21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一般工业固体废物暂存间</w:t>
            </w:r>
          </w:p>
        </w:tc>
        <w:tc>
          <w:tcPr>
            <w:tcW w:w="336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一般工业固体废物暂存间是否满足《一般工业固体废物贮存、处置场污染控制标准》（GB18599-2001）及其2013年修改单要求；是否外售给废旧物资回收公司。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964" w:type="dxa"/>
            <w:vMerge w:val="continue"/>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p>
        </w:tc>
        <w:tc>
          <w:tcPr>
            <w:tcW w:w="161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沾染原辅材料的空桶</w:t>
            </w:r>
            <w:r>
              <w:rPr>
                <w:rFonts w:hint="default" w:ascii="Times New Roman" w:hAnsi="Times New Roman" w:cs="Times New Roman"/>
                <w:color w:val="auto"/>
                <w:sz w:val="21"/>
                <w:szCs w:val="21"/>
                <w:lang w:eastAsia="zh-CN"/>
              </w:rPr>
              <w:t>、油液</w:t>
            </w:r>
            <w:r>
              <w:rPr>
                <w:rFonts w:hint="default" w:ascii="Times New Roman" w:hAnsi="Times New Roman" w:cs="Times New Roman"/>
                <w:color w:val="auto"/>
                <w:sz w:val="21"/>
                <w:szCs w:val="21"/>
              </w:rPr>
              <w:t>等危险废物</w:t>
            </w:r>
          </w:p>
        </w:tc>
        <w:tc>
          <w:tcPr>
            <w:tcW w:w="515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按相关标准要求建设危险废物暂存间，集中收集后委托有资质单位进行处置。</w:t>
            </w:r>
          </w:p>
        </w:tc>
        <w:tc>
          <w:tcPr>
            <w:tcW w:w="21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危险废物暂存间</w:t>
            </w:r>
          </w:p>
        </w:tc>
        <w:tc>
          <w:tcPr>
            <w:tcW w:w="336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危险废物暂存间是否满足《危险废物贮存污染控制标准》（GB18597-2001）及其2013年修改单要求；是否委托有资质单位进行处置。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9" w:hRule="atLeast"/>
          <w:jc w:val="center"/>
        </w:trPr>
        <w:tc>
          <w:tcPr>
            <w:tcW w:w="96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161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生产装置区各设备的搅拌机、泵、风机等</w:t>
            </w:r>
          </w:p>
        </w:tc>
        <w:tc>
          <w:tcPr>
            <w:tcW w:w="515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基础减振、消声器、隔声</w:t>
            </w:r>
          </w:p>
        </w:tc>
        <w:tc>
          <w:tcPr>
            <w:tcW w:w="21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dB(A)</w:t>
            </w:r>
          </w:p>
        </w:tc>
        <w:tc>
          <w:tcPr>
            <w:tcW w:w="102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w:t>
            </w:r>
          </w:p>
        </w:tc>
        <w:tc>
          <w:tcPr>
            <w:tcW w:w="336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各噪声值是否满足《工业企业厂界环境噪声排放标准》(GB12348-2008)中的3类标准要求。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9" w:hRule="atLeast"/>
          <w:jc w:val="center"/>
        </w:trPr>
        <w:tc>
          <w:tcPr>
            <w:tcW w:w="96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施工期</w:t>
            </w:r>
          </w:p>
        </w:tc>
        <w:tc>
          <w:tcPr>
            <w:tcW w:w="161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15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1、遵守作业规定文明施工；位置相对固定的机械设备建立临时屏障；2、设置符合围挡；3、每天定期洒水、及时清扫；4、避免起尘原材料的露天堆放；5、渣土及时清运</w:t>
            </w:r>
          </w:p>
        </w:tc>
        <w:tc>
          <w:tcPr>
            <w:tcW w:w="21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36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964"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其它</w:t>
            </w:r>
          </w:p>
        </w:tc>
        <w:tc>
          <w:tcPr>
            <w:tcW w:w="161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环境管理</w:t>
            </w:r>
          </w:p>
        </w:tc>
        <w:tc>
          <w:tcPr>
            <w:tcW w:w="5158"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加强环境管理，建立污染防治设施运行管理台账，设专门的环保机构及环保人员。</w:t>
            </w:r>
          </w:p>
        </w:tc>
        <w:tc>
          <w:tcPr>
            <w:tcW w:w="215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0"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365" w:type="dxa"/>
            <w:tcBorders>
              <w:tl2br w:val="nil"/>
              <w:tr2bl w:val="nil"/>
            </w:tcBorders>
            <w:vAlign w:val="center"/>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pPr>
        <w:pStyle w:val="39"/>
        <w:bidi w:val="0"/>
        <w:ind w:left="0" w:leftChars="0" w:firstLine="0" w:firstLineChars="0"/>
        <w:rPr>
          <w:rFonts w:hint="default" w:ascii="Times New Roman" w:hAnsi="Times New Roman" w:cs="Times New Roman"/>
          <w:color w:val="auto"/>
        </w:rPr>
        <w:sectPr>
          <w:pgSz w:w="16838" w:h="11905" w:orient="landscape"/>
          <w:pgMar w:top="1701" w:right="1417" w:bottom="1417" w:left="1134"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依据《关于规范建设单位自主开展建设项目竣工验收环境保护验收的通知（征求意见稿）》（环办环评函[2017]1235号）要求，新修订的《建设项目环境保护管理条例》取消了建设项目竣工环境保护验收行政许可，改为建设单位自主验收。</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一、编制环境影响报告书（表）的建设项目竣工后，建设单位或者其委托的技术机构应当依照国家有关法律法规、建设项目竣工环境保护验收技术规范、建设项目环境影响报告书（表）和审批决定等，如查实、监测、记载建设项目环境保护设施的建设和调试情况，同时还应如实记载其他环境保护对策措施</w:t>
      </w:r>
      <w:r>
        <w:rPr>
          <w:rFonts w:hint="default" w:ascii="Times New Roman" w:hAnsi="Times New Roman" w:cs="Times New Roman"/>
          <w:color w:val="auto"/>
          <w:lang w:eastAsia="zh-CN"/>
        </w:rPr>
        <w:t>“</w:t>
      </w:r>
      <w:r>
        <w:rPr>
          <w:rFonts w:hint="default" w:ascii="Times New Roman" w:hAnsi="Times New Roman" w:cs="Times New Roman"/>
          <w:color w:val="auto"/>
        </w:rPr>
        <w:t>三同时</w:t>
      </w:r>
      <w:r>
        <w:rPr>
          <w:rFonts w:hint="default" w:ascii="Times New Roman" w:hAnsi="Times New Roman" w:cs="Times New Roman"/>
          <w:color w:val="auto"/>
          <w:lang w:eastAsia="zh-CN"/>
        </w:rPr>
        <w:t>”</w:t>
      </w:r>
      <w:r>
        <w:rPr>
          <w:rFonts w:hint="default" w:ascii="Times New Roman" w:hAnsi="Times New Roman" w:cs="Times New Roman"/>
          <w:color w:val="auto"/>
        </w:rPr>
        <w:t>落实情况，编制竣工环境保护验收报告。</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二、验收报告编制完成后，建设单位应组织成立验收工作组。验收工作组由建设单位、设计单位、施工单位、环境影响报告书（表）编制机构、验收报告编制机构等单位代表和专业技术专家组成。验收工作组应当严格依照国家有关法律法规、建设项目竣工验收环境保护验收技术规范、建设项目环境影响报告书（表）和审批决定等要求对建设项目配套建设的环境保护设施进行施工验收，环境保护设施落实情况，环境保护设施调试效果和工程建设对环境的影响，验收存在的主要问题，验收结论和后续要求。</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建设单位应当对验收工作组提出的问题进行整改，合格后方可出具验收合格的意见。建设项目配套建设的环境保护设施经验收合格后，其主体工程才可以投入生产或者使用。</w:t>
      </w:r>
    </w:p>
    <w:p>
      <w:pPr>
        <w:pStyle w:val="4"/>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bookmarkStart w:id="816" w:name="_Toc5277"/>
      <w:bookmarkStart w:id="817" w:name="_Toc25344"/>
      <w:bookmarkStart w:id="818" w:name="_Toc504053668"/>
      <w:r>
        <w:rPr>
          <w:rFonts w:hint="default" w:ascii="Times New Roman" w:hAnsi="Times New Roman" w:cs="Times New Roman"/>
          <w:color w:val="auto"/>
        </w:rPr>
        <w:t>信息公开</w:t>
      </w:r>
      <w:bookmarkEnd w:id="816"/>
      <w:bookmarkEnd w:id="817"/>
      <w:bookmarkEnd w:id="818"/>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根据《建设项目环境影响评价信息公开机制方案》、《企事业单位环境信息公开办法》中的相关规定，本项目建设单位应当向社会公开以下信息：</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（1）基础信息，包括单位名称、组织机构代码、法定代表人、生产地址、联系方式、以及生产经营和管理服务的主要内容、产品及规模；</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（2）排污信息，包括主要污染物的名称、排放方式、排放口数量和分布情况、排放浓度和总量、超标情况，以及执行的污染物排放标准、核定的排放总量；</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（3）防治污染设施的建设和运行情况；</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（4）建设项目环境影响评价及其他环境保护行政许可情况；</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sectPr>
          <w:pgSz w:w="11905" w:h="16838"/>
          <w:pgMar w:top="1417" w:right="1417" w:bottom="1134" w:left="1701" w:header="850" w:footer="992" w:gutter="0"/>
          <w:pgBorders>
            <w:top w:val="none" w:sz="0" w:space="0"/>
            <w:left w:val="none" w:sz="0" w:space="0"/>
            <w:bottom w:val="none" w:sz="0" w:space="0"/>
            <w:right w:val="none" w:sz="0" w:space="0"/>
          </w:pgBorders>
          <w:pgNumType w:fmt="decimal"/>
          <w:cols w:space="0" w:num="1"/>
          <w:rtlGutter w:val="0"/>
          <w:docGrid w:linePitch="312" w:charSpace="0"/>
        </w:sectPr>
      </w:pPr>
      <w:r>
        <w:rPr>
          <w:rFonts w:hint="default" w:ascii="Times New Roman" w:hAnsi="Times New Roman" w:cs="Times New Roman"/>
          <w:color w:val="auto"/>
        </w:rPr>
        <w:t>（5）突发环境事件应急预案。</w:t>
      </w:r>
    </w:p>
    <w:bookmarkEnd w:id="779"/>
    <w:bookmarkEnd w:id="780"/>
    <w:bookmarkEnd w:id="781"/>
    <w:p>
      <w:pPr>
        <w:pStyle w:val="3"/>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color w:val="auto"/>
          <w:sz w:val="44"/>
          <w:szCs w:val="44"/>
        </w:rPr>
      </w:pPr>
      <w:bookmarkStart w:id="819" w:name="_Toc13703"/>
      <w:bookmarkStart w:id="820" w:name="_Toc31195"/>
      <w:bookmarkStart w:id="821" w:name="_Toc498963461"/>
      <w:bookmarkStart w:id="822" w:name="_Toc27201"/>
      <w:r>
        <w:rPr>
          <w:rFonts w:hint="default" w:ascii="Times New Roman" w:hAnsi="Times New Roman" w:cs="Times New Roman"/>
          <w:color w:val="auto"/>
          <w:sz w:val="44"/>
          <w:szCs w:val="44"/>
        </w:rPr>
        <w:t>环境影响评价结论</w:t>
      </w:r>
      <w:bookmarkEnd w:id="819"/>
      <w:bookmarkEnd w:id="820"/>
      <w:bookmarkEnd w:id="821"/>
      <w:bookmarkEnd w:id="822"/>
    </w:p>
    <w:p>
      <w:pPr>
        <w:pStyle w:val="4"/>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bookmarkStart w:id="823" w:name="_Toc14277"/>
      <w:bookmarkStart w:id="824" w:name="_Toc19769"/>
      <w:bookmarkStart w:id="825" w:name="_Toc498963462"/>
      <w:bookmarkStart w:id="826" w:name="_Toc15984"/>
      <w:r>
        <w:rPr>
          <w:rFonts w:hint="default" w:ascii="Times New Roman" w:hAnsi="Times New Roman" w:cs="Times New Roman"/>
          <w:color w:val="auto"/>
        </w:rPr>
        <w:t>建设项目的建设概况</w:t>
      </w:r>
      <w:bookmarkEnd w:id="823"/>
      <w:bookmarkEnd w:id="824"/>
      <w:bookmarkEnd w:id="825"/>
      <w:bookmarkEnd w:id="826"/>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（1）项目名称：500吨/年加氢催化剂生产项目</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（2）建设单位：</w:t>
      </w:r>
      <w:r>
        <w:rPr>
          <w:rFonts w:hint="default" w:ascii="Times New Roman" w:hAnsi="Times New Roman" w:cs="Times New Roman"/>
          <w:color w:val="auto"/>
          <w:lang w:eastAsia="zh-CN"/>
        </w:rPr>
        <w:t>岳阳市云溪区岳化大道</w:t>
      </w:r>
      <w:r>
        <w:rPr>
          <w:rFonts w:hint="default" w:ascii="Times New Roman" w:hAnsi="Times New Roman" w:cs="Times New Roman"/>
          <w:color w:val="auto"/>
          <w:lang w:val="en-US" w:eastAsia="zh-CN"/>
        </w:rPr>
        <w:t>392号</w:t>
      </w:r>
      <w:r>
        <w:rPr>
          <w:rFonts w:hint="default" w:ascii="Times New Roman" w:hAnsi="Times New Roman" w:cs="Times New Roman"/>
          <w:color w:val="auto"/>
        </w:rPr>
        <w:t>岳阳鑫达</w:t>
      </w:r>
      <w:r>
        <w:rPr>
          <w:rFonts w:hint="default" w:ascii="Times New Roman" w:hAnsi="Times New Roman" w:cs="Times New Roman"/>
          <w:color w:val="auto"/>
          <w:lang w:eastAsia="zh-CN"/>
        </w:rPr>
        <w:t>实业有限公司</w:t>
      </w:r>
      <w:r>
        <w:rPr>
          <w:rFonts w:hint="default" w:ascii="Times New Roman" w:hAnsi="Times New Roman" w:cs="Times New Roman"/>
          <w:color w:val="auto"/>
        </w:rPr>
        <w:t>现有厂区内，中心地理坐标为：北纬29.479582°，东经113.309183°（具体位置见附图1）</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（4）项目性质：</w:t>
      </w:r>
      <w:r>
        <w:rPr>
          <w:rFonts w:hint="default" w:ascii="Times New Roman" w:hAnsi="Times New Roman" w:cs="Times New Roman"/>
          <w:color w:val="auto"/>
          <w:lang w:val="en-US" w:eastAsia="zh-CN"/>
        </w:rPr>
        <w:t>新建</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（5）总投资：</w:t>
      </w:r>
      <w:r>
        <w:rPr>
          <w:rFonts w:hint="default" w:ascii="Times New Roman" w:hAnsi="Times New Roman" w:cs="Times New Roman"/>
          <w:color w:val="auto"/>
          <w:lang w:val="en-US" w:eastAsia="zh-CN"/>
        </w:rPr>
        <w:t>505</w:t>
      </w:r>
      <w:r>
        <w:rPr>
          <w:rFonts w:hint="default" w:ascii="Times New Roman" w:hAnsi="Times New Roman" w:cs="Times New Roman"/>
          <w:color w:val="auto"/>
        </w:rPr>
        <w:t>万元</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（6）建设内容：本项目利用厂区内现有生产车间、辅助生产区及办公生活区，不新增占地面积及建筑面积，项目由主体工程、辅助工程、公用工程、环保工程、储运工程等组成。本项目建成后，年产</w:t>
      </w:r>
      <w:r>
        <w:rPr>
          <w:rFonts w:hint="default" w:ascii="Times New Roman" w:hAnsi="Times New Roman" w:cs="Times New Roman"/>
          <w:color w:val="auto"/>
          <w:lang w:val="en-US" w:eastAsia="zh-CN"/>
        </w:rPr>
        <w:t>加氢</w:t>
      </w:r>
      <w:r>
        <w:rPr>
          <w:rFonts w:hint="default" w:ascii="Times New Roman" w:hAnsi="Times New Roman" w:cs="Times New Roman"/>
          <w:color w:val="auto"/>
        </w:rPr>
        <w:t>催化剂</w:t>
      </w:r>
      <w:r>
        <w:rPr>
          <w:rFonts w:hint="default" w:ascii="Times New Roman" w:hAnsi="Times New Roman" w:cs="Times New Roman"/>
          <w:color w:val="auto"/>
          <w:lang w:val="en-US" w:eastAsia="zh-CN"/>
        </w:rPr>
        <w:t>5</w:t>
      </w:r>
      <w:r>
        <w:rPr>
          <w:rFonts w:hint="default" w:ascii="Times New Roman" w:hAnsi="Times New Roman" w:cs="Times New Roman"/>
          <w:color w:val="auto"/>
        </w:rPr>
        <w:t>00吨。</w:t>
      </w:r>
    </w:p>
    <w:p>
      <w:pPr>
        <w:pStyle w:val="4"/>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bookmarkStart w:id="827" w:name="_Toc27079"/>
      <w:bookmarkStart w:id="828" w:name="_Toc498963463"/>
      <w:bookmarkStart w:id="829" w:name="_Toc24107"/>
      <w:bookmarkStart w:id="830" w:name="_Toc16812"/>
      <w:r>
        <w:rPr>
          <w:rFonts w:hint="default" w:ascii="Times New Roman" w:hAnsi="Times New Roman" w:cs="Times New Roman"/>
          <w:color w:val="auto"/>
        </w:rPr>
        <w:t>环境质量现状</w:t>
      </w:r>
      <w:bookmarkEnd w:id="827"/>
      <w:bookmarkEnd w:id="828"/>
      <w:bookmarkEnd w:id="829"/>
      <w:bookmarkEnd w:id="830"/>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831" w:name="_Toc12915"/>
      <w:r>
        <w:rPr>
          <w:rFonts w:hint="default" w:ascii="Times New Roman" w:hAnsi="Times New Roman" w:cs="Times New Roman"/>
          <w:color w:val="auto"/>
        </w:rPr>
        <w:t>地表水环境质量现状</w:t>
      </w:r>
      <w:bookmarkEnd w:id="831"/>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根据监测结果可知 ，长江城陵矶断面和陆城断面所有监测因子均满足《地表水环境质量标准》（GB3838-2002）中的Ⅲ类标准。松杨湖监测因子 能满足《地表水环 境质量标准》 （GB3838-2002）中的Ⅳ类标准要求。</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832" w:name="_Toc5771"/>
      <w:r>
        <w:rPr>
          <w:rFonts w:hint="default" w:ascii="Times New Roman" w:hAnsi="Times New Roman" w:cs="Times New Roman"/>
          <w:color w:val="auto"/>
        </w:rPr>
        <w:t>地下水环境质量现状</w:t>
      </w:r>
      <w:bookmarkEnd w:id="832"/>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本项目可能影响的地下水评价范围内的各监测点各监测因子均达到《地下水质量标准》（GB/T14848-2017）中的Ⅲ类标准。</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833" w:name="_Toc24921"/>
      <w:r>
        <w:rPr>
          <w:rFonts w:hint="default" w:ascii="Times New Roman" w:hAnsi="Times New Roman" w:cs="Times New Roman"/>
          <w:color w:val="auto"/>
        </w:rPr>
        <w:t>环境空气质量现状</w:t>
      </w:r>
      <w:bookmarkEnd w:id="833"/>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eastAsia="宋体" w:cs="Times New Roman"/>
          <w:color w:val="auto"/>
          <w:kern w:val="2"/>
          <w:sz w:val="24"/>
          <w:szCs w:val="24"/>
          <w:lang w:val="en-US" w:eastAsia="zh-CN" w:bidi="ar-SA"/>
        </w:rPr>
        <w:t>根据2019年岳阳市环境空气监测数据，对比《环境空气质量标准》（GB3095-2012）中的二级标准，PM</w:t>
      </w:r>
      <w:r>
        <w:rPr>
          <w:rFonts w:hint="default" w:ascii="Times New Roman" w:hAnsi="Times New Roman" w:eastAsia="宋体" w:cs="Times New Roman"/>
          <w:color w:val="auto"/>
          <w:kern w:val="2"/>
          <w:sz w:val="24"/>
          <w:szCs w:val="24"/>
          <w:vertAlign w:val="subscript"/>
          <w:lang w:val="en-US" w:eastAsia="zh-CN" w:bidi="ar-SA"/>
        </w:rPr>
        <w:t>2.5</w:t>
      </w:r>
      <w:r>
        <w:rPr>
          <w:rFonts w:hint="default" w:ascii="Times New Roman" w:hAnsi="Times New Roman" w:eastAsia="宋体" w:cs="Times New Roman"/>
          <w:color w:val="auto"/>
          <w:kern w:val="2"/>
          <w:sz w:val="24"/>
          <w:szCs w:val="24"/>
          <w:lang w:val="en-US" w:eastAsia="zh-CN" w:bidi="ar-SA"/>
        </w:rPr>
        <w:t>出现超标，项目所在区域为环境空气质量不达标区。岳阳市近期采取产业和能源结构调整措施、大气污染治理的措施等一系列措施，环境空气质量正在逐步改善。</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834" w:name="_Toc18267"/>
      <w:r>
        <w:rPr>
          <w:rFonts w:hint="default" w:ascii="Times New Roman" w:hAnsi="Times New Roman" w:cs="Times New Roman"/>
          <w:color w:val="auto"/>
        </w:rPr>
        <w:t>声环境质量现状</w:t>
      </w:r>
      <w:bookmarkEnd w:id="834"/>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本项目四周厂界的噪声值均可达到《声环境质量标准》（GB3096-2008）中的3类标准要求。</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835" w:name="_Toc32516"/>
      <w:r>
        <w:rPr>
          <w:rFonts w:hint="default" w:ascii="Times New Roman" w:hAnsi="Times New Roman" w:cs="Times New Roman"/>
          <w:color w:val="auto"/>
          <w:lang w:val="en-US" w:eastAsia="zh-CN"/>
        </w:rPr>
        <w:t>土壤环境</w:t>
      </w:r>
      <w:r>
        <w:rPr>
          <w:rFonts w:hint="default" w:ascii="Times New Roman" w:hAnsi="Times New Roman" w:cs="Times New Roman"/>
          <w:color w:val="auto"/>
        </w:rPr>
        <w:t>质量现状</w:t>
      </w:r>
      <w:bookmarkEnd w:id="835"/>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根据现状监测结果，</w:t>
      </w:r>
      <w:r>
        <w:rPr>
          <w:rFonts w:hint="default" w:ascii="Times New Roman" w:hAnsi="Times New Roman" w:cs="Times New Roman"/>
          <w:color w:val="auto"/>
        </w:rPr>
        <w:t>本项目厂区内及周边建设用地土壤环境质量均满足《土壤环境质量标准 建设用地土壤污染风险管控标准》（试行）（GB36600-2018）中表 1 建设用地土壤污染风险筛选值浓度要求限值。</w:t>
      </w:r>
    </w:p>
    <w:p>
      <w:pPr>
        <w:pStyle w:val="4"/>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bookmarkStart w:id="836" w:name="_Toc9257"/>
      <w:bookmarkStart w:id="837" w:name="_Toc15729"/>
      <w:bookmarkStart w:id="838" w:name="_Toc498963464"/>
      <w:bookmarkStart w:id="839" w:name="_Toc23497"/>
      <w:r>
        <w:rPr>
          <w:rFonts w:hint="default" w:ascii="Times New Roman" w:hAnsi="Times New Roman" w:cs="Times New Roman"/>
          <w:color w:val="auto"/>
        </w:rPr>
        <w:t>污染物排放情况</w:t>
      </w:r>
      <w:bookmarkEnd w:id="836"/>
      <w:bookmarkEnd w:id="837"/>
      <w:bookmarkEnd w:id="838"/>
      <w:bookmarkEnd w:id="839"/>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840" w:name="_Toc29902"/>
      <w:r>
        <w:rPr>
          <w:rFonts w:hint="default" w:ascii="Times New Roman" w:hAnsi="Times New Roman" w:cs="Times New Roman"/>
          <w:color w:val="auto"/>
        </w:rPr>
        <w:t>废气</w:t>
      </w:r>
      <w:bookmarkEnd w:id="840"/>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lang w:eastAsia="zh-CN"/>
        </w:rPr>
      </w:pPr>
      <w:r>
        <w:rPr>
          <w:rFonts w:hint="default" w:ascii="Times New Roman" w:hAnsi="Times New Roman" w:cs="Times New Roman"/>
          <w:color w:val="auto"/>
        </w:rPr>
        <w:t>本项目生产过程中各生产设备全部密封，产生的废气经由密闭管道通入巴陵石化放空总管，输送至巴陵石化火炬台进行燃烧处理。厂区内部不涉及废气处理</w:t>
      </w:r>
      <w:r>
        <w:rPr>
          <w:rFonts w:hint="default" w:ascii="Times New Roman" w:hAnsi="Times New Roman" w:cs="Times New Roman"/>
          <w:color w:val="auto"/>
          <w:lang w:eastAsia="zh-CN"/>
        </w:rPr>
        <w:t>，项目管道处于密封没有无组织废气产生。</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841" w:name="_Toc5456"/>
      <w:r>
        <w:rPr>
          <w:rFonts w:hint="default" w:ascii="Times New Roman" w:hAnsi="Times New Roman" w:cs="Times New Roman"/>
          <w:color w:val="auto"/>
        </w:rPr>
        <w:t>废水</w:t>
      </w:r>
      <w:bookmarkEnd w:id="841"/>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本项目运营期废水主要为工艺废水、设备清洗废水、地面清洗废水、生活污水及初期雨水；工艺废水主要为</w:t>
      </w:r>
      <w:r>
        <w:rPr>
          <w:rFonts w:hint="default" w:ascii="Times New Roman" w:hAnsi="Times New Roman" w:cs="Times New Roman"/>
          <w:color w:val="auto"/>
          <w:lang w:val="en-US" w:eastAsia="zh-CN"/>
        </w:rPr>
        <w:t>加氢</w:t>
      </w:r>
      <w:r>
        <w:rPr>
          <w:rFonts w:hint="default" w:ascii="Times New Roman" w:hAnsi="Times New Roman" w:cs="Times New Roman"/>
          <w:color w:val="auto"/>
        </w:rPr>
        <w:t>催化剂生产过程中洗</w:t>
      </w:r>
      <w:r>
        <w:rPr>
          <w:rFonts w:hint="default" w:ascii="Times New Roman" w:hAnsi="Times New Roman" w:cs="Times New Roman"/>
          <w:color w:val="auto"/>
          <w:lang w:val="en-US" w:eastAsia="zh-CN"/>
        </w:rPr>
        <w:t>盐</w:t>
      </w:r>
      <w:r>
        <w:rPr>
          <w:rFonts w:hint="default" w:ascii="Times New Roman" w:hAnsi="Times New Roman" w:cs="Times New Roman"/>
          <w:color w:val="auto"/>
        </w:rPr>
        <w:t>液。生活污水经化粪池处理</w:t>
      </w:r>
      <w:r>
        <w:rPr>
          <w:rFonts w:hint="default" w:ascii="Times New Roman" w:hAnsi="Times New Roman" w:cs="Times New Roman"/>
          <w:color w:val="auto"/>
          <w:lang w:eastAsia="zh-CN"/>
        </w:rPr>
        <w:t>，</w:t>
      </w:r>
      <w:r>
        <w:rPr>
          <w:rFonts w:hint="default" w:ascii="Times New Roman" w:hAnsi="Times New Roman" w:cs="Times New Roman"/>
          <w:color w:val="auto"/>
        </w:rPr>
        <w:t>初期雨水经</w:t>
      </w:r>
      <w:r>
        <w:rPr>
          <w:rFonts w:hint="default" w:ascii="Times New Roman" w:hAnsi="Times New Roman" w:cs="Times New Roman"/>
          <w:color w:val="auto"/>
          <w:lang w:eastAsia="zh-CN"/>
        </w:rPr>
        <w:t>切换阀门进入暗沟，</w:t>
      </w:r>
      <w:r>
        <w:rPr>
          <w:rFonts w:hint="default" w:ascii="Times New Roman" w:hAnsi="Times New Roman" w:cs="Times New Roman"/>
          <w:color w:val="auto"/>
        </w:rPr>
        <w:t>工艺废水</w:t>
      </w:r>
      <w:r>
        <w:rPr>
          <w:rFonts w:hint="default" w:ascii="Times New Roman" w:hAnsi="Times New Roman" w:cs="Times New Roman"/>
          <w:color w:val="auto"/>
          <w:lang w:eastAsia="zh-CN"/>
        </w:rPr>
        <w:t>、</w:t>
      </w:r>
      <w:r>
        <w:rPr>
          <w:rFonts w:hint="default" w:ascii="Times New Roman" w:hAnsi="Times New Roman" w:cs="Times New Roman"/>
          <w:color w:val="auto"/>
        </w:rPr>
        <w:t>设备清洗废水、地面清洗废水经</w:t>
      </w:r>
      <w:r>
        <w:rPr>
          <w:rFonts w:hint="default" w:ascii="Times New Roman" w:hAnsi="Times New Roman" w:cs="Times New Roman"/>
          <w:color w:val="auto"/>
          <w:lang w:val="en-US" w:eastAsia="zh-CN"/>
        </w:rPr>
        <w:t>氢氧化物</w:t>
      </w:r>
      <w:r>
        <w:rPr>
          <w:rFonts w:hint="default" w:ascii="Times New Roman" w:hAnsi="Times New Roman" w:cs="Times New Roman"/>
          <w:color w:val="auto"/>
        </w:rPr>
        <w:t>沉淀预处理后</w:t>
      </w:r>
      <w:r>
        <w:rPr>
          <w:rFonts w:hint="default" w:ascii="Times New Roman" w:hAnsi="Times New Roman" w:cs="Times New Roman"/>
          <w:color w:val="auto"/>
          <w:lang w:val="en-US" w:eastAsia="zh-CN"/>
        </w:rPr>
        <w:t>均</w:t>
      </w:r>
      <w:r>
        <w:rPr>
          <w:rFonts w:hint="default" w:ascii="Times New Roman" w:hAnsi="Times New Roman" w:cs="Times New Roman"/>
          <w:color w:val="auto"/>
        </w:rPr>
        <w:t>通过工业园污水管网排入</w:t>
      </w:r>
      <w:r>
        <w:rPr>
          <w:rFonts w:hint="default" w:ascii="Times New Roman" w:hAnsi="Times New Roman" w:cs="Times New Roman"/>
          <w:color w:val="auto"/>
          <w:lang w:val="en-US" w:eastAsia="zh-CN"/>
        </w:rPr>
        <w:t>巴陵石化</w:t>
      </w:r>
      <w:r>
        <w:rPr>
          <w:rFonts w:hint="default" w:ascii="Times New Roman" w:hAnsi="Times New Roman" w:cs="Times New Roman"/>
          <w:color w:val="auto"/>
        </w:rPr>
        <w:t>水处理厂进行处理达标后排入长江。</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842" w:name="_Toc17510"/>
      <w:r>
        <w:rPr>
          <w:rFonts w:hint="default" w:ascii="Times New Roman" w:hAnsi="Times New Roman" w:cs="Times New Roman"/>
          <w:color w:val="auto"/>
        </w:rPr>
        <w:t>噪声</w:t>
      </w:r>
      <w:bookmarkEnd w:id="842"/>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本项目产生的噪声主要来自生产装置区各设备的搅拌机、泵、</w:t>
      </w:r>
      <w:r>
        <w:rPr>
          <w:rFonts w:hint="default" w:ascii="Times New Roman" w:hAnsi="Times New Roman" w:cs="Times New Roman"/>
          <w:color w:val="auto"/>
          <w:lang w:val="en-US" w:eastAsia="zh-CN"/>
        </w:rPr>
        <w:t>冷凝器</w:t>
      </w:r>
      <w:r>
        <w:rPr>
          <w:rFonts w:hint="default" w:ascii="Times New Roman" w:hAnsi="Times New Roman" w:cs="Times New Roman"/>
          <w:color w:val="auto"/>
        </w:rPr>
        <w:t>产生的噪声，其源强在70-90dB(A)之间。在采取必要的基础减振、消声、厂房隔声等降噪措施后，本项目各厂界噪声贡献值与受到现有工程影响的边界噪声值叠加后的预测值均满足《工业企业厂界环境噪声排放标准》(GB12348-2008)中的3类标准要求。</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843" w:name="_Toc28031"/>
      <w:r>
        <w:rPr>
          <w:rFonts w:hint="default" w:ascii="Times New Roman" w:hAnsi="Times New Roman" w:cs="Times New Roman"/>
          <w:color w:val="auto"/>
        </w:rPr>
        <w:t>固废</w:t>
      </w:r>
      <w:bookmarkEnd w:id="843"/>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运营期产生的固体废弃物主要为生活垃圾、一般工业固体废物和危险废物。生活垃圾交由环卫部门统一清运处理；一般工业固体废物为未沾染原材料的废弃外包装物，集中收集后外售给废品回收站综合利用；危险废物包括沾染原材料的空桶等，危险废物存放在危废暂存间，</w:t>
      </w:r>
      <w:r>
        <w:rPr>
          <w:rFonts w:hint="default" w:ascii="Times New Roman" w:hAnsi="Times New Roman" w:cs="Times New Roman"/>
          <w:color w:val="auto"/>
          <w:lang w:eastAsia="zh-CN"/>
        </w:rPr>
        <w:t>定期</w:t>
      </w:r>
      <w:r>
        <w:rPr>
          <w:rFonts w:hint="default" w:ascii="Times New Roman" w:hAnsi="Times New Roman" w:cs="Times New Roman"/>
          <w:color w:val="auto"/>
        </w:rPr>
        <w:t>交</w:t>
      </w:r>
      <w:r>
        <w:rPr>
          <w:rFonts w:hint="default" w:ascii="Times New Roman" w:hAnsi="Times New Roman" w:cs="Times New Roman"/>
          <w:color w:val="auto"/>
          <w:lang w:eastAsia="zh-CN"/>
        </w:rPr>
        <w:t>岳阳市凌峰化工有限公司</w:t>
      </w:r>
      <w:r>
        <w:rPr>
          <w:rFonts w:hint="default" w:ascii="Times New Roman" w:hAnsi="Times New Roman" w:cs="Times New Roman"/>
          <w:color w:val="auto"/>
        </w:rPr>
        <w:t>处置。</w:t>
      </w:r>
    </w:p>
    <w:p>
      <w:pPr>
        <w:pStyle w:val="4"/>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bookmarkStart w:id="844" w:name="_Toc22165"/>
      <w:bookmarkStart w:id="845" w:name="_Toc27441"/>
      <w:bookmarkStart w:id="846" w:name="_Toc26607"/>
      <w:r>
        <w:rPr>
          <w:rFonts w:hint="default" w:ascii="Times New Roman" w:hAnsi="Times New Roman" w:cs="Times New Roman"/>
          <w:color w:val="auto"/>
        </w:rPr>
        <w:t>主要环境影响</w:t>
      </w:r>
      <w:bookmarkEnd w:id="844"/>
      <w:bookmarkEnd w:id="845"/>
      <w:bookmarkEnd w:id="846"/>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847" w:name="_Toc6119"/>
      <w:r>
        <w:rPr>
          <w:rFonts w:hint="default" w:ascii="Times New Roman" w:hAnsi="Times New Roman" w:cs="Times New Roman"/>
          <w:color w:val="auto"/>
        </w:rPr>
        <w:t>废气</w:t>
      </w:r>
      <w:bookmarkEnd w:id="847"/>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本项目生产过程中各生产设备全部密封，产生的废气经由密闭管道通入巴陵石化放空总管，输送至巴陵石化火炬台进行燃烧处理。厂区内部不涉及废气处理，</w:t>
      </w:r>
      <w:r>
        <w:rPr>
          <w:rFonts w:hint="default" w:ascii="Times New Roman" w:hAnsi="Times New Roman" w:cs="Times New Roman"/>
          <w:color w:val="auto"/>
          <w:lang w:eastAsia="zh-CN"/>
        </w:rPr>
        <w:t>项目管道处于密封没有无组织废气产生</w:t>
      </w:r>
      <w:r>
        <w:rPr>
          <w:rFonts w:hint="default" w:ascii="Times New Roman" w:hAnsi="Times New Roman" w:cs="Times New Roman"/>
          <w:color w:val="auto"/>
        </w:rPr>
        <w:t>，对</w:t>
      </w:r>
      <w:r>
        <w:rPr>
          <w:rFonts w:hint="default" w:ascii="Times New Roman" w:hAnsi="Times New Roman" w:cs="Times New Roman"/>
          <w:color w:val="auto"/>
          <w:lang w:val="en-US" w:eastAsia="zh-CN"/>
        </w:rPr>
        <w:t>厂区周边空气环境质量</w:t>
      </w:r>
      <w:r>
        <w:rPr>
          <w:rFonts w:hint="default" w:ascii="Times New Roman" w:hAnsi="Times New Roman" w:cs="Times New Roman"/>
          <w:color w:val="auto"/>
        </w:rPr>
        <w:t>影响</w:t>
      </w:r>
      <w:r>
        <w:rPr>
          <w:rFonts w:hint="default" w:ascii="Times New Roman" w:hAnsi="Times New Roman" w:cs="Times New Roman"/>
          <w:color w:val="auto"/>
          <w:lang w:val="en-US" w:eastAsia="zh-CN"/>
        </w:rPr>
        <w:t>不大</w:t>
      </w:r>
      <w:r>
        <w:rPr>
          <w:rFonts w:hint="default" w:ascii="Times New Roman" w:hAnsi="Times New Roman" w:cs="Times New Roman"/>
          <w:color w:val="auto"/>
        </w:rPr>
        <w:t>。</w:t>
      </w:r>
      <w:r>
        <w:rPr>
          <w:rFonts w:hint="default" w:ascii="Times New Roman" w:hAnsi="Times New Roman" w:cs="Times New Roman"/>
          <w:color w:val="auto"/>
          <w:lang w:eastAsia="zh-CN"/>
        </w:rPr>
        <w:t>本项目</w:t>
      </w:r>
      <w:r>
        <w:rPr>
          <w:rFonts w:hint="default" w:ascii="Times New Roman" w:hAnsi="Times New Roman" w:cs="Times New Roman"/>
          <w:color w:val="auto"/>
        </w:rPr>
        <w:t>配套气体收集系统，</w:t>
      </w:r>
      <w:r>
        <w:rPr>
          <w:rFonts w:hint="default" w:ascii="Times New Roman" w:hAnsi="Times New Roman" w:cs="Times New Roman"/>
          <w:color w:val="auto"/>
          <w:lang w:eastAsia="zh-CN"/>
        </w:rPr>
        <w:t>催化剂项目</w:t>
      </w:r>
      <w:r>
        <w:rPr>
          <w:rFonts w:hint="default" w:ascii="Times New Roman" w:hAnsi="Times New Roman" w:cs="Times New Roman"/>
          <w:color w:val="auto"/>
        </w:rPr>
        <w:t>废气</w:t>
      </w:r>
      <w:r>
        <w:rPr>
          <w:rFonts w:hint="default" w:ascii="Times New Roman" w:hAnsi="Times New Roman" w:cs="Times New Roman"/>
          <w:color w:val="auto"/>
          <w:lang w:eastAsia="zh-CN"/>
        </w:rPr>
        <w:t>接入鑫达一期项目原有废气排放的管道，新增</w:t>
      </w:r>
      <w:r>
        <w:rPr>
          <w:rFonts w:hint="default" w:ascii="Times New Roman" w:hAnsi="Times New Roman" w:cs="Times New Roman"/>
          <w:color w:val="auto"/>
          <w:lang w:val="en-US" w:eastAsia="zh-CN"/>
        </w:rPr>
        <w:t>3000m3/h风机系统，</w:t>
      </w:r>
      <w:r>
        <w:rPr>
          <w:rFonts w:hint="default" w:ascii="Times New Roman" w:hAnsi="Times New Roman" w:cs="Times New Roman"/>
          <w:color w:val="auto"/>
        </w:rPr>
        <w:t>进入巴陵石化放空总管，排至</w:t>
      </w:r>
      <w:r>
        <w:rPr>
          <w:rFonts w:hint="default" w:ascii="Times New Roman" w:hAnsi="Times New Roman" w:cs="Times New Roman"/>
          <w:color w:val="auto"/>
          <w:lang w:eastAsia="zh-CN"/>
        </w:rPr>
        <w:t>巴陵石化公司</w:t>
      </w:r>
      <w:r>
        <w:rPr>
          <w:rFonts w:hint="default" w:ascii="Times New Roman" w:hAnsi="Times New Roman" w:cs="Times New Roman"/>
          <w:color w:val="auto"/>
        </w:rPr>
        <w:t>火炬台进行燃烧处理</w:t>
      </w:r>
      <w:r>
        <w:rPr>
          <w:rFonts w:hint="default" w:ascii="Times New Roman" w:hAnsi="Times New Roman" w:cs="Times New Roman"/>
          <w:color w:val="auto"/>
          <w:lang w:eastAsia="zh-CN"/>
        </w:rPr>
        <w:t>。</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848" w:name="_Toc8483"/>
      <w:r>
        <w:rPr>
          <w:rFonts w:hint="default" w:ascii="Times New Roman" w:hAnsi="Times New Roman" w:cs="Times New Roman"/>
          <w:color w:val="auto"/>
        </w:rPr>
        <w:t>废水</w:t>
      </w:r>
      <w:bookmarkEnd w:id="848"/>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本项目废水</w:t>
      </w:r>
      <w:r>
        <w:rPr>
          <w:rFonts w:hint="default" w:ascii="Times New Roman" w:hAnsi="Times New Roman" w:cs="Times New Roman"/>
          <w:color w:val="auto"/>
          <w:lang w:val="en-US" w:eastAsia="zh-CN"/>
        </w:rPr>
        <w:t>产生量小，经预处理后，各类污染物</w:t>
      </w:r>
      <w:r>
        <w:rPr>
          <w:rFonts w:hint="default" w:ascii="Times New Roman" w:hAnsi="Times New Roman" w:cs="Times New Roman"/>
          <w:color w:val="auto"/>
        </w:rPr>
        <w:t>浓度均小于</w:t>
      </w:r>
      <w:r>
        <w:rPr>
          <w:rFonts w:hint="default" w:ascii="Times New Roman" w:hAnsi="Times New Roman" w:cs="Times New Roman"/>
          <w:color w:val="auto"/>
          <w:lang w:val="en-US" w:eastAsia="zh-CN"/>
        </w:rPr>
        <w:t>巴陵石化</w:t>
      </w:r>
      <w:r>
        <w:rPr>
          <w:rFonts w:hint="default" w:ascii="Times New Roman" w:hAnsi="Times New Roman" w:cs="Times New Roman"/>
          <w:color w:val="auto"/>
        </w:rPr>
        <w:t>污水处理厂的设计进水标准，不会对其污水处理系统造成冲击。目前</w:t>
      </w:r>
      <w:r>
        <w:rPr>
          <w:rFonts w:hint="default" w:ascii="Times New Roman" w:hAnsi="Times New Roman" w:cs="Times New Roman"/>
          <w:color w:val="auto"/>
          <w:lang w:val="en-US" w:eastAsia="zh-CN"/>
        </w:rPr>
        <w:t>巴陵石化</w:t>
      </w:r>
      <w:r>
        <w:rPr>
          <w:rFonts w:hint="default" w:ascii="Times New Roman" w:hAnsi="Times New Roman" w:cs="Times New Roman"/>
          <w:color w:val="auto"/>
        </w:rPr>
        <w:t>污水处理系统的剩余处理能力均为1</w:t>
      </w:r>
      <w:r>
        <w:rPr>
          <w:rFonts w:hint="default" w:ascii="Times New Roman" w:hAnsi="Times New Roman" w:cs="Times New Roman"/>
          <w:color w:val="auto"/>
          <w:lang w:val="en-US" w:eastAsia="zh-CN"/>
        </w:rPr>
        <w:t>8</w:t>
      </w:r>
      <w:r>
        <w:rPr>
          <w:rFonts w:hint="default" w:ascii="Times New Roman" w:hAnsi="Times New Roman" w:cs="Times New Roman"/>
          <w:color w:val="auto"/>
        </w:rPr>
        <w:t>0m</w:t>
      </w:r>
      <w:r>
        <w:rPr>
          <w:rFonts w:hint="default" w:ascii="Times New Roman" w:hAnsi="Times New Roman" w:cs="Times New Roman"/>
          <w:color w:val="auto"/>
          <w:vertAlign w:val="superscript"/>
        </w:rPr>
        <w:t>3</w:t>
      </w:r>
      <w:r>
        <w:rPr>
          <w:rFonts w:hint="default" w:ascii="Times New Roman" w:hAnsi="Times New Roman" w:cs="Times New Roman"/>
          <w:color w:val="auto"/>
        </w:rPr>
        <w:t>/h，可满足本项目</w:t>
      </w:r>
      <w:r>
        <w:rPr>
          <w:rFonts w:hint="default" w:ascii="Times New Roman" w:hAnsi="Times New Roman" w:cs="Times New Roman"/>
          <w:color w:val="auto"/>
          <w:lang w:val="en-US" w:eastAsia="zh-CN"/>
        </w:rPr>
        <w:t>1538.1</w:t>
      </w:r>
      <w:r>
        <w:rPr>
          <w:rFonts w:hint="default" w:ascii="Times New Roman" w:hAnsi="Times New Roman" w:cs="Times New Roman"/>
          <w:color w:val="auto"/>
        </w:rPr>
        <w:t>t/a（折合成连续排放0.</w:t>
      </w:r>
      <w:r>
        <w:rPr>
          <w:rFonts w:hint="default" w:ascii="Times New Roman" w:hAnsi="Times New Roman" w:cs="Times New Roman"/>
          <w:color w:val="auto"/>
          <w:lang w:val="en-US" w:eastAsia="zh-CN"/>
        </w:rPr>
        <w:t>214</w:t>
      </w:r>
      <w:r>
        <w:rPr>
          <w:rFonts w:hint="default" w:ascii="Times New Roman" w:hAnsi="Times New Roman" w:cs="Times New Roman"/>
          <w:color w:val="auto"/>
        </w:rPr>
        <w:t>t/h）污水的处理量要求。</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本项目废水依次经</w:t>
      </w:r>
      <w:r>
        <w:rPr>
          <w:rFonts w:hint="default" w:ascii="Times New Roman" w:hAnsi="Times New Roman" w:cs="Times New Roman"/>
          <w:color w:val="auto"/>
          <w:lang w:val="en-US" w:eastAsia="zh-CN"/>
        </w:rPr>
        <w:t>巴陵石化污水</w:t>
      </w:r>
      <w:r>
        <w:rPr>
          <w:rFonts w:hint="default" w:ascii="Times New Roman" w:hAnsi="Times New Roman" w:cs="Times New Roman"/>
          <w:color w:val="auto"/>
        </w:rPr>
        <w:t>处理厂处理后废水排放浓度可达到《石油化学工业污染物排放标准》（GB31571-2015）中的直接排放标准，在目前长江段水质变化不大的情况下，项目废水总排放量和污染物的排放量增加不多且在允许的范围内，对地表水的影响可维持在现有水平。</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849" w:name="_Toc5380"/>
      <w:r>
        <w:rPr>
          <w:rFonts w:hint="default" w:ascii="Times New Roman" w:hAnsi="Times New Roman" w:cs="Times New Roman"/>
          <w:color w:val="auto"/>
        </w:rPr>
        <w:t>噪声</w:t>
      </w:r>
      <w:bookmarkEnd w:id="849"/>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在采取减振、消声、隔声等降噪措施后，本项目各厂界噪声贡献值与受到现有工程影响的边界噪声值叠加后的预测值均满足《工业企业厂界环境噪声排放标准》(GB12348-2008)中的3类标准要求。</w:t>
      </w:r>
    </w:p>
    <w:p>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cs="Times New Roman"/>
          <w:color w:val="auto"/>
        </w:rPr>
      </w:pPr>
      <w:bookmarkStart w:id="850" w:name="_Toc25878"/>
      <w:r>
        <w:rPr>
          <w:rFonts w:hint="default" w:ascii="Times New Roman" w:hAnsi="Times New Roman" w:cs="Times New Roman"/>
          <w:color w:val="auto"/>
        </w:rPr>
        <w:t>固废</w:t>
      </w:r>
      <w:bookmarkEnd w:id="850"/>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运营期产生的固体废弃物主要为生活垃圾、一般工业固体废物和危险废物。交由环卫部门统一清运处理；未沾染原材料的废弃外包装物集中收集后外售给废品回收站综合利用；沾染原材料的空桶等危险废物存放在危废暂存间，定期交由</w:t>
      </w:r>
      <w:r>
        <w:rPr>
          <w:rFonts w:hint="default" w:ascii="Times New Roman" w:hAnsi="Times New Roman" w:cs="Times New Roman"/>
          <w:color w:val="auto"/>
          <w:lang w:eastAsia="zh-CN"/>
        </w:rPr>
        <w:t>岳阳市凌峰化工有限公司</w:t>
      </w:r>
      <w:r>
        <w:rPr>
          <w:rFonts w:hint="default" w:ascii="Times New Roman" w:hAnsi="Times New Roman" w:cs="Times New Roman"/>
          <w:color w:val="auto"/>
        </w:rPr>
        <w:t>处置。</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未沾染原材料的废弃外包装物等一般固废暂存于一般工业固体废物暂存间。</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危险废物暂存间位于综合库西部，各危险废物按处理要求分类分开存放，并设隔离间隔断，禁止将不相容的危险废物在同一容器内混装，同时做好</w:t>
      </w:r>
      <w:r>
        <w:rPr>
          <w:rFonts w:hint="default" w:ascii="Times New Roman" w:hAnsi="Times New Roman" w:cs="Times New Roman"/>
          <w:color w:val="auto"/>
          <w:lang w:eastAsia="zh-CN"/>
        </w:rPr>
        <w:t>“</w:t>
      </w:r>
      <w:r>
        <w:rPr>
          <w:rFonts w:hint="default" w:ascii="Times New Roman" w:hAnsi="Times New Roman" w:cs="Times New Roman"/>
          <w:color w:val="auto"/>
        </w:rPr>
        <w:t>防风、防雨、防晒</w:t>
      </w:r>
      <w:r>
        <w:rPr>
          <w:rFonts w:hint="default" w:ascii="Times New Roman" w:hAnsi="Times New Roman" w:cs="Times New Roman"/>
          <w:color w:val="auto"/>
          <w:lang w:eastAsia="zh-CN"/>
        </w:rPr>
        <w:t>”</w:t>
      </w:r>
      <w:r>
        <w:rPr>
          <w:rFonts w:hint="default" w:ascii="Times New Roman" w:hAnsi="Times New Roman" w:cs="Times New Roman"/>
          <w:color w:val="auto"/>
        </w:rPr>
        <w:t>，上述危险废物在危废暂存间暂存，</w:t>
      </w:r>
      <w:r>
        <w:rPr>
          <w:rFonts w:hint="default" w:ascii="Times New Roman" w:hAnsi="Times New Roman" w:cs="Times New Roman"/>
          <w:color w:val="auto"/>
          <w:lang w:eastAsia="zh-CN"/>
        </w:rPr>
        <w:t>定期</w:t>
      </w:r>
      <w:r>
        <w:rPr>
          <w:rFonts w:hint="default" w:ascii="Times New Roman" w:hAnsi="Times New Roman" w:cs="Times New Roman"/>
          <w:color w:val="auto"/>
        </w:rPr>
        <w:t>交</w:t>
      </w:r>
      <w:r>
        <w:rPr>
          <w:rFonts w:hint="default" w:ascii="Times New Roman" w:hAnsi="Times New Roman" w:cs="Times New Roman"/>
          <w:color w:val="auto"/>
          <w:lang w:eastAsia="zh-CN"/>
        </w:rPr>
        <w:t>岳阳市凌峰化工有限公司</w:t>
      </w:r>
      <w:r>
        <w:rPr>
          <w:rFonts w:hint="default" w:ascii="Times New Roman" w:hAnsi="Times New Roman" w:cs="Times New Roman"/>
          <w:color w:val="auto"/>
        </w:rPr>
        <w:t xml:space="preserve">处置。 </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本评价要求危险废物在打包过程中应严格密封，同时应使用坚固的包装材料进行包装，防止在汽车运输过程中外溢洒出，通过采取以上措施后，不会对周边环境造成显著负面影响。</w:t>
      </w:r>
    </w:p>
    <w:p>
      <w:pPr>
        <w:pStyle w:val="4"/>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bookmarkStart w:id="851" w:name="_Toc8818"/>
      <w:bookmarkStart w:id="852" w:name="_Toc498963467"/>
      <w:bookmarkStart w:id="853" w:name="_Toc8751"/>
      <w:bookmarkStart w:id="854" w:name="_Toc28745"/>
      <w:r>
        <w:rPr>
          <w:rFonts w:hint="default" w:ascii="Times New Roman" w:hAnsi="Times New Roman" w:cs="Times New Roman"/>
          <w:color w:val="auto"/>
        </w:rPr>
        <w:t>选址可行性</w:t>
      </w:r>
      <w:bookmarkEnd w:id="851"/>
      <w:bookmarkEnd w:id="852"/>
      <w:bookmarkEnd w:id="853"/>
      <w:bookmarkEnd w:id="854"/>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bookmarkStart w:id="855" w:name="_Toc495080106"/>
      <w:r>
        <w:rPr>
          <w:rFonts w:hint="default" w:ascii="Times New Roman" w:hAnsi="Times New Roman" w:cs="Times New Roman"/>
          <w:color w:val="auto"/>
        </w:rPr>
        <w:t>本项目符合国家产业政策，符合湖南岳阳绿色化工产业园的用地规划要求及产业定位。本项目生产过程中，通过采取本环评中提出的各项污染防治措施后，废水、废气、噪声均可实现达标排放，固废可以得到妥善处置，经预测，对周围环境的影响较小。本项目与周边环境功能区及企业相协调，无明显环境制约因素。本项目选址可行。</w:t>
      </w:r>
    </w:p>
    <w:bookmarkEnd w:id="855"/>
    <w:p>
      <w:pPr>
        <w:pStyle w:val="4"/>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cs="Times New Roman"/>
          <w:color w:val="auto"/>
        </w:rPr>
      </w:pPr>
      <w:bookmarkStart w:id="856" w:name="_Toc3991"/>
      <w:bookmarkStart w:id="857" w:name="_Toc23306"/>
      <w:bookmarkStart w:id="858" w:name="_Toc20043"/>
      <w:bookmarkStart w:id="859" w:name="_Toc498963468"/>
      <w:r>
        <w:rPr>
          <w:rFonts w:hint="default" w:ascii="Times New Roman" w:hAnsi="Times New Roman" w:cs="Times New Roman"/>
          <w:color w:val="auto"/>
        </w:rPr>
        <w:t>结论</w:t>
      </w:r>
      <w:bookmarkEnd w:id="856"/>
      <w:bookmarkEnd w:id="857"/>
      <w:bookmarkEnd w:id="858"/>
      <w:bookmarkEnd w:id="859"/>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项目符合国家产业政策要求，符合相关规划、环保政策，与周边环境相协调，无明显环境制约因素，平面布局合理。项目在建设和运营过程中产生废水、废气、噪声和固体废物，在采取本环评中所提出的有关污染防治措施、全面落实</w:t>
      </w:r>
      <w:r>
        <w:rPr>
          <w:rFonts w:hint="default" w:ascii="Times New Roman" w:hAnsi="Times New Roman" w:cs="Times New Roman"/>
          <w:color w:val="auto"/>
          <w:lang w:eastAsia="zh-CN"/>
        </w:rPr>
        <w:t>“</w:t>
      </w:r>
      <w:r>
        <w:rPr>
          <w:rFonts w:hint="default" w:ascii="Times New Roman" w:hAnsi="Times New Roman" w:cs="Times New Roman"/>
          <w:color w:val="auto"/>
        </w:rPr>
        <w:t>三同时</w:t>
      </w:r>
      <w:r>
        <w:rPr>
          <w:rFonts w:hint="default" w:ascii="Times New Roman" w:hAnsi="Times New Roman" w:cs="Times New Roman"/>
          <w:color w:val="auto"/>
          <w:lang w:eastAsia="zh-CN"/>
        </w:rPr>
        <w:t>”</w:t>
      </w:r>
      <w:r>
        <w:rPr>
          <w:rFonts w:hint="default" w:ascii="Times New Roman" w:hAnsi="Times New Roman" w:cs="Times New Roman"/>
          <w:color w:val="auto"/>
        </w:rPr>
        <w:t>制度、加强施工期环境监理和运营期环境管理、定期监测、确保污染防治设施稳定达标运行的前提下，本项目对周围环境不会产生明显影响，环境风险可控，从环境保护角度考虑，本项目建设是可行的。</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color w:val="auto"/>
        </w:rPr>
      </w:pPr>
    </w:p>
    <w:p>
      <w:pPr>
        <w:jc w:val="center"/>
        <w:rPr>
          <w:rFonts w:hint="default" w:ascii="Times New Roman" w:hAnsi="Times New Roman" w:cs="Times New Roman"/>
          <w:b/>
          <w:color w:val="auto"/>
        </w:rPr>
      </w:pPr>
    </w:p>
    <w:p>
      <w:pPr>
        <w:jc w:val="center"/>
        <w:rPr>
          <w:rFonts w:hint="default" w:ascii="Times New Roman" w:hAnsi="Times New Roman" w:cs="Times New Roman"/>
          <w:b/>
          <w:color w:val="auto"/>
        </w:rPr>
      </w:pPr>
    </w:p>
    <w:p>
      <w:pPr>
        <w:jc w:val="center"/>
        <w:rPr>
          <w:rFonts w:hint="default" w:ascii="Times New Roman" w:hAnsi="Times New Roman" w:cs="Times New Roman"/>
          <w:b/>
          <w:color w:val="auto"/>
        </w:rPr>
      </w:pPr>
    </w:p>
    <w:p>
      <w:pPr>
        <w:jc w:val="center"/>
        <w:rPr>
          <w:rFonts w:hint="default" w:ascii="Times New Roman" w:hAnsi="Times New Roman" w:cs="Times New Roman"/>
          <w:b/>
          <w:color w:val="auto"/>
        </w:rPr>
      </w:pPr>
    </w:p>
    <w:p>
      <w:pPr>
        <w:jc w:val="center"/>
        <w:rPr>
          <w:rFonts w:hint="default" w:ascii="Times New Roman" w:hAnsi="Times New Roman" w:cs="Times New Roman"/>
          <w:b/>
          <w:color w:val="auto"/>
        </w:rPr>
      </w:pPr>
    </w:p>
    <w:p>
      <w:pPr>
        <w:jc w:val="center"/>
        <w:rPr>
          <w:rFonts w:hint="default" w:ascii="Times New Roman" w:hAnsi="Times New Roman" w:cs="Times New Roman"/>
          <w:b/>
          <w:color w:val="auto"/>
        </w:rPr>
      </w:pPr>
    </w:p>
    <w:p>
      <w:pPr>
        <w:jc w:val="center"/>
        <w:rPr>
          <w:rFonts w:hint="default" w:ascii="Times New Roman" w:hAnsi="Times New Roman" w:cs="Times New Roman"/>
          <w:b/>
          <w:color w:val="auto"/>
        </w:rPr>
      </w:pPr>
    </w:p>
    <w:p>
      <w:pPr>
        <w:jc w:val="center"/>
        <w:rPr>
          <w:rFonts w:hint="default" w:ascii="Times New Roman" w:hAnsi="Times New Roman" w:cs="Times New Roman"/>
          <w:b/>
          <w:color w:val="auto"/>
        </w:rPr>
      </w:pPr>
    </w:p>
    <w:p>
      <w:pPr>
        <w:jc w:val="center"/>
        <w:rPr>
          <w:rFonts w:hint="default" w:ascii="Times New Roman" w:hAnsi="Times New Roman" w:cs="Times New Roman"/>
          <w:b/>
          <w:color w:val="auto"/>
        </w:rPr>
      </w:pPr>
    </w:p>
    <w:p>
      <w:pPr>
        <w:jc w:val="center"/>
        <w:rPr>
          <w:rFonts w:hint="default" w:ascii="Times New Roman" w:hAnsi="Times New Roman" w:cs="Times New Roman"/>
          <w:b/>
          <w:color w:val="auto"/>
        </w:rPr>
      </w:pPr>
    </w:p>
    <w:p>
      <w:pPr>
        <w:jc w:val="center"/>
        <w:rPr>
          <w:rFonts w:hint="default" w:ascii="Times New Roman" w:hAnsi="Times New Roman" w:cs="Times New Roman"/>
          <w:b/>
          <w:color w:val="auto"/>
        </w:rPr>
      </w:pPr>
    </w:p>
    <w:p>
      <w:pPr>
        <w:jc w:val="center"/>
        <w:rPr>
          <w:rFonts w:hint="default" w:ascii="Times New Roman" w:hAnsi="Times New Roman" w:cs="Times New Roman"/>
          <w:b/>
          <w:color w:val="auto"/>
        </w:rPr>
      </w:pPr>
    </w:p>
    <w:p>
      <w:pPr>
        <w:jc w:val="center"/>
        <w:rPr>
          <w:rFonts w:hint="default" w:ascii="Times New Roman" w:hAnsi="Times New Roman" w:cs="Times New Roman"/>
          <w:b/>
          <w:color w:val="auto"/>
        </w:rPr>
      </w:pPr>
    </w:p>
    <w:p>
      <w:pPr>
        <w:jc w:val="center"/>
        <w:rPr>
          <w:rFonts w:hint="default" w:ascii="Times New Roman" w:hAnsi="Times New Roman" w:cs="Times New Roman"/>
          <w:b/>
          <w:color w:val="auto"/>
        </w:rPr>
      </w:pPr>
    </w:p>
    <w:p>
      <w:pPr>
        <w:jc w:val="center"/>
        <w:rPr>
          <w:rFonts w:hint="default" w:ascii="Times New Roman" w:hAnsi="Times New Roman" w:cs="Times New Roman"/>
          <w:b/>
          <w:color w:val="auto"/>
        </w:rPr>
      </w:pPr>
    </w:p>
    <w:p>
      <w:pPr>
        <w:jc w:val="center"/>
        <w:rPr>
          <w:rFonts w:hint="default" w:ascii="Times New Roman" w:hAnsi="Times New Roman" w:cs="Times New Roman"/>
          <w:b/>
          <w:color w:val="auto"/>
        </w:rPr>
      </w:pPr>
    </w:p>
    <w:p>
      <w:pPr>
        <w:pStyle w:val="4"/>
        <w:numPr>
          <w:ilvl w:val="1"/>
          <w:numId w:val="0"/>
        </w:numPr>
        <w:ind w:leftChars="0"/>
        <w:rPr>
          <w:rFonts w:hint="default" w:ascii="Times New Roman" w:hAnsi="Times New Roman" w:cs="Times New Roman"/>
          <w:color w:val="auto"/>
        </w:rPr>
      </w:pPr>
    </w:p>
    <w:p>
      <w:pPr>
        <w:rPr>
          <w:rFonts w:hint="default" w:ascii="Times New Roman" w:hAnsi="Times New Roman" w:cs="Times New Roman"/>
          <w:b/>
          <w:color w:val="auto"/>
        </w:rPr>
      </w:pPr>
    </w:p>
    <w:p>
      <w:pPr>
        <w:pStyle w:val="39"/>
        <w:bidi w:val="0"/>
        <w:spacing w:line="240" w:lineRule="auto"/>
        <w:ind w:firstLine="0" w:firstLineChars="0"/>
        <w:rPr>
          <w:rFonts w:hint="default" w:ascii="Times New Roman" w:hAnsi="Times New Roman" w:cs="Times New Roman"/>
          <w:color w:val="auto"/>
        </w:rPr>
        <w:sectPr>
          <w:headerReference r:id="rId20" w:type="default"/>
          <w:footerReference r:id="rId21" w:type="default"/>
          <w:pgSz w:w="11905" w:h="16838"/>
          <w:pgMar w:top="1417" w:right="1417" w:bottom="1134" w:left="1701"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pPr>
        <w:jc w:val="both"/>
        <w:rPr>
          <w:rFonts w:hint="default" w:ascii="Times New Roman" w:hAnsi="Times New Roman" w:eastAsia="宋体" w:cs="Times New Roman"/>
          <w:b/>
          <w:color w:val="auto"/>
          <w:u w:val="none"/>
          <w:lang w:eastAsia="zh-CN"/>
        </w:rPr>
      </w:pPr>
    </w:p>
    <w:sectPr>
      <w:headerReference r:id="rId22" w:type="default"/>
      <w:footerReference r:id="rId23" w:type="default"/>
      <w:pgSz w:w="16838" w:h="11905" w:orient="landscape"/>
      <w:pgMar w:top="1701" w:right="1417" w:bottom="1417" w:left="1134" w:header="850" w:footer="992"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serif">
    <w:altName w:val="Segoe Print"/>
    <w:panose1 w:val="00000000000000000000"/>
    <w:charset w:val="00"/>
    <w:family w:val="auto"/>
    <w:pitch w:val="default"/>
    <w:sig w:usb0="00000000" w:usb1="00000000" w:usb2="00000000" w:usb3="00000000" w:csb0="00000000" w:csb1="00000000"/>
  </w:font>
  <w:font w:name="Adobe Song Std">
    <w:altName w:val="宋体"/>
    <w:panose1 w:val="00000000000000000000"/>
    <w:charset w:val="86"/>
    <w:family w:val="roma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Cambria Math">
    <w:panose1 w:val="02040503050406030204"/>
    <w:charset w:val="00"/>
    <w:family w:val="auto"/>
    <w:pitch w:val="default"/>
    <w:sig w:usb0="E00002FF" w:usb1="420024FF" w:usb2="00000000" w:usb3="00000000" w:csb0="2000019F"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LXVII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LXVII</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jc w:val="center"/>
      <w:rPr>
        <w:sz w:val="20"/>
        <w:szCs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XCIII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XCIII</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CCXXV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HZ4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HZ4zAgAAYwQAAA4AAAAAAAAAAQAgAAAAHwEAAGRycy9lMm9Eb2MueG1sUEsF&#10;BgAAAAAGAAYAWQEAAMQ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CCXXV</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CCXXV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CCXXV</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8" name="文本框 2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b3R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Cm90UNAIAAGUEAAAOAAAAAAAAAAEAIAAAAB8BAABkcnMvZTJvRG9jLnhtbFBL&#10;BQYAAAAABgAGAFkBAADFBQAAAAA=&#10;">
              <v:fill on="f" focussize="0,0"/>
              <v:stroke on="f" weight="0.5pt"/>
              <v:imagedata o:title=""/>
              <o:lock v:ext="edit" aspectratio="f"/>
              <v:textbox inset="0mm,0mm,0mm,0mm" style="mso-fit-shape-to-text:t;">
                <w:txbxContent>
                  <w:p>
                    <w:pPr>
                      <w:pStyle w:val="1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rPr>
        <w:rFonts w:hint="eastAsia" w:eastAsia="宋体"/>
        <w:lang w:val="en-US" w:eastAsia="zh-CN"/>
      </w:rPr>
    </w:pPr>
    <w:r>
      <w:rPr>
        <w:rFonts w:hint="eastAsia"/>
        <w:lang w:eastAsia="zh-CN"/>
      </w:rPr>
      <w:tab/>
    </w:r>
    <w:r>
      <w:rPr>
        <w:rFonts w:hint="eastAsia"/>
        <w:lang w:eastAsia="zh-CN"/>
      </w:rPr>
      <w:tab/>
    </w:r>
    <w:r>
      <w:rPr>
        <w:rFonts w:hint="eastAsia"/>
        <w:lang w:val="en-US" w:eastAsia="zh-CN"/>
      </w:rPr>
      <w:t>长沙水天净化技术工程有限公司</w:t>
    </w:r>
  </w:p>
  <w:p>
    <w:pPr>
      <w:pStyle w:val="19"/>
      <w:tabs>
        <w:tab w:val="center" w:pos="4453"/>
        <w:tab w:val="left" w:pos="7469"/>
      </w:tabs>
      <w:ind w:right="360" w:firstLine="360"/>
      <w:jc w:val="left"/>
    </w:pPr>
    <w:r>
      <w:rPr>
        <w:rFonts w:hint="eastAsia"/>
        <w:lang w:eastAsia="zh-CN"/>
      </w:rPr>
      <w:tab/>
    </w:r>
    <w:r>
      <w:rPr>
        <w:rFonts w:hint="eastAsia"/>
        <w:lang w:eastAsia="zh-CN"/>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rPr>
        <w:rFonts w:hint="eastAsia" w:eastAsia="宋体"/>
        <w:lang w:val="en-US" w:eastAsia="zh-CN"/>
      </w:rPr>
    </w:pPr>
    <w:r>
      <w:rPr>
        <w:rFonts w:hint="eastAsia"/>
        <w:lang w:eastAsia="zh-CN"/>
      </w:rPr>
      <w:tab/>
    </w:r>
    <w:r>
      <w:rPr>
        <w:rFonts w:hint="eastAsia"/>
        <w:lang w:eastAsia="zh-CN"/>
      </w:rPr>
      <w:tab/>
    </w:r>
    <w:r>
      <w:rPr>
        <w:rFonts w:hint="eastAsia"/>
        <w:lang w:val="en-US" w:eastAsia="zh-CN"/>
      </w:rPr>
      <w:t>长沙水天净化技术工程有限公司</w:t>
    </w:r>
  </w:p>
  <w:p>
    <w:pPr>
      <w:pStyle w:val="19"/>
      <w:tabs>
        <w:tab w:val="center" w:pos="4453"/>
        <w:tab w:val="left" w:pos="7469"/>
      </w:tabs>
      <w:ind w:right="360" w:firstLine="360"/>
      <w:jc w:val="left"/>
    </w:pPr>
    <w:r>
      <w:rPr>
        <w:rFonts w:hint="eastAsia"/>
        <w:lang w:eastAsia="zh-CN"/>
      </w:rPr>
      <w:tab/>
    </w:r>
    <w:r>
      <w:rPr>
        <w:rFonts w:hint="eastAsia"/>
        <w:lang w:eastAsia="zh-CN"/>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rPr>
        <w:rFonts w:hint="eastAsia" w:eastAsia="宋体"/>
        <w:lang w:val="en-US" w:eastAsia="zh-CN"/>
      </w:rPr>
    </w:pPr>
    <w:r>
      <w:rPr>
        <w:rFonts w:hint="eastAsia"/>
        <w:lang w:eastAsia="zh-CN"/>
      </w:rPr>
      <w:tab/>
    </w:r>
    <w:r>
      <w:rPr>
        <w:rFonts w:hint="eastAsia"/>
        <w:lang w:eastAsia="zh-CN"/>
      </w:rPr>
      <w:tab/>
    </w:r>
    <w:r>
      <w:rPr>
        <w:rFonts w:hint="eastAsia"/>
        <w:lang w:val="en-US" w:eastAsia="zh-CN"/>
      </w:rPr>
      <w:t>长沙水天净化技术工程有限公司</w:t>
    </w:r>
  </w:p>
  <w:p>
    <w:pPr>
      <w:pStyle w:val="19"/>
      <w:tabs>
        <w:tab w:val="center" w:pos="4453"/>
        <w:tab w:val="left" w:pos="7469"/>
      </w:tabs>
      <w:ind w:right="360" w:firstLine="360"/>
      <w:jc w:val="left"/>
    </w:pPr>
    <w:r>
      <w:rPr>
        <w:rFonts w:hint="eastAsia"/>
        <w:lang w:eastAsia="zh-CN"/>
      </w:rPr>
      <w:tab/>
    </w:r>
    <w:r>
      <w:rPr>
        <w:rFonts w:hint="eastAsia"/>
        <w:lang w:eastAsia="zh-CN"/>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rPr>
        <w:rFonts w:hint="eastAsia" w:eastAsia="宋体"/>
        <w:lang w:val="en-US" w:eastAsia="zh-CN"/>
      </w:rPr>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X</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X</w:t>
                    </w:r>
                    <w:r>
                      <w:fldChar w:fldCharType="end"/>
                    </w:r>
                  </w:p>
                </w:txbxContent>
              </v:textbox>
            </v:shape>
          </w:pict>
        </mc:Fallback>
      </mc:AlternateContent>
    </w:r>
    <w:r>
      <w:rPr>
        <w:rFonts w:hint="eastAsia"/>
        <w:lang w:eastAsia="zh-CN"/>
      </w:rPr>
      <w:tab/>
    </w:r>
    <w:r>
      <w:rPr>
        <w:rFonts w:hint="eastAsia"/>
        <w:lang w:eastAsia="zh-CN"/>
      </w:rPr>
      <w:tab/>
    </w:r>
    <w:r>
      <w:rPr>
        <w:rFonts w:hint="eastAsia"/>
        <w:lang w:val="en-US" w:eastAsia="zh-CN"/>
      </w:rPr>
      <w:t>长沙水天净化技术工程有限公司</w:t>
    </w:r>
  </w:p>
  <w:p>
    <w:pPr>
      <w:pStyle w:val="19"/>
      <w:tabs>
        <w:tab w:val="center" w:pos="4453"/>
        <w:tab w:val="left" w:pos="7469"/>
      </w:tabs>
      <w:ind w:right="360" w:firstLine="360"/>
      <w:jc w:val="left"/>
    </w:pPr>
    <w:r>
      <w:rPr>
        <w:rFonts w:hint="eastAsia"/>
        <w:lang w:eastAsia="zh-CN"/>
      </w:rPr>
      <w:tab/>
    </w:r>
    <w:r>
      <w:rPr>
        <w:rFonts w:hint="eastAsia"/>
        <w:lang w:eastAsia="zh-CN"/>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rPr>
        <w:rFonts w:hint="eastAsia" w:eastAsia="宋体"/>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X</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X</w:t>
                    </w:r>
                    <w:r>
                      <w:fldChar w:fldCharType="end"/>
                    </w:r>
                  </w:p>
                </w:txbxContent>
              </v:textbox>
            </v:shape>
          </w:pict>
        </mc:Fallback>
      </mc:AlternateContent>
    </w:r>
    <w:r>
      <w:rPr>
        <w:rFonts w:hint="eastAsia"/>
        <w:lang w:val="en-US" w:eastAsia="zh-CN"/>
      </w:rPr>
      <w:t xml:space="preserve">                                                            长沙水天净化技术工程有限公司</w:t>
    </w:r>
  </w:p>
  <w:p>
    <w:pPr>
      <w:pStyle w:val="19"/>
      <w:ind w:firstLine="360"/>
      <w:rPr>
        <w:rFonts w:hint="default"/>
        <w:lang w:val="en-US"/>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bidi w:val="0"/>
      <w:rPr>
        <w:rFonts w:hint="default"/>
        <w:sz w:val="18"/>
        <w:szCs w:val="18"/>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bidi w:val="0"/>
      <w:rPr>
        <w:rFonts w:hint="default"/>
        <w:sz w:val="18"/>
        <w:szCs w:val="18"/>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bidi w:val="0"/>
      <w:rPr>
        <w:rFonts w:hint="default"/>
        <w:sz w:val="18"/>
        <w:szCs w:val="18"/>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bidi w:val="0"/>
      <w:rPr>
        <w:rFonts w:hint="default"/>
        <w:sz w:val="18"/>
        <w:szCs w:val="18"/>
        <w:lang w:val="en-US" w:eastAsia="zh-CN"/>
      </w:rPr>
    </w:pPr>
    <w:r>
      <w:rPr>
        <w:rFonts w:hint="eastAsia"/>
        <w:sz w:val="18"/>
        <w:szCs w:val="18"/>
        <w:lang w:eastAsia="zh-CN"/>
      </w:rPr>
      <w:t>岳阳鑫达实业有限公司</w:t>
    </w:r>
    <w:r>
      <w:rPr>
        <w:rFonts w:hint="eastAsia"/>
        <w:sz w:val="18"/>
        <w:szCs w:val="18"/>
        <w:lang w:val="en-US" w:eastAsia="zh-CN"/>
      </w:rPr>
      <w:t>500吨/年加氢催化剂生产项目                          环境影响报告书</w:t>
    </w:r>
  </w:p>
  <w:p>
    <w:pPr>
      <w:pStyle w:val="20"/>
      <w:rPr>
        <w:rFonts w:hint="default"/>
        <w:lang w:val="en-US"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bidi w:val="0"/>
      <w:rPr>
        <w:rFonts w:hint="default"/>
        <w:sz w:val="18"/>
        <w:szCs w:val="18"/>
        <w:lang w:val="en-US" w:eastAsia="zh-CN"/>
      </w:rPr>
    </w:pPr>
    <w:r>
      <w:rPr>
        <w:rFonts w:hint="eastAsia"/>
        <w:sz w:val="18"/>
        <w:szCs w:val="18"/>
        <w:lang w:eastAsia="zh-CN"/>
      </w:rPr>
      <w:t>岳阳鑫达实业有限公司</w:t>
    </w:r>
    <w:r>
      <w:rPr>
        <w:rFonts w:hint="eastAsia"/>
        <w:sz w:val="18"/>
        <w:szCs w:val="18"/>
        <w:lang w:val="en-US" w:eastAsia="zh-CN"/>
      </w:rPr>
      <w:t>500吨/年加氢催化剂生产项目                          环境影响报告书</w:t>
    </w:r>
  </w:p>
  <w:p>
    <w:pPr>
      <w:spacing w:line="14" w:lineRule="auto"/>
      <w:rPr>
        <w:sz w:val="4"/>
        <w:szCs w:val="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bidi w:val="0"/>
      <w:rPr>
        <w:rFonts w:hint="default"/>
        <w:sz w:val="18"/>
        <w:szCs w:val="18"/>
        <w:lang w:val="en-US" w:eastAsia="zh-CN"/>
      </w:rPr>
    </w:pPr>
    <w:r>
      <w:rPr>
        <w:rFonts w:hint="eastAsia"/>
        <w:sz w:val="18"/>
        <w:szCs w:val="18"/>
        <w:lang w:eastAsia="zh-CN"/>
      </w:rPr>
      <w:t>岳阳鑫达实业有限公司</w:t>
    </w:r>
    <w:r>
      <w:rPr>
        <w:rFonts w:hint="eastAsia"/>
        <w:sz w:val="18"/>
        <w:szCs w:val="18"/>
        <w:lang w:val="en-US" w:eastAsia="zh-CN"/>
      </w:rPr>
      <w:t>500吨/年加氢催化剂生产项目                          环境影响报告书</w:t>
    </w:r>
  </w:p>
  <w:p>
    <w:pPr>
      <w:pStyle w:val="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rPr>
        <w:rFonts w:hint="default" w:ascii="宋体" w:hAnsi="宋体" w:eastAsia="宋体"/>
        <w:b/>
        <w:color w:val="auto"/>
        <w:u w:val="none"/>
        <w:lang w:eastAsia="zh-CN"/>
      </w:rPr>
    </w:pPr>
  </w:p>
  <w:p>
    <w:pPr>
      <w:spacing w:before="0" w:after="0" w:line="14" w:lineRule="auto"/>
      <w:rPr>
        <w:sz w:val="4"/>
        <w:szCs w:val="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rPr>
        <w:rFonts w:hint="default" w:ascii="宋体" w:hAnsi="宋体" w:eastAsia="宋体"/>
        <w:b/>
        <w:color w:val="auto"/>
        <w:u w:val="none"/>
        <w:lang w:eastAsia="zh-CN"/>
      </w:rPr>
    </w:pPr>
  </w:p>
  <w:p>
    <w:pPr>
      <w:spacing w:before="0" w:after="0" w:line="14" w:lineRule="auto"/>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C9613C"/>
    <w:multiLevelType w:val="multilevel"/>
    <w:tmpl w:val="8CC9613C"/>
    <w:lvl w:ilvl="0" w:tentative="0">
      <w:start w:val="1"/>
      <w:numFmt w:val="decimal"/>
      <w:pStyle w:val="3"/>
      <w:lvlText w:val="%1."/>
      <w:lvlJc w:val="left"/>
      <w:pPr>
        <w:tabs>
          <w:tab w:val="left" w:pos="0"/>
        </w:tabs>
        <w:ind w:left="0" w:leftChars="0" w:firstLine="0" w:firstLineChars="0"/>
      </w:pPr>
      <w:rPr>
        <w:rFonts w:hint="default"/>
      </w:rPr>
    </w:lvl>
    <w:lvl w:ilvl="1" w:tentative="0">
      <w:start w:val="1"/>
      <w:numFmt w:val="decimal"/>
      <w:pStyle w:val="4"/>
      <w:lvlText w:val="%1.%2."/>
      <w:lvlJc w:val="left"/>
      <w:pPr>
        <w:tabs>
          <w:tab w:val="left" w:pos="0"/>
        </w:tabs>
        <w:ind w:left="0" w:leftChars="0" w:firstLine="0" w:firstLineChars="0"/>
      </w:pPr>
      <w:rPr>
        <w:rFonts w:hint="default" w:ascii="宋体" w:hAnsi="宋体" w:eastAsia="宋体" w:cs="宋体"/>
      </w:rPr>
    </w:lvl>
    <w:lvl w:ilvl="2" w:tentative="0">
      <w:start w:val="1"/>
      <w:numFmt w:val="decimal"/>
      <w:pStyle w:val="5"/>
      <w:lvlText w:val="%1.%2.%3."/>
      <w:lvlJc w:val="left"/>
      <w:pPr>
        <w:tabs>
          <w:tab w:val="left" w:pos="0"/>
        </w:tabs>
        <w:ind w:left="0" w:leftChars="0" w:firstLine="0" w:firstLineChars="0"/>
      </w:pPr>
      <w:rPr>
        <w:rFonts w:hint="default" w:ascii="宋体" w:hAnsi="宋体" w:eastAsia="宋体" w:cs="宋体"/>
      </w:rPr>
    </w:lvl>
    <w:lvl w:ilvl="3" w:tentative="0">
      <w:start w:val="1"/>
      <w:numFmt w:val="decimal"/>
      <w:pStyle w:val="7"/>
      <w:lvlText w:val="%1.%2.%3.%4."/>
      <w:lvlJc w:val="left"/>
      <w:pPr>
        <w:tabs>
          <w:tab w:val="left" w:pos="0"/>
        </w:tabs>
        <w:ind w:left="0" w:leftChars="0" w:firstLine="0" w:firstLineChars="0"/>
      </w:pPr>
      <w:rPr>
        <w:rFonts w:hint="default" w:ascii="宋体" w:hAnsi="宋体" w:eastAsia="宋体" w:cs="宋体"/>
      </w:rPr>
    </w:lvl>
    <w:lvl w:ilvl="4" w:tentative="0">
      <w:start w:val="1"/>
      <w:numFmt w:val="decimal"/>
      <w:lvlText w:val="%1.%2.%3.%4.%5."/>
      <w:lvlJc w:val="left"/>
      <w:pPr>
        <w:ind w:left="1008" w:hanging="1008"/>
      </w:pPr>
      <w:rPr>
        <w:rFonts w:hint="default"/>
      </w:rPr>
    </w:lvl>
    <w:lvl w:ilvl="5" w:tentative="0">
      <w:start w:val="1"/>
      <w:numFmt w:val="decimal"/>
      <w:pStyle w:val="9"/>
      <w:lvlText w:val="%1.%2.%3.%4.%5.%6."/>
      <w:lvlJc w:val="left"/>
      <w:pPr>
        <w:ind w:left="1151" w:hanging="1151"/>
      </w:pPr>
      <w:rPr>
        <w:rFonts w:hint="default"/>
      </w:rPr>
    </w:lvl>
    <w:lvl w:ilvl="6" w:tentative="0">
      <w:start w:val="1"/>
      <w:numFmt w:val="decimal"/>
      <w:pStyle w:val="10"/>
      <w:lvlText w:val="%1.%2.%3.%4.%5.%6.%7."/>
      <w:lvlJc w:val="left"/>
      <w:pPr>
        <w:ind w:left="1296" w:hanging="1296"/>
      </w:pPr>
      <w:rPr>
        <w:rFonts w:hint="default"/>
      </w:rPr>
    </w:lvl>
    <w:lvl w:ilvl="7" w:tentative="0">
      <w:start w:val="1"/>
      <w:numFmt w:val="decimal"/>
      <w:pStyle w:val="11"/>
      <w:lvlText w:val="%1.%2.%3.%4.%5.%6.%7.%8."/>
      <w:lvlJc w:val="left"/>
      <w:pPr>
        <w:ind w:left="1440" w:hanging="1440"/>
      </w:pPr>
      <w:rPr>
        <w:rFonts w:hint="default"/>
      </w:rPr>
    </w:lvl>
    <w:lvl w:ilvl="8" w:tentative="0">
      <w:start w:val="1"/>
      <w:numFmt w:val="decimal"/>
      <w:pStyle w:val="12"/>
      <w:lvlText w:val="%1.%2.%3.%4.%5.%6.%7.%8.%9."/>
      <w:lvlJc w:val="left"/>
      <w:pPr>
        <w:ind w:left="1583" w:hanging="1583"/>
      </w:pPr>
      <w:rPr>
        <w:rFonts w:hint="default"/>
      </w:rPr>
    </w:lvl>
  </w:abstractNum>
  <w:abstractNum w:abstractNumId="1">
    <w:nsid w:val="9968B598"/>
    <w:multiLevelType w:val="singleLevel"/>
    <w:tmpl w:val="9968B598"/>
    <w:lvl w:ilvl="0" w:tentative="0">
      <w:start w:val="2"/>
      <w:numFmt w:val="decimal"/>
      <w:suff w:val="nothing"/>
      <w:lvlText w:val="（%1）"/>
      <w:lvlJc w:val="left"/>
    </w:lvl>
  </w:abstractNum>
  <w:abstractNum w:abstractNumId="2">
    <w:nsid w:val="A8B09EE8"/>
    <w:multiLevelType w:val="singleLevel"/>
    <w:tmpl w:val="A8B09EE8"/>
    <w:lvl w:ilvl="0" w:tentative="0">
      <w:start w:val="1"/>
      <w:numFmt w:val="decimal"/>
      <w:lvlText w:val="(%1)"/>
      <w:lvlJc w:val="left"/>
      <w:pPr>
        <w:ind w:left="425" w:hanging="425"/>
      </w:pPr>
      <w:rPr>
        <w:rFonts w:hint="default"/>
      </w:rPr>
    </w:lvl>
  </w:abstractNum>
  <w:abstractNum w:abstractNumId="3">
    <w:nsid w:val="B8082061"/>
    <w:multiLevelType w:val="singleLevel"/>
    <w:tmpl w:val="B8082061"/>
    <w:lvl w:ilvl="0" w:tentative="0">
      <w:start w:val="1"/>
      <w:numFmt w:val="decimal"/>
      <w:suff w:val="nothing"/>
      <w:lvlText w:val="（%1）"/>
      <w:lvlJc w:val="left"/>
    </w:lvl>
  </w:abstractNum>
  <w:abstractNum w:abstractNumId="4">
    <w:nsid w:val="DA7EC061"/>
    <w:multiLevelType w:val="singleLevel"/>
    <w:tmpl w:val="DA7EC061"/>
    <w:lvl w:ilvl="0" w:tentative="0">
      <w:start w:val="1"/>
      <w:numFmt w:val="decimal"/>
      <w:lvlText w:val="(%1)"/>
      <w:lvlJc w:val="left"/>
      <w:pPr>
        <w:ind w:left="425" w:hanging="425"/>
      </w:pPr>
      <w:rPr>
        <w:rFonts w:hint="default"/>
      </w:rPr>
    </w:lvl>
  </w:abstractNum>
  <w:abstractNum w:abstractNumId="5">
    <w:nsid w:val="EE55CF8D"/>
    <w:multiLevelType w:val="multilevel"/>
    <w:tmpl w:val="EE55CF8D"/>
    <w:lvl w:ilvl="0" w:tentative="0">
      <w:start w:val="1"/>
      <w:numFmt w:val="decimal"/>
      <w:lvlText w:val="%1."/>
      <w:lvlJc w:val="left"/>
      <w:pPr>
        <w:ind w:left="432" w:hanging="432"/>
      </w:pPr>
      <w:rPr>
        <w:rFonts w:hint="default"/>
      </w:rPr>
    </w:lvl>
    <w:lvl w:ilvl="1" w:tentative="0">
      <w:start w:val="1"/>
      <w:numFmt w:val="decimal"/>
      <w:lvlText w:val="%1.%2."/>
      <w:lvlJc w:val="left"/>
      <w:pPr>
        <w:ind w:left="859" w:hanging="575"/>
      </w:pPr>
      <w:rPr>
        <w:rFonts w:hint="default"/>
      </w:rPr>
    </w:lvl>
    <w:lvl w:ilvl="2" w:tentative="0">
      <w:start w:val="1"/>
      <w:numFmt w:val="decimal"/>
      <w:pStyle w:val="58"/>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6">
    <w:nsid w:val="00000006"/>
    <w:multiLevelType w:val="multilevel"/>
    <w:tmpl w:val="00000006"/>
    <w:lvl w:ilvl="0" w:tentative="0">
      <w:start w:val="1"/>
      <w:numFmt w:val="decimal"/>
      <w:lvlText w:val="%1."/>
      <w:lvlJc w:val="left"/>
      <w:pPr>
        <w:tabs>
          <w:tab w:val="left" w:pos="780"/>
        </w:tabs>
        <w:ind w:left="780" w:hanging="360"/>
      </w:pPr>
    </w:lvl>
    <w:lvl w:ilvl="1" w:tentative="0">
      <w:start w:val="1"/>
      <w:numFmt w:val="decimal"/>
      <w:lvlText w:val="%2."/>
      <w:lvlJc w:val="left"/>
      <w:pPr>
        <w:ind w:left="0" w:firstLine="0"/>
      </w:pPr>
      <w:rPr>
        <w:rFonts w:hint="eastAsia"/>
        <w:b w:val="0"/>
        <w:i w:val="0"/>
        <w:sz w:val="32"/>
        <w:szCs w:val="32"/>
      </w:rPr>
    </w:lvl>
    <w:lvl w:ilvl="2" w:tentative="0">
      <w:start w:val="1"/>
      <w:numFmt w:val="decimal"/>
      <w:pStyle w:val="46"/>
      <w:suff w:val="nothing"/>
      <w:lvlText w:val="%1%2.%3　"/>
      <w:lvlJc w:val="left"/>
      <w:pPr>
        <w:ind w:left="426" w:firstLine="0"/>
      </w:pPr>
      <w:rPr>
        <w:rFonts w:hint="eastAsia" w:ascii="黑体" w:hAnsi="Times New Roman" w:eastAsia="黑体"/>
        <w:b w:val="0"/>
        <w:i w:val="0"/>
        <w:sz w:val="28"/>
        <w:szCs w:val="28"/>
      </w:rPr>
    </w:lvl>
    <w:lvl w:ilvl="3" w:tentative="0">
      <w:start w:val="1"/>
      <w:numFmt w:val="decimal"/>
      <w:pStyle w:val="45"/>
      <w:suff w:val="nothing"/>
      <w:lvlText w:val="%1%2.%3.%4　"/>
      <w:lvlJc w:val="left"/>
      <w:pPr>
        <w:ind w:left="0" w:firstLine="0"/>
      </w:pPr>
      <w:rPr>
        <w:rFonts w:hint="eastAsia" w:ascii="黑体" w:hAnsi="Times New Roman" w:eastAsia="黑体"/>
        <w:b w:val="0"/>
        <w:i w:val="0"/>
        <w:sz w:val="24"/>
        <w:szCs w:val="24"/>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7">
    <w:nsid w:val="354E4B5A"/>
    <w:multiLevelType w:val="singleLevel"/>
    <w:tmpl w:val="354E4B5A"/>
    <w:lvl w:ilvl="0" w:tentative="0">
      <w:start w:val="1"/>
      <w:numFmt w:val="decimal"/>
      <w:lvlText w:val="(%1)"/>
      <w:lvlJc w:val="left"/>
      <w:pPr>
        <w:ind w:left="425" w:hanging="425"/>
      </w:pPr>
      <w:rPr>
        <w:rFonts w:hint="default"/>
      </w:rPr>
    </w:lvl>
  </w:abstractNum>
  <w:abstractNum w:abstractNumId="8">
    <w:nsid w:val="422A879F"/>
    <w:multiLevelType w:val="singleLevel"/>
    <w:tmpl w:val="422A879F"/>
    <w:lvl w:ilvl="0" w:tentative="0">
      <w:start w:val="1"/>
      <w:numFmt w:val="decimal"/>
      <w:lvlText w:val="(%1)"/>
      <w:lvlJc w:val="left"/>
      <w:pPr>
        <w:ind w:left="425" w:hanging="425"/>
      </w:pPr>
      <w:rPr>
        <w:rFonts w:hint="default"/>
      </w:rPr>
    </w:lvl>
  </w:abstractNum>
  <w:abstractNum w:abstractNumId="9">
    <w:nsid w:val="62B8FA5B"/>
    <w:multiLevelType w:val="singleLevel"/>
    <w:tmpl w:val="62B8FA5B"/>
    <w:lvl w:ilvl="0" w:tentative="0">
      <w:start w:val="3"/>
      <w:numFmt w:val="decimal"/>
      <w:suff w:val="nothing"/>
      <w:lvlText w:val="（%1）"/>
      <w:lvlJc w:val="left"/>
    </w:lvl>
  </w:abstractNum>
  <w:abstractNum w:abstractNumId="10">
    <w:nsid w:val="65D98901"/>
    <w:multiLevelType w:val="singleLevel"/>
    <w:tmpl w:val="65D98901"/>
    <w:lvl w:ilvl="0" w:tentative="0">
      <w:start w:val="1"/>
      <w:numFmt w:val="decimal"/>
      <w:lvlText w:val="(%1)"/>
      <w:lvlJc w:val="left"/>
      <w:pPr>
        <w:ind w:left="425" w:hanging="425"/>
      </w:pPr>
      <w:rPr>
        <w:rFonts w:hint="default"/>
        <w:color w:val="auto"/>
      </w:rPr>
    </w:lvl>
  </w:abstractNum>
  <w:abstractNum w:abstractNumId="11">
    <w:nsid w:val="7663D4A9"/>
    <w:multiLevelType w:val="singleLevel"/>
    <w:tmpl w:val="7663D4A9"/>
    <w:lvl w:ilvl="0" w:tentative="0">
      <w:start w:val="1"/>
      <w:numFmt w:val="decimal"/>
      <w:lvlText w:val="(%1)"/>
      <w:lvlJc w:val="left"/>
      <w:pPr>
        <w:ind w:left="425" w:hanging="425"/>
      </w:pPr>
      <w:rPr>
        <w:rFonts w:hint="default"/>
      </w:rPr>
    </w:lvl>
  </w:abstractNum>
  <w:num w:numId="1">
    <w:abstractNumId w:val="0"/>
  </w:num>
  <w:num w:numId="2">
    <w:abstractNumId w:val="6"/>
  </w:num>
  <w:num w:numId="3">
    <w:abstractNumId w:val="5"/>
  </w:num>
  <w:num w:numId="4">
    <w:abstractNumId w:val="11"/>
  </w:num>
  <w:num w:numId="5">
    <w:abstractNumId w:val="8"/>
  </w:num>
  <w:num w:numId="6">
    <w:abstractNumId w:val="10"/>
  </w:num>
  <w:num w:numId="7">
    <w:abstractNumId w:val="2"/>
  </w:num>
  <w:num w:numId="8">
    <w:abstractNumId w:val="4"/>
  </w:num>
  <w:num w:numId="9">
    <w:abstractNumId w:val="7"/>
  </w:num>
  <w:num w:numId="10">
    <w:abstractNumId w:val="3"/>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SystemFonts/>
  <w:bordersDoNotSurroundHeader w:val="0"/>
  <w:bordersDoNotSurroundFooter w:val="0"/>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192012"/>
    <w:rsid w:val="000E4876"/>
    <w:rsid w:val="001D2D0E"/>
    <w:rsid w:val="00305CB3"/>
    <w:rsid w:val="003D0958"/>
    <w:rsid w:val="003E6DFB"/>
    <w:rsid w:val="00551579"/>
    <w:rsid w:val="008453E4"/>
    <w:rsid w:val="00873466"/>
    <w:rsid w:val="00B03079"/>
    <w:rsid w:val="00BF6D37"/>
    <w:rsid w:val="00CD5219"/>
    <w:rsid w:val="00D7030B"/>
    <w:rsid w:val="00DD01AD"/>
    <w:rsid w:val="00E66339"/>
    <w:rsid w:val="00FE0307"/>
    <w:rsid w:val="013C3C60"/>
    <w:rsid w:val="014F5A13"/>
    <w:rsid w:val="017C5AEF"/>
    <w:rsid w:val="01A85A24"/>
    <w:rsid w:val="01EC4A59"/>
    <w:rsid w:val="01EF0A24"/>
    <w:rsid w:val="01EF762F"/>
    <w:rsid w:val="01F2411F"/>
    <w:rsid w:val="01FB3350"/>
    <w:rsid w:val="021A6CAA"/>
    <w:rsid w:val="021E1597"/>
    <w:rsid w:val="023853BC"/>
    <w:rsid w:val="024A0060"/>
    <w:rsid w:val="02512C03"/>
    <w:rsid w:val="026476A2"/>
    <w:rsid w:val="027F57D9"/>
    <w:rsid w:val="02807AD4"/>
    <w:rsid w:val="029D4FDC"/>
    <w:rsid w:val="02B67400"/>
    <w:rsid w:val="02CF64CF"/>
    <w:rsid w:val="02DE45DE"/>
    <w:rsid w:val="02ED4A23"/>
    <w:rsid w:val="02EF1002"/>
    <w:rsid w:val="0312274A"/>
    <w:rsid w:val="0320343B"/>
    <w:rsid w:val="0326092B"/>
    <w:rsid w:val="035D2C21"/>
    <w:rsid w:val="035D3CDB"/>
    <w:rsid w:val="03B44F53"/>
    <w:rsid w:val="040824D1"/>
    <w:rsid w:val="041770E2"/>
    <w:rsid w:val="042C5954"/>
    <w:rsid w:val="045C3184"/>
    <w:rsid w:val="046A5458"/>
    <w:rsid w:val="04736462"/>
    <w:rsid w:val="04933AC8"/>
    <w:rsid w:val="04B4499F"/>
    <w:rsid w:val="04BB7284"/>
    <w:rsid w:val="04C6733F"/>
    <w:rsid w:val="04DF0AB2"/>
    <w:rsid w:val="04DF228C"/>
    <w:rsid w:val="050602E2"/>
    <w:rsid w:val="05116697"/>
    <w:rsid w:val="052D21F2"/>
    <w:rsid w:val="0571108E"/>
    <w:rsid w:val="0582576F"/>
    <w:rsid w:val="058B520C"/>
    <w:rsid w:val="05D57BF5"/>
    <w:rsid w:val="05D975F5"/>
    <w:rsid w:val="06486FFA"/>
    <w:rsid w:val="065177C7"/>
    <w:rsid w:val="065643E8"/>
    <w:rsid w:val="06845BA8"/>
    <w:rsid w:val="06986892"/>
    <w:rsid w:val="06B4213B"/>
    <w:rsid w:val="06F0135B"/>
    <w:rsid w:val="07354842"/>
    <w:rsid w:val="07387332"/>
    <w:rsid w:val="07524143"/>
    <w:rsid w:val="07532834"/>
    <w:rsid w:val="07622CB0"/>
    <w:rsid w:val="0767422A"/>
    <w:rsid w:val="076C6B7F"/>
    <w:rsid w:val="077079CC"/>
    <w:rsid w:val="077C7FE7"/>
    <w:rsid w:val="07D63696"/>
    <w:rsid w:val="07E012F9"/>
    <w:rsid w:val="07E32B49"/>
    <w:rsid w:val="07EB0F88"/>
    <w:rsid w:val="08126F1B"/>
    <w:rsid w:val="08192012"/>
    <w:rsid w:val="0830073B"/>
    <w:rsid w:val="084B67AF"/>
    <w:rsid w:val="086E0DC6"/>
    <w:rsid w:val="0890518C"/>
    <w:rsid w:val="08982F09"/>
    <w:rsid w:val="08E21A63"/>
    <w:rsid w:val="09133E65"/>
    <w:rsid w:val="0928451A"/>
    <w:rsid w:val="09BF3971"/>
    <w:rsid w:val="09D42DA5"/>
    <w:rsid w:val="09E07CBC"/>
    <w:rsid w:val="09F056B7"/>
    <w:rsid w:val="0A0609F0"/>
    <w:rsid w:val="0A100C05"/>
    <w:rsid w:val="0A2A7ACF"/>
    <w:rsid w:val="0A3D1278"/>
    <w:rsid w:val="0A450667"/>
    <w:rsid w:val="0A4B1449"/>
    <w:rsid w:val="0A5B602A"/>
    <w:rsid w:val="0A5E5061"/>
    <w:rsid w:val="0A6B3142"/>
    <w:rsid w:val="0A8964AB"/>
    <w:rsid w:val="0A8B3738"/>
    <w:rsid w:val="0AC12394"/>
    <w:rsid w:val="0AC84B1C"/>
    <w:rsid w:val="0ACA6CF0"/>
    <w:rsid w:val="0B3073B5"/>
    <w:rsid w:val="0B4E5FA0"/>
    <w:rsid w:val="0B8A097F"/>
    <w:rsid w:val="0BB5621D"/>
    <w:rsid w:val="0BFB23F0"/>
    <w:rsid w:val="0BFD7B7E"/>
    <w:rsid w:val="0C062677"/>
    <w:rsid w:val="0C0F1A96"/>
    <w:rsid w:val="0C6A7C89"/>
    <w:rsid w:val="0CE567E1"/>
    <w:rsid w:val="0D0503FB"/>
    <w:rsid w:val="0D20225F"/>
    <w:rsid w:val="0D424064"/>
    <w:rsid w:val="0D611549"/>
    <w:rsid w:val="0DA717EE"/>
    <w:rsid w:val="0DC60875"/>
    <w:rsid w:val="0DD76FD6"/>
    <w:rsid w:val="0DF32B8C"/>
    <w:rsid w:val="0E025B9D"/>
    <w:rsid w:val="0E0A7BFC"/>
    <w:rsid w:val="0E0D0E71"/>
    <w:rsid w:val="0E116846"/>
    <w:rsid w:val="0E174F74"/>
    <w:rsid w:val="0E3F397B"/>
    <w:rsid w:val="0E475385"/>
    <w:rsid w:val="0E5B2A86"/>
    <w:rsid w:val="0E6C0B19"/>
    <w:rsid w:val="0E780C63"/>
    <w:rsid w:val="0E7A6F19"/>
    <w:rsid w:val="0EFF0BF3"/>
    <w:rsid w:val="0F0471D1"/>
    <w:rsid w:val="0F5B1B98"/>
    <w:rsid w:val="0FE26428"/>
    <w:rsid w:val="0FE35BE5"/>
    <w:rsid w:val="100B782F"/>
    <w:rsid w:val="102C1DC3"/>
    <w:rsid w:val="103D6F54"/>
    <w:rsid w:val="10645E51"/>
    <w:rsid w:val="107D2B56"/>
    <w:rsid w:val="10847CDC"/>
    <w:rsid w:val="108D51E1"/>
    <w:rsid w:val="10902BB4"/>
    <w:rsid w:val="109E5169"/>
    <w:rsid w:val="10AA7429"/>
    <w:rsid w:val="10D0464C"/>
    <w:rsid w:val="10FB2C3D"/>
    <w:rsid w:val="11005E94"/>
    <w:rsid w:val="110527CA"/>
    <w:rsid w:val="118412E1"/>
    <w:rsid w:val="11A8428C"/>
    <w:rsid w:val="11B94DC0"/>
    <w:rsid w:val="11F92CDB"/>
    <w:rsid w:val="11FD4C91"/>
    <w:rsid w:val="121C440E"/>
    <w:rsid w:val="121D5A42"/>
    <w:rsid w:val="12417B0F"/>
    <w:rsid w:val="124A13BB"/>
    <w:rsid w:val="1258074F"/>
    <w:rsid w:val="12712992"/>
    <w:rsid w:val="127C530E"/>
    <w:rsid w:val="12A11241"/>
    <w:rsid w:val="12A65DD0"/>
    <w:rsid w:val="12E34E3B"/>
    <w:rsid w:val="12F455D6"/>
    <w:rsid w:val="13103C0B"/>
    <w:rsid w:val="132C63C1"/>
    <w:rsid w:val="137A116A"/>
    <w:rsid w:val="13997557"/>
    <w:rsid w:val="13A01C2A"/>
    <w:rsid w:val="13BB138F"/>
    <w:rsid w:val="13CC0EC3"/>
    <w:rsid w:val="13F36D84"/>
    <w:rsid w:val="1412692C"/>
    <w:rsid w:val="143B120E"/>
    <w:rsid w:val="14421017"/>
    <w:rsid w:val="14573536"/>
    <w:rsid w:val="14704E41"/>
    <w:rsid w:val="1471736D"/>
    <w:rsid w:val="14786DE9"/>
    <w:rsid w:val="14914256"/>
    <w:rsid w:val="14AA3CFC"/>
    <w:rsid w:val="14B31537"/>
    <w:rsid w:val="14C20630"/>
    <w:rsid w:val="14D109B6"/>
    <w:rsid w:val="14D5375E"/>
    <w:rsid w:val="150D5180"/>
    <w:rsid w:val="1512672E"/>
    <w:rsid w:val="151563FB"/>
    <w:rsid w:val="1529281C"/>
    <w:rsid w:val="152E5D3D"/>
    <w:rsid w:val="153F7414"/>
    <w:rsid w:val="15723C78"/>
    <w:rsid w:val="158F61FC"/>
    <w:rsid w:val="15A017C8"/>
    <w:rsid w:val="15A475D5"/>
    <w:rsid w:val="15A613A9"/>
    <w:rsid w:val="15E442E5"/>
    <w:rsid w:val="15F23919"/>
    <w:rsid w:val="1672261A"/>
    <w:rsid w:val="16804761"/>
    <w:rsid w:val="16895A53"/>
    <w:rsid w:val="16FD1CCE"/>
    <w:rsid w:val="16FF67FA"/>
    <w:rsid w:val="17001B29"/>
    <w:rsid w:val="17121E13"/>
    <w:rsid w:val="17467C9B"/>
    <w:rsid w:val="174E1F13"/>
    <w:rsid w:val="174F6390"/>
    <w:rsid w:val="17754B70"/>
    <w:rsid w:val="17890616"/>
    <w:rsid w:val="17944F3B"/>
    <w:rsid w:val="17BD4472"/>
    <w:rsid w:val="18411168"/>
    <w:rsid w:val="185900A5"/>
    <w:rsid w:val="186D3C8F"/>
    <w:rsid w:val="18B8478C"/>
    <w:rsid w:val="18BE211C"/>
    <w:rsid w:val="18E24169"/>
    <w:rsid w:val="18F34DAA"/>
    <w:rsid w:val="18F67650"/>
    <w:rsid w:val="190E1AA1"/>
    <w:rsid w:val="19107C47"/>
    <w:rsid w:val="19275962"/>
    <w:rsid w:val="1930598F"/>
    <w:rsid w:val="1937226C"/>
    <w:rsid w:val="193A61BE"/>
    <w:rsid w:val="19463A4D"/>
    <w:rsid w:val="1964552A"/>
    <w:rsid w:val="19816270"/>
    <w:rsid w:val="19836B79"/>
    <w:rsid w:val="19920104"/>
    <w:rsid w:val="199D583F"/>
    <w:rsid w:val="19BF7EF1"/>
    <w:rsid w:val="19F1318D"/>
    <w:rsid w:val="1A0F056F"/>
    <w:rsid w:val="1A196AD5"/>
    <w:rsid w:val="1A374B0C"/>
    <w:rsid w:val="1A8E41FF"/>
    <w:rsid w:val="1A925D23"/>
    <w:rsid w:val="1AAC6A14"/>
    <w:rsid w:val="1AFE2EA9"/>
    <w:rsid w:val="1B0B6EF6"/>
    <w:rsid w:val="1B13147C"/>
    <w:rsid w:val="1B334F37"/>
    <w:rsid w:val="1B496A6F"/>
    <w:rsid w:val="1B627794"/>
    <w:rsid w:val="1B69081A"/>
    <w:rsid w:val="1B6C3DAA"/>
    <w:rsid w:val="1B941AB8"/>
    <w:rsid w:val="1BA365B0"/>
    <w:rsid w:val="1BD25B68"/>
    <w:rsid w:val="1BEB50BA"/>
    <w:rsid w:val="1BFC6491"/>
    <w:rsid w:val="1C3E01A2"/>
    <w:rsid w:val="1C586AA6"/>
    <w:rsid w:val="1C8769B7"/>
    <w:rsid w:val="1C9F06EC"/>
    <w:rsid w:val="1CA77278"/>
    <w:rsid w:val="1D1C087D"/>
    <w:rsid w:val="1D641D78"/>
    <w:rsid w:val="1D8C5D6F"/>
    <w:rsid w:val="1D9239FE"/>
    <w:rsid w:val="1DA92906"/>
    <w:rsid w:val="1DC74BE0"/>
    <w:rsid w:val="1DCB1D07"/>
    <w:rsid w:val="1DDF62A4"/>
    <w:rsid w:val="1E2D3E41"/>
    <w:rsid w:val="1E505297"/>
    <w:rsid w:val="1E854CCD"/>
    <w:rsid w:val="1E8B17B0"/>
    <w:rsid w:val="1E99180B"/>
    <w:rsid w:val="1E9D5F96"/>
    <w:rsid w:val="1EA46F15"/>
    <w:rsid w:val="1ED61B7A"/>
    <w:rsid w:val="1EF56268"/>
    <w:rsid w:val="1F0B66DB"/>
    <w:rsid w:val="1F1F4F0C"/>
    <w:rsid w:val="1F210353"/>
    <w:rsid w:val="1F34358E"/>
    <w:rsid w:val="1F372518"/>
    <w:rsid w:val="1F4342A2"/>
    <w:rsid w:val="1F5B41AF"/>
    <w:rsid w:val="1F5D0CDC"/>
    <w:rsid w:val="1F6215AE"/>
    <w:rsid w:val="1F8040EE"/>
    <w:rsid w:val="1F8E5886"/>
    <w:rsid w:val="1FAE3828"/>
    <w:rsid w:val="1FB47724"/>
    <w:rsid w:val="1FDE239D"/>
    <w:rsid w:val="1FE06E2E"/>
    <w:rsid w:val="1FEC5CDC"/>
    <w:rsid w:val="1FF80AA7"/>
    <w:rsid w:val="20456360"/>
    <w:rsid w:val="20596622"/>
    <w:rsid w:val="20F53628"/>
    <w:rsid w:val="20FA2EF5"/>
    <w:rsid w:val="216026AD"/>
    <w:rsid w:val="21816433"/>
    <w:rsid w:val="21884438"/>
    <w:rsid w:val="218D0D97"/>
    <w:rsid w:val="221D28B8"/>
    <w:rsid w:val="22550588"/>
    <w:rsid w:val="228322F7"/>
    <w:rsid w:val="229258D4"/>
    <w:rsid w:val="229F1605"/>
    <w:rsid w:val="22D749D4"/>
    <w:rsid w:val="22F91528"/>
    <w:rsid w:val="230902E2"/>
    <w:rsid w:val="235625FE"/>
    <w:rsid w:val="236D2BA1"/>
    <w:rsid w:val="23914141"/>
    <w:rsid w:val="23AD4BC7"/>
    <w:rsid w:val="23BB1649"/>
    <w:rsid w:val="23C558A3"/>
    <w:rsid w:val="23FF4F2D"/>
    <w:rsid w:val="24155110"/>
    <w:rsid w:val="24316838"/>
    <w:rsid w:val="2435696F"/>
    <w:rsid w:val="24364976"/>
    <w:rsid w:val="24373708"/>
    <w:rsid w:val="24394BD5"/>
    <w:rsid w:val="244E4CA1"/>
    <w:rsid w:val="24927B7A"/>
    <w:rsid w:val="24967A99"/>
    <w:rsid w:val="24A83768"/>
    <w:rsid w:val="24B26F2F"/>
    <w:rsid w:val="24B37B8D"/>
    <w:rsid w:val="24C84F26"/>
    <w:rsid w:val="24D311EE"/>
    <w:rsid w:val="25345B4E"/>
    <w:rsid w:val="25387AA9"/>
    <w:rsid w:val="254240F4"/>
    <w:rsid w:val="25573E56"/>
    <w:rsid w:val="257208EB"/>
    <w:rsid w:val="25A33BCC"/>
    <w:rsid w:val="25B5787E"/>
    <w:rsid w:val="25EA1691"/>
    <w:rsid w:val="260E3952"/>
    <w:rsid w:val="26107617"/>
    <w:rsid w:val="26A47E5D"/>
    <w:rsid w:val="26AA4CB3"/>
    <w:rsid w:val="26D52D95"/>
    <w:rsid w:val="26E4702E"/>
    <w:rsid w:val="26F3441D"/>
    <w:rsid w:val="273E3DCF"/>
    <w:rsid w:val="274F086B"/>
    <w:rsid w:val="275A7260"/>
    <w:rsid w:val="277E072C"/>
    <w:rsid w:val="27A43266"/>
    <w:rsid w:val="281B2092"/>
    <w:rsid w:val="2844404F"/>
    <w:rsid w:val="28686F6B"/>
    <w:rsid w:val="287C4B13"/>
    <w:rsid w:val="288453FB"/>
    <w:rsid w:val="28A85592"/>
    <w:rsid w:val="28EA3BD2"/>
    <w:rsid w:val="2911194D"/>
    <w:rsid w:val="292472CC"/>
    <w:rsid w:val="293B4651"/>
    <w:rsid w:val="299A0DF2"/>
    <w:rsid w:val="29E74DB9"/>
    <w:rsid w:val="29F9443D"/>
    <w:rsid w:val="2A1F7F01"/>
    <w:rsid w:val="2A234CF8"/>
    <w:rsid w:val="2A2F09CB"/>
    <w:rsid w:val="2A54523E"/>
    <w:rsid w:val="2A7A0304"/>
    <w:rsid w:val="2A8E360B"/>
    <w:rsid w:val="2AC15152"/>
    <w:rsid w:val="2AE812B0"/>
    <w:rsid w:val="2AFE2CF5"/>
    <w:rsid w:val="2B1A7D5B"/>
    <w:rsid w:val="2B2A7274"/>
    <w:rsid w:val="2B480E94"/>
    <w:rsid w:val="2B511D8F"/>
    <w:rsid w:val="2BB34E68"/>
    <w:rsid w:val="2BD42569"/>
    <w:rsid w:val="2BD51D1A"/>
    <w:rsid w:val="2BDE5723"/>
    <w:rsid w:val="2BFC1100"/>
    <w:rsid w:val="2BFD6B2C"/>
    <w:rsid w:val="2C07667A"/>
    <w:rsid w:val="2C3A384F"/>
    <w:rsid w:val="2C3F48B1"/>
    <w:rsid w:val="2C6B548A"/>
    <w:rsid w:val="2C6C1A97"/>
    <w:rsid w:val="2C732C6A"/>
    <w:rsid w:val="2C845CDA"/>
    <w:rsid w:val="2C897800"/>
    <w:rsid w:val="2C944894"/>
    <w:rsid w:val="2CAE031B"/>
    <w:rsid w:val="2CC340F1"/>
    <w:rsid w:val="2CC52D26"/>
    <w:rsid w:val="2CDE7F76"/>
    <w:rsid w:val="2CE225F1"/>
    <w:rsid w:val="2D6A3D59"/>
    <w:rsid w:val="2D7F7704"/>
    <w:rsid w:val="2DA67C83"/>
    <w:rsid w:val="2DBB5DEC"/>
    <w:rsid w:val="2DBC3A23"/>
    <w:rsid w:val="2DCF6D5C"/>
    <w:rsid w:val="2DD2435E"/>
    <w:rsid w:val="2DDA0F11"/>
    <w:rsid w:val="2E251992"/>
    <w:rsid w:val="2E857D43"/>
    <w:rsid w:val="2E88621F"/>
    <w:rsid w:val="2EE849B5"/>
    <w:rsid w:val="2F254694"/>
    <w:rsid w:val="2F63319E"/>
    <w:rsid w:val="2F6378EA"/>
    <w:rsid w:val="2F78669A"/>
    <w:rsid w:val="2FE81017"/>
    <w:rsid w:val="30041B84"/>
    <w:rsid w:val="30123FEB"/>
    <w:rsid w:val="301B6FF2"/>
    <w:rsid w:val="303D4090"/>
    <w:rsid w:val="304A2D5E"/>
    <w:rsid w:val="304E156E"/>
    <w:rsid w:val="306014A4"/>
    <w:rsid w:val="3098092F"/>
    <w:rsid w:val="30FF3D67"/>
    <w:rsid w:val="31096F6D"/>
    <w:rsid w:val="3172518C"/>
    <w:rsid w:val="31784833"/>
    <w:rsid w:val="317D2E78"/>
    <w:rsid w:val="31CC3FEF"/>
    <w:rsid w:val="31FB67DB"/>
    <w:rsid w:val="32002800"/>
    <w:rsid w:val="320228D4"/>
    <w:rsid w:val="3215066A"/>
    <w:rsid w:val="32421E28"/>
    <w:rsid w:val="32552768"/>
    <w:rsid w:val="3263144B"/>
    <w:rsid w:val="3281470E"/>
    <w:rsid w:val="32957EB0"/>
    <w:rsid w:val="32E64F1C"/>
    <w:rsid w:val="32F01EC8"/>
    <w:rsid w:val="33363E5A"/>
    <w:rsid w:val="339350F8"/>
    <w:rsid w:val="3397413C"/>
    <w:rsid w:val="33A57054"/>
    <w:rsid w:val="33A927E4"/>
    <w:rsid w:val="33AD56F2"/>
    <w:rsid w:val="33D80D1E"/>
    <w:rsid w:val="33D9732B"/>
    <w:rsid w:val="33DE0C83"/>
    <w:rsid w:val="33E41125"/>
    <w:rsid w:val="33E85239"/>
    <w:rsid w:val="340E521C"/>
    <w:rsid w:val="34387150"/>
    <w:rsid w:val="346C0C67"/>
    <w:rsid w:val="346D2BB9"/>
    <w:rsid w:val="3487076D"/>
    <w:rsid w:val="348D3FA1"/>
    <w:rsid w:val="349B6071"/>
    <w:rsid w:val="34FA4251"/>
    <w:rsid w:val="35267DE2"/>
    <w:rsid w:val="356C04F7"/>
    <w:rsid w:val="358F1D3A"/>
    <w:rsid w:val="35B643BF"/>
    <w:rsid w:val="35B725EA"/>
    <w:rsid w:val="360A1E56"/>
    <w:rsid w:val="361A02BA"/>
    <w:rsid w:val="363142C7"/>
    <w:rsid w:val="364D617D"/>
    <w:rsid w:val="36817018"/>
    <w:rsid w:val="36825C1B"/>
    <w:rsid w:val="36A54C85"/>
    <w:rsid w:val="37005F84"/>
    <w:rsid w:val="37021670"/>
    <w:rsid w:val="371E5B87"/>
    <w:rsid w:val="37215606"/>
    <w:rsid w:val="373550A7"/>
    <w:rsid w:val="37421EB0"/>
    <w:rsid w:val="378B0F60"/>
    <w:rsid w:val="378F28F2"/>
    <w:rsid w:val="37D804DF"/>
    <w:rsid w:val="37EE46E3"/>
    <w:rsid w:val="381845C8"/>
    <w:rsid w:val="38697B6E"/>
    <w:rsid w:val="386E01BD"/>
    <w:rsid w:val="387E02C6"/>
    <w:rsid w:val="38982A03"/>
    <w:rsid w:val="38AF54AC"/>
    <w:rsid w:val="38E56C7E"/>
    <w:rsid w:val="38F7170F"/>
    <w:rsid w:val="392369AD"/>
    <w:rsid w:val="394E1305"/>
    <w:rsid w:val="394E7E03"/>
    <w:rsid w:val="399E04D4"/>
    <w:rsid w:val="3A1D6E92"/>
    <w:rsid w:val="3A3C201C"/>
    <w:rsid w:val="3A540FAB"/>
    <w:rsid w:val="3A580C84"/>
    <w:rsid w:val="3ADE176E"/>
    <w:rsid w:val="3B4C4A5C"/>
    <w:rsid w:val="3B745F81"/>
    <w:rsid w:val="3BB1461F"/>
    <w:rsid w:val="3BB81B57"/>
    <w:rsid w:val="3BCE4B2D"/>
    <w:rsid w:val="3BEE2A33"/>
    <w:rsid w:val="3C346A7E"/>
    <w:rsid w:val="3C476AC5"/>
    <w:rsid w:val="3C86026E"/>
    <w:rsid w:val="3C9515D6"/>
    <w:rsid w:val="3C961F46"/>
    <w:rsid w:val="3CBB523E"/>
    <w:rsid w:val="3CDC272E"/>
    <w:rsid w:val="3CFE1CD4"/>
    <w:rsid w:val="3D0050EA"/>
    <w:rsid w:val="3D080A13"/>
    <w:rsid w:val="3D0F10A4"/>
    <w:rsid w:val="3D397751"/>
    <w:rsid w:val="3D8A3861"/>
    <w:rsid w:val="3D9A4EE8"/>
    <w:rsid w:val="3DA87454"/>
    <w:rsid w:val="3DEB5528"/>
    <w:rsid w:val="3E157672"/>
    <w:rsid w:val="3E2678C4"/>
    <w:rsid w:val="3E375814"/>
    <w:rsid w:val="3E450DDD"/>
    <w:rsid w:val="3E5844AB"/>
    <w:rsid w:val="3E6876C0"/>
    <w:rsid w:val="3E9148BF"/>
    <w:rsid w:val="3E9D4A2B"/>
    <w:rsid w:val="3EA06DD4"/>
    <w:rsid w:val="3EA91F6F"/>
    <w:rsid w:val="3ECC4745"/>
    <w:rsid w:val="3EE42B43"/>
    <w:rsid w:val="3F1E105F"/>
    <w:rsid w:val="3F26566B"/>
    <w:rsid w:val="3F545FE3"/>
    <w:rsid w:val="3F9A6DC7"/>
    <w:rsid w:val="3FA6638B"/>
    <w:rsid w:val="3FB01EAE"/>
    <w:rsid w:val="3FC405D4"/>
    <w:rsid w:val="3FD22255"/>
    <w:rsid w:val="3FE133E3"/>
    <w:rsid w:val="3FE86352"/>
    <w:rsid w:val="40040D62"/>
    <w:rsid w:val="40507C10"/>
    <w:rsid w:val="40DF6FDB"/>
    <w:rsid w:val="411777A2"/>
    <w:rsid w:val="412E4E35"/>
    <w:rsid w:val="41356A56"/>
    <w:rsid w:val="414A0DAE"/>
    <w:rsid w:val="414A63C1"/>
    <w:rsid w:val="41657CC9"/>
    <w:rsid w:val="418D64AD"/>
    <w:rsid w:val="41904B8C"/>
    <w:rsid w:val="41B71800"/>
    <w:rsid w:val="41D83CF6"/>
    <w:rsid w:val="41DE24B3"/>
    <w:rsid w:val="41DF082E"/>
    <w:rsid w:val="41FF4725"/>
    <w:rsid w:val="42093B89"/>
    <w:rsid w:val="42131AF3"/>
    <w:rsid w:val="422E6049"/>
    <w:rsid w:val="423A3E16"/>
    <w:rsid w:val="423E53DF"/>
    <w:rsid w:val="424777EF"/>
    <w:rsid w:val="425302F4"/>
    <w:rsid w:val="42662F3D"/>
    <w:rsid w:val="42823DC1"/>
    <w:rsid w:val="428A3320"/>
    <w:rsid w:val="429C4901"/>
    <w:rsid w:val="42CD0CE8"/>
    <w:rsid w:val="42DD7807"/>
    <w:rsid w:val="42F84122"/>
    <w:rsid w:val="433272A9"/>
    <w:rsid w:val="43441161"/>
    <w:rsid w:val="4370198C"/>
    <w:rsid w:val="439434A1"/>
    <w:rsid w:val="43A13AA6"/>
    <w:rsid w:val="43A15AAA"/>
    <w:rsid w:val="43AA1F96"/>
    <w:rsid w:val="43E34024"/>
    <w:rsid w:val="44027F67"/>
    <w:rsid w:val="44164345"/>
    <w:rsid w:val="44381396"/>
    <w:rsid w:val="444C167C"/>
    <w:rsid w:val="445C1B40"/>
    <w:rsid w:val="44752521"/>
    <w:rsid w:val="44850948"/>
    <w:rsid w:val="44925DD6"/>
    <w:rsid w:val="44AB6C5C"/>
    <w:rsid w:val="44D71A49"/>
    <w:rsid w:val="44F821DC"/>
    <w:rsid w:val="453E61B7"/>
    <w:rsid w:val="454F24DE"/>
    <w:rsid w:val="4562796E"/>
    <w:rsid w:val="4569785F"/>
    <w:rsid w:val="45876E36"/>
    <w:rsid w:val="458C1F21"/>
    <w:rsid w:val="45C3100E"/>
    <w:rsid w:val="45CC21F3"/>
    <w:rsid w:val="45D0372E"/>
    <w:rsid w:val="46263F3F"/>
    <w:rsid w:val="462A2075"/>
    <w:rsid w:val="46405E96"/>
    <w:rsid w:val="46896764"/>
    <w:rsid w:val="468D0BFB"/>
    <w:rsid w:val="468D47AA"/>
    <w:rsid w:val="46944E44"/>
    <w:rsid w:val="46AF7711"/>
    <w:rsid w:val="46B52F4D"/>
    <w:rsid w:val="46E2254E"/>
    <w:rsid w:val="47054D22"/>
    <w:rsid w:val="476D4EB9"/>
    <w:rsid w:val="47815B20"/>
    <w:rsid w:val="478B0798"/>
    <w:rsid w:val="479B241D"/>
    <w:rsid w:val="47A050E2"/>
    <w:rsid w:val="47A73518"/>
    <w:rsid w:val="47E1492E"/>
    <w:rsid w:val="47FA3B99"/>
    <w:rsid w:val="480A77CA"/>
    <w:rsid w:val="481A76F1"/>
    <w:rsid w:val="483B5A18"/>
    <w:rsid w:val="484F14D7"/>
    <w:rsid w:val="4859201F"/>
    <w:rsid w:val="48602A9A"/>
    <w:rsid w:val="48662E08"/>
    <w:rsid w:val="486A772E"/>
    <w:rsid w:val="488854A6"/>
    <w:rsid w:val="489C07F5"/>
    <w:rsid w:val="48A37F2A"/>
    <w:rsid w:val="48DF27F4"/>
    <w:rsid w:val="48E53F90"/>
    <w:rsid w:val="48F57685"/>
    <w:rsid w:val="492B442F"/>
    <w:rsid w:val="49412255"/>
    <w:rsid w:val="49431BF1"/>
    <w:rsid w:val="495D0337"/>
    <w:rsid w:val="497708B3"/>
    <w:rsid w:val="49B7558B"/>
    <w:rsid w:val="49FD2621"/>
    <w:rsid w:val="4A045F3E"/>
    <w:rsid w:val="4A59462F"/>
    <w:rsid w:val="4A5C4D4D"/>
    <w:rsid w:val="4A6A1127"/>
    <w:rsid w:val="4A8A1634"/>
    <w:rsid w:val="4ACD12A0"/>
    <w:rsid w:val="4AD03D62"/>
    <w:rsid w:val="4AE40970"/>
    <w:rsid w:val="4AFD5AE4"/>
    <w:rsid w:val="4B220174"/>
    <w:rsid w:val="4B395ABA"/>
    <w:rsid w:val="4B3B0B2E"/>
    <w:rsid w:val="4B47368C"/>
    <w:rsid w:val="4B4E470F"/>
    <w:rsid w:val="4B51149D"/>
    <w:rsid w:val="4B525702"/>
    <w:rsid w:val="4B602516"/>
    <w:rsid w:val="4B777960"/>
    <w:rsid w:val="4B846F63"/>
    <w:rsid w:val="4B937E39"/>
    <w:rsid w:val="4BA96A5A"/>
    <w:rsid w:val="4BAC5B80"/>
    <w:rsid w:val="4BC31E2C"/>
    <w:rsid w:val="4BEA70AC"/>
    <w:rsid w:val="4BFD123B"/>
    <w:rsid w:val="4C136A1B"/>
    <w:rsid w:val="4C1577E4"/>
    <w:rsid w:val="4C252311"/>
    <w:rsid w:val="4C4D144A"/>
    <w:rsid w:val="4C4F6812"/>
    <w:rsid w:val="4C776B62"/>
    <w:rsid w:val="4C84260F"/>
    <w:rsid w:val="4C911FB8"/>
    <w:rsid w:val="4CC13BCD"/>
    <w:rsid w:val="4D31338A"/>
    <w:rsid w:val="4D6028FC"/>
    <w:rsid w:val="4D803A96"/>
    <w:rsid w:val="4D8D4B13"/>
    <w:rsid w:val="4DBB621B"/>
    <w:rsid w:val="4DD668C8"/>
    <w:rsid w:val="4E4C0D76"/>
    <w:rsid w:val="4E58037D"/>
    <w:rsid w:val="4E641A5D"/>
    <w:rsid w:val="4E7D68CD"/>
    <w:rsid w:val="4E8431A4"/>
    <w:rsid w:val="4E853773"/>
    <w:rsid w:val="4E887E00"/>
    <w:rsid w:val="4E986A1C"/>
    <w:rsid w:val="4EB606A1"/>
    <w:rsid w:val="4EDD6CFE"/>
    <w:rsid w:val="4EE91132"/>
    <w:rsid w:val="4F0E7B59"/>
    <w:rsid w:val="4F2933CD"/>
    <w:rsid w:val="4F3255F1"/>
    <w:rsid w:val="4F3506FC"/>
    <w:rsid w:val="4F483996"/>
    <w:rsid w:val="4F4F385B"/>
    <w:rsid w:val="4F595ED0"/>
    <w:rsid w:val="4F6D45ED"/>
    <w:rsid w:val="4F7E0E68"/>
    <w:rsid w:val="4F936931"/>
    <w:rsid w:val="4F94147A"/>
    <w:rsid w:val="4F944110"/>
    <w:rsid w:val="4F9718A4"/>
    <w:rsid w:val="4FB50910"/>
    <w:rsid w:val="4FBE4546"/>
    <w:rsid w:val="4FD6655D"/>
    <w:rsid w:val="4FEE05DB"/>
    <w:rsid w:val="4FF51B77"/>
    <w:rsid w:val="500D5E92"/>
    <w:rsid w:val="50323F22"/>
    <w:rsid w:val="503C7680"/>
    <w:rsid w:val="506D4990"/>
    <w:rsid w:val="50713A69"/>
    <w:rsid w:val="507B2801"/>
    <w:rsid w:val="50A53EF6"/>
    <w:rsid w:val="50AB1442"/>
    <w:rsid w:val="50D82C2D"/>
    <w:rsid w:val="50DA1CD4"/>
    <w:rsid w:val="51134911"/>
    <w:rsid w:val="51302BAF"/>
    <w:rsid w:val="51427FD2"/>
    <w:rsid w:val="514C75D7"/>
    <w:rsid w:val="51671DCF"/>
    <w:rsid w:val="5191703B"/>
    <w:rsid w:val="51974F98"/>
    <w:rsid w:val="51BF526D"/>
    <w:rsid w:val="51F317F1"/>
    <w:rsid w:val="51F735B7"/>
    <w:rsid w:val="51F913F8"/>
    <w:rsid w:val="52064F82"/>
    <w:rsid w:val="52173835"/>
    <w:rsid w:val="523017D3"/>
    <w:rsid w:val="523306AF"/>
    <w:rsid w:val="524759E2"/>
    <w:rsid w:val="52A464F5"/>
    <w:rsid w:val="52CE21BE"/>
    <w:rsid w:val="52EE5BCD"/>
    <w:rsid w:val="532B43AF"/>
    <w:rsid w:val="53933496"/>
    <w:rsid w:val="53D917BE"/>
    <w:rsid w:val="53D93B62"/>
    <w:rsid w:val="53DB63D9"/>
    <w:rsid w:val="53FD1CC8"/>
    <w:rsid w:val="542C5B45"/>
    <w:rsid w:val="54380891"/>
    <w:rsid w:val="544F679B"/>
    <w:rsid w:val="548C7ADB"/>
    <w:rsid w:val="548E621E"/>
    <w:rsid w:val="549429B4"/>
    <w:rsid w:val="549D2FFC"/>
    <w:rsid w:val="54AB349F"/>
    <w:rsid w:val="54B23EF0"/>
    <w:rsid w:val="54B3283A"/>
    <w:rsid w:val="54C62B68"/>
    <w:rsid w:val="54E35FFA"/>
    <w:rsid w:val="54E44934"/>
    <w:rsid w:val="54E95DEA"/>
    <w:rsid w:val="551F1F92"/>
    <w:rsid w:val="5563041A"/>
    <w:rsid w:val="556A24B5"/>
    <w:rsid w:val="55782F18"/>
    <w:rsid w:val="558615ED"/>
    <w:rsid w:val="559148ED"/>
    <w:rsid w:val="55D209EB"/>
    <w:rsid w:val="56346536"/>
    <w:rsid w:val="56504DB5"/>
    <w:rsid w:val="565E77A6"/>
    <w:rsid w:val="56766715"/>
    <w:rsid w:val="567D5071"/>
    <w:rsid w:val="568E6C26"/>
    <w:rsid w:val="56A31D6B"/>
    <w:rsid w:val="56B60CEC"/>
    <w:rsid w:val="56D01905"/>
    <w:rsid w:val="57151831"/>
    <w:rsid w:val="571A02BA"/>
    <w:rsid w:val="57300DE0"/>
    <w:rsid w:val="57312283"/>
    <w:rsid w:val="57344ED7"/>
    <w:rsid w:val="5785579A"/>
    <w:rsid w:val="5788766C"/>
    <w:rsid w:val="578B5A79"/>
    <w:rsid w:val="57BB10C8"/>
    <w:rsid w:val="57BF529F"/>
    <w:rsid w:val="57E85A08"/>
    <w:rsid w:val="57E96566"/>
    <w:rsid w:val="57F17EDF"/>
    <w:rsid w:val="57FA2F78"/>
    <w:rsid w:val="581948F8"/>
    <w:rsid w:val="58341B72"/>
    <w:rsid w:val="58472389"/>
    <w:rsid w:val="58504C20"/>
    <w:rsid w:val="588960CE"/>
    <w:rsid w:val="588A52B8"/>
    <w:rsid w:val="58D76460"/>
    <w:rsid w:val="58FE431B"/>
    <w:rsid w:val="59012F83"/>
    <w:rsid w:val="59141537"/>
    <w:rsid w:val="592F0743"/>
    <w:rsid w:val="59517EF1"/>
    <w:rsid w:val="5960546C"/>
    <w:rsid w:val="59647CCC"/>
    <w:rsid w:val="59772677"/>
    <w:rsid w:val="598D22F5"/>
    <w:rsid w:val="59943014"/>
    <w:rsid w:val="59EA4DE3"/>
    <w:rsid w:val="59EF6C4C"/>
    <w:rsid w:val="5A042E38"/>
    <w:rsid w:val="5A2B078A"/>
    <w:rsid w:val="5A411E6D"/>
    <w:rsid w:val="5A5C7A23"/>
    <w:rsid w:val="5A6F1748"/>
    <w:rsid w:val="5A776AD1"/>
    <w:rsid w:val="5ACA5BBF"/>
    <w:rsid w:val="5AF8718A"/>
    <w:rsid w:val="5B0B67FF"/>
    <w:rsid w:val="5B1D08C7"/>
    <w:rsid w:val="5B2D4C55"/>
    <w:rsid w:val="5B4655DB"/>
    <w:rsid w:val="5B787D6A"/>
    <w:rsid w:val="5B9865F5"/>
    <w:rsid w:val="5B9A34F7"/>
    <w:rsid w:val="5BA903FE"/>
    <w:rsid w:val="5BAC0078"/>
    <w:rsid w:val="5BBD0E96"/>
    <w:rsid w:val="5BD460F3"/>
    <w:rsid w:val="5BFE1C9C"/>
    <w:rsid w:val="5C3D5A26"/>
    <w:rsid w:val="5C446B50"/>
    <w:rsid w:val="5C77472A"/>
    <w:rsid w:val="5C8417F8"/>
    <w:rsid w:val="5CCA4528"/>
    <w:rsid w:val="5CD84D86"/>
    <w:rsid w:val="5CD94B8D"/>
    <w:rsid w:val="5CDE1875"/>
    <w:rsid w:val="5CE8345D"/>
    <w:rsid w:val="5CEF4331"/>
    <w:rsid w:val="5D0E4EAC"/>
    <w:rsid w:val="5D1B32DB"/>
    <w:rsid w:val="5D1F1B07"/>
    <w:rsid w:val="5D3B6243"/>
    <w:rsid w:val="5D734A8C"/>
    <w:rsid w:val="5D7D219E"/>
    <w:rsid w:val="5DB8579A"/>
    <w:rsid w:val="5DD00786"/>
    <w:rsid w:val="5E337662"/>
    <w:rsid w:val="5E372625"/>
    <w:rsid w:val="5EB45060"/>
    <w:rsid w:val="5ECD68B0"/>
    <w:rsid w:val="5EE5383B"/>
    <w:rsid w:val="5F0130E0"/>
    <w:rsid w:val="5F0913F4"/>
    <w:rsid w:val="5F0B76A1"/>
    <w:rsid w:val="5F35039C"/>
    <w:rsid w:val="5F873B8B"/>
    <w:rsid w:val="5F994379"/>
    <w:rsid w:val="5FA81523"/>
    <w:rsid w:val="5FBD41EE"/>
    <w:rsid w:val="5FE753C1"/>
    <w:rsid w:val="600C4A72"/>
    <w:rsid w:val="60240D7B"/>
    <w:rsid w:val="605206D2"/>
    <w:rsid w:val="60906C00"/>
    <w:rsid w:val="609975CA"/>
    <w:rsid w:val="609C3F0E"/>
    <w:rsid w:val="60A54FE3"/>
    <w:rsid w:val="60AC6CF8"/>
    <w:rsid w:val="60BE2430"/>
    <w:rsid w:val="60E21589"/>
    <w:rsid w:val="60F444C7"/>
    <w:rsid w:val="610875D8"/>
    <w:rsid w:val="61186B6D"/>
    <w:rsid w:val="61514FEF"/>
    <w:rsid w:val="619817AB"/>
    <w:rsid w:val="61A70E7C"/>
    <w:rsid w:val="61AA0AD6"/>
    <w:rsid w:val="61CC22AF"/>
    <w:rsid w:val="61E84D74"/>
    <w:rsid w:val="62247BFB"/>
    <w:rsid w:val="6225755E"/>
    <w:rsid w:val="623222DC"/>
    <w:rsid w:val="624A360B"/>
    <w:rsid w:val="6269004C"/>
    <w:rsid w:val="62822677"/>
    <w:rsid w:val="628B60A3"/>
    <w:rsid w:val="62953985"/>
    <w:rsid w:val="62A90DBE"/>
    <w:rsid w:val="62AE4C7E"/>
    <w:rsid w:val="62D07623"/>
    <w:rsid w:val="62E614B7"/>
    <w:rsid w:val="62F3081D"/>
    <w:rsid w:val="62FA37E7"/>
    <w:rsid w:val="632572EB"/>
    <w:rsid w:val="63264924"/>
    <w:rsid w:val="633D4AD3"/>
    <w:rsid w:val="634B693E"/>
    <w:rsid w:val="634E136F"/>
    <w:rsid w:val="637E5BD6"/>
    <w:rsid w:val="63A50082"/>
    <w:rsid w:val="63B74D9E"/>
    <w:rsid w:val="63C56EFA"/>
    <w:rsid w:val="63DA2201"/>
    <w:rsid w:val="63EB57FA"/>
    <w:rsid w:val="6403269A"/>
    <w:rsid w:val="64227DA7"/>
    <w:rsid w:val="649066BC"/>
    <w:rsid w:val="64987C7B"/>
    <w:rsid w:val="64E80036"/>
    <w:rsid w:val="64FD048B"/>
    <w:rsid w:val="64FE6B46"/>
    <w:rsid w:val="651F139A"/>
    <w:rsid w:val="652F01B6"/>
    <w:rsid w:val="65363E5D"/>
    <w:rsid w:val="656B05DA"/>
    <w:rsid w:val="65754F21"/>
    <w:rsid w:val="65850422"/>
    <w:rsid w:val="65A12916"/>
    <w:rsid w:val="65A91068"/>
    <w:rsid w:val="65BA3506"/>
    <w:rsid w:val="65C23CD2"/>
    <w:rsid w:val="65E732BF"/>
    <w:rsid w:val="65EF54FB"/>
    <w:rsid w:val="66442C92"/>
    <w:rsid w:val="6649017B"/>
    <w:rsid w:val="66597C39"/>
    <w:rsid w:val="667235E2"/>
    <w:rsid w:val="667E2BCA"/>
    <w:rsid w:val="66823150"/>
    <w:rsid w:val="66B94844"/>
    <w:rsid w:val="66E7058A"/>
    <w:rsid w:val="670559B4"/>
    <w:rsid w:val="670E0FEC"/>
    <w:rsid w:val="67537751"/>
    <w:rsid w:val="67571342"/>
    <w:rsid w:val="67632F91"/>
    <w:rsid w:val="67706183"/>
    <w:rsid w:val="678446EB"/>
    <w:rsid w:val="67865033"/>
    <w:rsid w:val="67912171"/>
    <w:rsid w:val="67DD3D47"/>
    <w:rsid w:val="67FB1B32"/>
    <w:rsid w:val="68122907"/>
    <w:rsid w:val="68122B69"/>
    <w:rsid w:val="684F7690"/>
    <w:rsid w:val="685157D6"/>
    <w:rsid w:val="685F7FD6"/>
    <w:rsid w:val="686A45B5"/>
    <w:rsid w:val="686B601B"/>
    <w:rsid w:val="68A370D2"/>
    <w:rsid w:val="68A9418F"/>
    <w:rsid w:val="68AA053D"/>
    <w:rsid w:val="68CE0CD7"/>
    <w:rsid w:val="6928073E"/>
    <w:rsid w:val="693B4CCA"/>
    <w:rsid w:val="69582FFB"/>
    <w:rsid w:val="6964570E"/>
    <w:rsid w:val="697E2270"/>
    <w:rsid w:val="69FB19E6"/>
    <w:rsid w:val="6A097F7E"/>
    <w:rsid w:val="6A286DE4"/>
    <w:rsid w:val="6A45310E"/>
    <w:rsid w:val="6AA93FCB"/>
    <w:rsid w:val="6AB13FD8"/>
    <w:rsid w:val="6AB159F8"/>
    <w:rsid w:val="6ABD6F55"/>
    <w:rsid w:val="6AC21C2D"/>
    <w:rsid w:val="6ACA5E74"/>
    <w:rsid w:val="6AD7127C"/>
    <w:rsid w:val="6AD86F37"/>
    <w:rsid w:val="6AE974C5"/>
    <w:rsid w:val="6AEE1F84"/>
    <w:rsid w:val="6AF53C4C"/>
    <w:rsid w:val="6B013DA8"/>
    <w:rsid w:val="6B0B0417"/>
    <w:rsid w:val="6B1764DC"/>
    <w:rsid w:val="6B203403"/>
    <w:rsid w:val="6B381CDA"/>
    <w:rsid w:val="6B515AAF"/>
    <w:rsid w:val="6B5B4494"/>
    <w:rsid w:val="6B651401"/>
    <w:rsid w:val="6B805E3E"/>
    <w:rsid w:val="6B816113"/>
    <w:rsid w:val="6B9E4C18"/>
    <w:rsid w:val="6BD03DFF"/>
    <w:rsid w:val="6BE06C2C"/>
    <w:rsid w:val="6BE638D1"/>
    <w:rsid w:val="6BEF0E68"/>
    <w:rsid w:val="6BFF6213"/>
    <w:rsid w:val="6C0E681D"/>
    <w:rsid w:val="6C2C7626"/>
    <w:rsid w:val="6C2F6A44"/>
    <w:rsid w:val="6C3735CD"/>
    <w:rsid w:val="6C450D78"/>
    <w:rsid w:val="6C822692"/>
    <w:rsid w:val="6D1D5887"/>
    <w:rsid w:val="6D1F6BCC"/>
    <w:rsid w:val="6D2C0F60"/>
    <w:rsid w:val="6D3531E3"/>
    <w:rsid w:val="6D590F57"/>
    <w:rsid w:val="6D6A5FD5"/>
    <w:rsid w:val="6D870F72"/>
    <w:rsid w:val="6D970C04"/>
    <w:rsid w:val="6DBE62A9"/>
    <w:rsid w:val="6DE67DD8"/>
    <w:rsid w:val="6DFB073A"/>
    <w:rsid w:val="6E1F1044"/>
    <w:rsid w:val="6E221A1F"/>
    <w:rsid w:val="6E2F3C8F"/>
    <w:rsid w:val="6E4B4710"/>
    <w:rsid w:val="6E7B0605"/>
    <w:rsid w:val="6E7F4F1F"/>
    <w:rsid w:val="6EB92785"/>
    <w:rsid w:val="6EC03952"/>
    <w:rsid w:val="6ECA1FA7"/>
    <w:rsid w:val="6F1C7C97"/>
    <w:rsid w:val="6F27011C"/>
    <w:rsid w:val="6F3A5C63"/>
    <w:rsid w:val="6F432DEE"/>
    <w:rsid w:val="6F663E19"/>
    <w:rsid w:val="6F6C3DDC"/>
    <w:rsid w:val="6F7C7BF9"/>
    <w:rsid w:val="6F8C4CAB"/>
    <w:rsid w:val="6FC14A22"/>
    <w:rsid w:val="6FE9094D"/>
    <w:rsid w:val="6FF02E79"/>
    <w:rsid w:val="6FF1610F"/>
    <w:rsid w:val="70332FE1"/>
    <w:rsid w:val="70576A30"/>
    <w:rsid w:val="706A2557"/>
    <w:rsid w:val="70882CED"/>
    <w:rsid w:val="70C44266"/>
    <w:rsid w:val="70EB4A57"/>
    <w:rsid w:val="71035822"/>
    <w:rsid w:val="71092E2C"/>
    <w:rsid w:val="71366148"/>
    <w:rsid w:val="716426A9"/>
    <w:rsid w:val="7194538F"/>
    <w:rsid w:val="71986C60"/>
    <w:rsid w:val="719A2A96"/>
    <w:rsid w:val="71A952D7"/>
    <w:rsid w:val="71B7395E"/>
    <w:rsid w:val="71C96676"/>
    <w:rsid w:val="72096185"/>
    <w:rsid w:val="722739D7"/>
    <w:rsid w:val="72374D38"/>
    <w:rsid w:val="72513C80"/>
    <w:rsid w:val="725C0371"/>
    <w:rsid w:val="729758AB"/>
    <w:rsid w:val="72BA1641"/>
    <w:rsid w:val="72D024AF"/>
    <w:rsid w:val="72E75F62"/>
    <w:rsid w:val="72EA5A24"/>
    <w:rsid w:val="733324BE"/>
    <w:rsid w:val="733A12D6"/>
    <w:rsid w:val="73586C67"/>
    <w:rsid w:val="73686448"/>
    <w:rsid w:val="736D7E0B"/>
    <w:rsid w:val="73E958C8"/>
    <w:rsid w:val="74286663"/>
    <w:rsid w:val="746C599D"/>
    <w:rsid w:val="748B13F9"/>
    <w:rsid w:val="748B4DE1"/>
    <w:rsid w:val="74A338FF"/>
    <w:rsid w:val="74B119EC"/>
    <w:rsid w:val="74B13090"/>
    <w:rsid w:val="74C740AC"/>
    <w:rsid w:val="74E13420"/>
    <w:rsid w:val="74FB2DA6"/>
    <w:rsid w:val="75294009"/>
    <w:rsid w:val="755B5E94"/>
    <w:rsid w:val="756901D2"/>
    <w:rsid w:val="75894771"/>
    <w:rsid w:val="75CA7268"/>
    <w:rsid w:val="75E80B1C"/>
    <w:rsid w:val="76147B83"/>
    <w:rsid w:val="76732D22"/>
    <w:rsid w:val="767377D0"/>
    <w:rsid w:val="76A411C8"/>
    <w:rsid w:val="76B409E6"/>
    <w:rsid w:val="76D21DEA"/>
    <w:rsid w:val="76FD12E3"/>
    <w:rsid w:val="77010EC3"/>
    <w:rsid w:val="77091814"/>
    <w:rsid w:val="77093976"/>
    <w:rsid w:val="777F6A06"/>
    <w:rsid w:val="7783129B"/>
    <w:rsid w:val="77925157"/>
    <w:rsid w:val="77C3721F"/>
    <w:rsid w:val="77CF1812"/>
    <w:rsid w:val="77F01BFD"/>
    <w:rsid w:val="77FE4C8C"/>
    <w:rsid w:val="780B14FD"/>
    <w:rsid w:val="781265B4"/>
    <w:rsid w:val="78411F3F"/>
    <w:rsid w:val="78443B86"/>
    <w:rsid w:val="78555E9F"/>
    <w:rsid w:val="786436ED"/>
    <w:rsid w:val="787372A6"/>
    <w:rsid w:val="78770CCD"/>
    <w:rsid w:val="787712ED"/>
    <w:rsid w:val="787B2625"/>
    <w:rsid w:val="788774EA"/>
    <w:rsid w:val="78892CE9"/>
    <w:rsid w:val="78DB2CCF"/>
    <w:rsid w:val="78FB48CB"/>
    <w:rsid w:val="78FB7D88"/>
    <w:rsid w:val="79222FF1"/>
    <w:rsid w:val="792F767A"/>
    <w:rsid w:val="79B92A9D"/>
    <w:rsid w:val="7A0A1B01"/>
    <w:rsid w:val="7A2B083A"/>
    <w:rsid w:val="7A3B31E2"/>
    <w:rsid w:val="7A5039A1"/>
    <w:rsid w:val="7A507B77"/>
    <w:rsid w:val="7A546F67"/>
    <w:rsid w:val="7A7A2606"/>
    <w:rsid w:val="7A822296"/>
    <w:rsid w:val="7A8A6C06"/>
    <w:rsid w:val="7A8E0B2B"/>
    <w:rsid w:val="7AAC7413"/>
    <w:rsid w:val="7ACF75C4"/>
    <w:rsid w:val="7AF90572"/>
    <w:rsid w:val="7AFB5A30"/>
    <w:rsid w:val="7B2B4D9F"/>
    <w:rsid w:val="7B2C74BB"/>
    <w:rsid w:val="7B534266"/>
    <w:rsid w:val="7B65324A"/>
    <w:rsid w:val="7B65471A"/>
    <w:rsid w:val="7B9C667C"/>
    <w:rsid w:val="7BA42981"/>
    <w:rsid w:val="7BD73F6E"/>
    <w:rsid w:val="7BD7729D"/>
    <w:rsid w:val="7BE33645"/>
    <w:rsid w:val="7BFA2E23"/>
    <w:rsid w:val="7C043080"/>
    <w:rsid w:val="7C3A0215"/>
    <w:rsid w:val="7C3A4CF2"/>
    <w:rsid w:val="7C71762A"/>
    <w:rsid w:val="7C8315E3"/>
    <w:rsid w:val="7CB90ACE"/>
    <w:rsid w:val="7CD133F3"/>
    <w:rsid w:val="7CD40379"/>
    <w:rsid w:val="7D1D31A7"/>
    <w:rsid w:val="7D3F0FC5"/>
    <w:rsid w:val="7D5A1CCB"/>
    <w:rsid w:val="7D61585D"/>
    <w:rsid w:val="7D6313AC"/>
    <w:rsid w:val="7D727FD6"/>
    <w:rsid w:val="7D7742CC"/>
    <w:rsid w:val="7D7E0593"/>
    <w:rsid w:val="7DB248BC"/>
    <w:rsid w:val="7DBA3127"/>
    <w:rsid w:val="7DEB49FD"/>
    <w:rsid w:val="7DF805F9"/>
    <w:rsid w:val="7E0627D2"/>
    <w:rsid w:val="7E1963E8"/>
    <w:rsid w:val="7E260DDC"/>
    <w:rsid w:val="7E4A18F8"/>
    <w:rsid w:val="7E522958"/>
    <w:rsid w:val="7EC658C0"/>
    <w:rsid w:val="7EDD5833"/>
    <w:rsid w:val="7F361C53"/>
    <w:rsid w:val="7F4533FD"/>
    <w:rsid w:val="7F4E268E"/>
    <w:rsid w:val="7F5473AE"/>
    <w:rsid w:val="7F563461"/>
    <w:rsid w:val="7F84276F"/>
    <w:rsid w:val="7F914639"/>
    <w:rsid w:val="7F920BCB"/>
    <w:rsid w:val="7FEF22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76"/>
    <w:qFormat/>
    <w:uiPriority w:val="0"/>
    <w:pPr>
      <w:keepNext/>
      <w:keepLines/>
      <w:numPr>
        <w:ilvl w:val="0"/>
        <w:numId w:val="1"/>
      </w:numPr>
      <w:spacing w:before="100" w:beforeLines="100" w:beforeAutospacing="0" w:after="100" w:afterLines="100" w:afterAutospacing="0" w:line="360" w:lineRule="auto"/>
      <w:ind w:firstLine="0" w:firstLineChars="0"/>
      <w:outlineLvl w:val="0"/>
    </w:pPr>
    <w:rPr>
      <w:rFonts w:ascii="Times New Roman" w:hAnsi="Times New Roman" w:eastAsia="宋体" w:cs="Times New Roman"/>
      <w:b/>
      <w:bCs/>
      <w:kern w:val="44"/>
      <w:sz w:val="32"/>
      <w:szCs w:val="32"/>
    </w:rPr>
  </w:style>
  <w:style w:type="paragraph" w:styleId="4">
    <w:name w:val="heading 2"/>
    <w:basedOn w:val="1"/>
    <w:next w:val="1"/>
    <w:unhideWhenUsed/>
    <w:qFormat/>
    <w:uiPriority w:val="0"/>
    <w:pPr>
      <w:keepNext/>
      <w:keepLines/>
      <w:numPr>
        <w:ilvl w:val="1"/>
        <w:numId w:val="1"/>
      </w:numPr>
      <w:spacing w:beforeLines="0" w:beforeAutospacing="0" w:afterLines="0" w:afterAutospacing="0" w:line="360" w:lineRule="auto"/>
      <w:ind w:firstLine="0" w:firstLineChars="0"/>
      <w:outlineLvl w:val="1"/>
    </w:pPr>
    <w:rPr>
      <w:rFonts w:ascii="Times New Roman" w:hAnsi="Times New Roman" w:eastAsia="宋体" w:cs="Times New Roman"/>
      <w:b/>
      <w:bCs/>
      <w:sz w:val="30"/>
      <w:szCs w:val="30"/>
    </w:rPr>
  </w:style>
  <w:style w:type="paragraph" w:styleId="5">
    <w:name w:val="heading 3"/>
    <w:basedOn w:val="6"/>
    <w:next w:val="1"/>
    <w:unhideWhenUsed/>
    <w:qFormat/>
    <w:uiPriority w:val="0"/>
    <w:pPr>
      <w:keepNext/>
      <w:keepLines/>
      <w:numPr>
        <w:ilvl w:val="2"/>
        <w:numId w:val="1"/>
      </w:numPr>
      <w:spacing w:beforeLines="0" w:beforeAutospacing="0" w:afterLines="0" w:afterAutospacing="0" w:line="360" w:lineRule="auto"/>
      <w:ind w:firstLine="0" w:firstLineChars="0"/>
      <w:outlineLvl w:val="2"/>
    </w:pPr>
    <w:rPr>
      <w:rFonts w:ascii="Times New Roman" w:hAnsi="Times New Roman" w:eastAsia="宋体" w:cs="Times New Roman"/>
      <w:sz w:val="28"/>
      <w:szCs w:val="28"/>
    </w:rPr>
  </w:style>
  <w:style w:type="paragraph" w:styleId="7">
    <w:name w:val="heading 4"/>
    <w:basedOn w:val="1"/>
    <w:next w:val="1"/>
    <w:unhideWhenUsed/>
    <w:qFormat/>
    <w:uiPriority w:val="0"/>
    <w:pPr>
      <w:keepNext/>
      <w:keepLines/>
      <w:numPr>
        <w:ilvl w:val="3"/>
        <w:numId w:val="1"/>
      </w:numPr>
      <w:spacing w:beforeLines="0" w:beforeAutospacing="0" w:afterLines="0" w:afterAutospacing="0" w:line="360" w:lineRule="auto"/>
      <w:ind w:firstLine="0" w:firstLineChars="0"/>
      <w:outlineLvl w:val="3"/>
    </w:pPr>
    <w:rPr>
      <w:rFonts w:ascii="Times New Roman" w:hAnsi="Times New Roman" w:eastAsia="宋体" w:cs="Times New Roman"/>
      <w:b/>
      <w:bCs/>
      <w:sz w:val="24"/>
    </w:rPr>
  </w:style>
  <w:style w:type="paragraph" w:styleId="8">
    <w:name w:val="heading 5"/>
    <w:basedOn w:val="1"/>
    <w:next w:val="1"/>
    <w:semiHidden/>
    <w:unhideWhenUsed/>
    <w:qFormat/>
    <w:uiPriority w:val="0"/>
    <w:pPr>
      <w:keepNext/>
      <w:keepLines/>
      <w:spacing w:beforeLines="0" w:beforeAutospacing="0" w:afterLines="0" w:afterAutospacing="0" w:line="360" w:lineRule="auto"/>
      <w:ind w:firstLine="0" w:firstLineChars="0"/>
      <w:jc w:val="center"/>
      <w:outlineLvl w:val="4"/>
    </w:pPr>
    <w:rPr>
      <w:rFonts w:ascii="Times New Roman" w:hAnsi="Times New Roman" w:eastAsia="宋体" w:cs="Times New Roman"/>
      <w:b/>
      <w:sz w:val="28"/>
      <w:szCs w:val="28"/>
    </w:rPr>
  </w:style>
  <w:style w:type="paragraph" w:styleId="9">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10">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11">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2">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6">
    <w:name w:val="Default Paragraph Font"/>
    <w:link w:val="27"/>
    <w:semiHidden/>
    <w:qFormat/>
    <w:uiPriority w:val="0"/>
    <w:rPr>
      <w:sz w:val="24"/>
    </w:rPr>
  </w:style>
  <w:style w:type="table" w:default="1" w:styleId="24">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2">
    <w:name w:val="toc 2"/>
    <w:basedOn w:val="1"/>
    <w:next w:val="1"/>
    <w:qFormat/>
    <w:uiPriority w:val="0"/>
    <w:pPr>
      <w:spacing w:line="288" w:lineRule="auto"/>
      <w:ind w:left="420" w:leftChars="200"/>
    </w:pPr>
    <w:rPr>
      <w:rFonts w:ascii="Times New Roman" w:hAnsi="Times New Roman" w:eastAsia="宋体" w:cs="Times New Roman"/>
      <w:sz w:val="21"/>
    </w:rPr>
  </w:style>
  <w:style w:type="paragraph" w:styleId="6">
    <w:name w:val="Title"/>
    <w:basedOn w:val="1"/>
    <w:next w:val="1"/>
    <w:qFormat/>
    <w:uiPriority w:val="10"/>
    <w:pPr>
      <w:spacing w:before="240" w:after="60"/>
      <w:jc w:val="center"/>
      <w:outlineLvl w:val="0"/>
    </w:pPr>
    <w:rPr>
      <w:rFonts w:ascii="Cambria" w:hAnsi="Cambria"/>
      <w:b/>
      <w:bCs/>
      <w:kern w:val="0"/>
      <w:sz w:val="32"/>
      <w:szCs w:val="32"/>
    </w:rPr>
  </w:style>
  <w:style w:type="paragraph" w:styleId="13">
    <w:name w:val="Normal Indent"/>
    <w:basedOn w:val="1"/>
    <w:qFormat/>
    <w:uiPriority w:val="0"/>
    <w:pPr>
      <w:spacing w:line="400" w:lineRule="exact"/>
    </w:pPr>
    <w:rPr>
      <w:rFonts w:ascii="楷体_GB2312" w:eastAsia="楷体_GB2312"/>
      <w:spacing w:val="20"/>
      <w:sz w:val="28"/>
    </w:rPr>
  </w:style>
  <w:style w:type="paragraph" w:styleId="14">
    <w:name w:val="caption"/>
    <w:basedOn w:val="1"/>
    <w:next w:val="1"/>
    <w:unhideWhenUsed/>
    <w:qFormat/>
    <w:uiPriority w:val="0"/>
    <w:pPr>
      <w:jc w:val="center"/>
    </w:pPr>
    <w:rPr>
      <w:rFonts w:ascii="Times New Roman" w:hAnsi="Times New Roman" w:eastAsia="宋体" w:cs="Times New Roman"/>
      <w:b/>
      <w:bCs/>
      <w:szCs w:val="21"/>
    </w:rPr>
  </w:style>
  <w:style w:type="paragraph" w:styleId="15">
    <w:name w:val="annotation text"/>
    <w:basedOn w:val="1"/>
    <w:qFormat/>
    <w:uiPriority w:val="0"/>
    <w:pPr>
      <w:jc w:val="left"/>
    </w:pPr>
  </w:style>
  <w:style w:type="paragraph" w:styleId="16">
    <w:name w:val="Body Text"/>
    <w:basedOn w:val="1"/>
    <w:next w:val="1"/>
    <w:qFormat/>
    <w:uiPriority w:val="1"/>
    <w:pPr>
      <w:spacing w:after="120"/>
    </w:pPr>
  </w:style>
  <w:style w:type="paragraph" w:styleId="17">
    <w:name w:val="toc 3"/>
    <w:basedOn w:val="1"/>
    <w:next w:val="1"/>
    <w:qFormat/>
    <w:uiPriority w:val="0"/>
    <w:pPr>
      <w:spacing w:line="288" w:lineRule="auto"/>
      <w:ind w:left="840" w:leftChars="400"/>
    </w:pPr>
    <w:rPr>
      <w:rFonts w:ascii="Times New Roman" w:hAnsi="Times New Roman" w:eastAsia="宋体" w:cs="Times New Roman"/>
      <w:sz w:val="21"/>
    </w:rPr>
  </w:style>
  <w:style w:type="paragraph" w:styleId="18">
    <w:name w:val="Plain Text"/>
    <w:basedOn w:val="1"/>
    <w:qFormat/>
    <w:uiPriority w:val="0"/>
    <w:pPr>
      <w:spacing w:line="240" w:lineRule="atLeast"/>
    </w:pPr>
    <w:rPr>
      <w:rFonts w:hAnsi="Courier New"/>
      <w:sz w:val="28"/>
    </w:rPr>
  </w:style>
  <w:style w:type="paragraph" w:styleId="19">
    <w:name w:val="footer"/>
    <w:basedOn w:val="1"/>
    <w:qFormat/>
    <w:uiPriority w:val="0"/>
    <w:pPr>
      <w:tabs>
        <w:tab w:val="center" w:pos="4153"/>
        <w:tab w:val="right" w:pos="8306"/>
      </w:tabs>
      <w:snapToGrid w:val="0"/>
      <w:jc w:val="center"/>
    </w:pPr>
    <w:rPr>
      <w:rFonts w:ascii="Times New Roman" w:hAnsi="Times New Roman" w:eastAsia="宋体"/>
      <w:sz w:val="18"/>
      <w:szCs w:val="18"/>
    </w:rPr>
  </w:style>
  <w:style w:type="paragraph" w:styleId="2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ascii="Times New Roman" w:hAnsi="Times New Roman" w:eastAsia="宋体"/>
      <w:sz w:val="18"/>
      <w:szCs w:val="18"/>
    </w:rPr>
  </w:style>
  <w:style w:type="paragraph" w:styleId="21">
    <w:name w:val="toc 1"/>
    <w:basedOn w:val="1"/>
    <w:next w:val="1"/>
    <w:qFormat/>
    <w:uiPriority w:val="0"/>
    <w:pPr>
      <w:spacing w:line="288" w:lineRule="auto"/>
    </w:pPr>
    <w:rPr>
      <w:rFonts w:ascii="Times New Roman" w:hAnsi="Times New Roman" w:eastAsia="宋体" w:cs="Times New Roman"/>
      <w:sz w:val="21"/>
    </w:rPr>
  </w:style>
  <w:style w:type="paragraph" w:styleId="22">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center"/>
    </w:pPr>
    <w:rPr>
      <w:kern w:val="0"/>
      <w:sz w:val="24"/>
      <w:lang w:val="en-US" w:eastAsia="zh-CN" w:bidi="ar"/>
    </w:rPr>
  </w:style>
  <w:style w:type="paragraph" w:styleId="23">
    <w:name w:val="Body Text First Indent"/>
    <w:basedOn w:val="16"/>
    <w:next w:val="1"/>
    <w:qFormat/>
    <w:uiPriority w:val="0"/>
    <w:pPr>
      <w:spacing w:line="500" w:lineRule="exact"/>
      <w:ind w:firstLine="493"/>
    </w:pPr>
    <w:rPr>
      <w:spacing w:val="6"/>
      <w:kern w:val="24"/>
      <w:sz w:val="26"/>
      <w:szCs w:val="20"/>
    </w:rPr>
  </w:style>
  <w:style w:type="table" w:styleId="25">
    <w:name w:val="Table Grid"/>
    <w:basedOn w:val="2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7">
    <w:name w:val="默认段落字体 Para Char Char Char Char"/>
    <w:basedOn w:val="1"/>
    <w:link w:val="26"/>
    <w:qFormat/>
    <w:uiPriority w:val="0"/>
    <w:rPr>
      <w:sz w:val="24"/>
    </w:rPr>
  </w:style>
  <w:style w:type="character" w:styleId="28">
    <w:name w:val="Strong"/>
    <w:basedOn w:val="26"/>
    <w:qFormat/>
    <w:uiPriority w:val="0"/>
    <w:rPr>
      <w:b/>
    </w:rPr>
  </w:style>
  <w:style w:type="character" w:styleId="29">
    <w:name w:val="FollowedHyperlink"/>
    <w:basedOn w:val="26"/>
    <w:qFormat/>
    <w:uiPriority w:val="0"/>
    <w:rPr>
      <w:color w:val="000000"/>
      <w:sz w:val="18"/>
      <w:szCs w:val="18"/>
      <w:u w:val="none"/>
    </w:rPr>
  </w:style>
  <w:style w:type="character" w:styleId="30">
    <w:name w:val="Emphasis"/>
    <w:basedOn w:val="26"/>
    <w:qFormat/>
    <w:uiPriority w:val="0"/>
  </w:style>
  <w:style w:type="character" w:styleId="31">
    <w:name w:val="HTML Definition"/>
    <w:basedOn w:val="26"/>
    <w:qFormat/>
    <w:uiPriority w:val="0"/>
  </w:style>
  <w:style w:type="character" w:styleId="32">
    <w:name w:val="HTML Variable"/>
    <w:basedOn w:val="26"/>
    <w:qFormat/>
    <w:uiPriority w:val="0"/>
  </w:style>
  <w:style w:type="character" w:styleId="33">
    <w:name w:val="Hyperlink"/>
    <w:basedOn w:val="26"/>
    <w:qFormat/>
    <w:uiPriority w:val="0"/>
    <w:rPr>
      <w:color w:val="000000"/>
      <w:sz w:val="18"/>
      <w:szCs w:val="18"/>
      <w:u w:val="none"/>
    </w:rPr>
  </w:style>
  <w:style w:type="character" w:styleId="34">
    <w:name w:val="HTML Code"/>
    <w:basedOn w:val="26"/>
    <w:qFormat/>
    <w:uiPriority w:val="0"/>
    <w:rPr>
      <w:rFonts w:hint="default" w:ascii="serif" w:hAnsi="serif" w:eastAsia="serif" w:cs="serif"/>
      <w:sz w:val="21"/>
      <w:szCs w:val="21"/>
    </w:rPr>
  </w:style>
  <w:style w:type="character" w:styleId="35">
    <w:name w:val="HTML Cite"/>
    <w:basedOn w:val="26"/>
    <w:qFormat/>
    <w:uiPriority w:val="0"/>
  </w:style>
  <w:style w:type="character" w:styleId="36">
    <w:name w:val="HTML Keyboard"/>
    <w:basedOn w:val="26"/>
    <w:qFormat/>
    <w:uiPriority w:val="0"/>
    <w:rPr>
      <w:rFonts w:hint="default" w:ascii="serif" w:hAnsi="serif" w:eastAsia="serif" w:cs="serif"/>
      <w:sz w:val="21"/>
      <w:szCs w:val="21"/>
    </w:rPr>
  </w:style>
  <w:style w:type="character" w:styleId="37">
    <w:name w:val="HTML Sample"/>
    <w:basedOn w:val="26"/>
    <w:qFormat/>
    <w:uiPriority w:val="0"/>
    <w:rPr>
      <w:rFonts w:ascii="serif" w:hAnsi="serif" w:eastAsia="serif" w:cs="serif"/>
      <w:sz w:val="21"/>
      <w:szCs w:val="21"/>
    </w:rPr>
  </w:style>
  <w:style w:type="paragraph" w:customStyle="1" w:styleId="38">
    <w:name w:val="Default"/>
    <w:qFormat/>
    <w:uiPriority w:val="99"/>
    <w:pPr>
      <w:widowControl w:val="0"/>
      <w:autoSpaceDE w:val="0"/>
      <w:autoSpaceDN w:val="0"/>
      <w:adjustRightInd w:val="0"/>
    </w:pPr>
    <w:rPr>
      <w:rFonts w:ascii="Adobe Song Std" w:hAnsi="Times New Roman" w:eastAsia="Adobe Song Std" w:cs="Adobe Song Std"/>
      <w:color w:val="000000"/>
      <w:sz w:val="24"/>
      <w:szCs w:val="24"/>
      <w:lang w:val="en-US" w:eastAsia="zh-CN" w:bidi="ar-SA"/>
    </w:rPr>
  </w:style>
  <w:style w:type="paragraph" w:customStyle="1" w:styleId="39">
    <w:name w:val="报告书、报告表正文"/>
    <w:basedOn w:val="1"/>
    <w:qFormat/>
    <w:uiPriority w:val="0"/>
    <w:pPr>
      <w:spacing w:line="360" w:lineRule="auto"/>
      <w:ind w:firstLine="480" w:firstLineChars="200"/>
      <w:jc w:val="left"/>
    </w:pPr>
    <w:rPr>
      <w:rFonts w:ascii="Times New Roman" w:hAnsi="Times New Roman" w:eastAsia="宋体" w:cs="Times New Roman"/>
      <w:sz w:val="24"/>
    </w:rPr>
  </w:style>
  <w:style w:type="paragraph" w:customStyle="1" w:styleId="40">
    <w:name w:val="报告书、报告表表格文字"/>
    <w:basedOn w:val="1"/>
    <w:qFormat/>
    <w:uiPriority w:val="0"/>
    <w:pPr>
      <w:adjustRightInd w:val="0"/>
      <w:snapToGrid w:val="0"/>
      <w:spacing w:line="240" w:lineRule="auto"/>
      <w:ind w:firstLine="0" w:firstLineChars="0"/>
      <w:jc w:val="center"/>
    </w:pPr>
    <w:rPr>
      <w:rFonts w:ascii="Times New Roman" w:hAnsi="Times New Roman" w:eastAsia="宋体" w:cs="Times New Roman"/>
      <w:sz w:val="24"/>
    </w:rPr>
  </w:style>
  <w:style w:type="paragraph" w:customStyle="1" w:styleId="41">
    <w:name w:val="图、表1-1"/>
    <w:basedOn w:val="1"/>
    <w:qFormat/>
    <w:uiPriority w:val="0"/>
    <w:pPr>
      <w:ind w:firstLine="0" w:firstLineChars="0"/>
      <w:jc w:val="center"/>
    </w:pPr>
    <w:rPr>
      <w:rFonts w:ascii="Times New Roman" w:hAnsi="Times New Roman" w:eastAsia="宋体" w:cs="Times New Roman"/>
      <w:b/>
      <w:bCs/>
      <w:sz w:val="21"/>
      <w:szCs w:val="21"/>
    </w:rPr>
  </w:style>
  <w:style w:type="paragraph" w:customStyle="1" w:styleId="42">
    <w:name w:val="自查表表格文字"/>
    <w:basedOn w:val="40"/>
    <w:qFormat/>
    <w:uiPriority w:val="0"/>
    <w:rPr>
      <w:sz w:val="21"/>
      <w:szCs w:val="21"/>
    </w:rPr>
  </w:style>
  <w:style w:type="paragraph" w:customStyle="1" w:styleId="43">
    <w:name w:val="四级条标题"/>
    <w:basedOn w:val="44"/>
    <w:next w:val="48"/>
    <w:qFormat/>
    <w:uiPriority w:val="0"/>
    <w:pPr>
      <w:widowControl/>
      <w:numPr>
        <w:ilvl w:val="3"/>
        <w:numId w:val="0"/>
      </w:numPr>
      <w:tabs>
        <w:tab w:val="left" w:pos="360"/>
      </w:tabs>
      <w:outlineLvl w:val="5"/>
    </w:pPr>
    <w:rPr>
      <w:rFonts w:ascii="黑体" w:eastAsia="黑体"/>
      <w:kern w:val="0"/>
      <w:szCs w:val="20"/>
    </w:rPr>
  </w:style>
  <w:style w:type="paragraph" w:customStyle="1" w:styleId="44">
    <w:name w:val="三级条标题"/>
    <w:basedOn w:val="45"/>
    <w:next w:val="48"/>
    <w:qFormat/>
    <w:uiPriority w:val="0"/>
    <w:pPr>
      <w:numPr>
        <w:ilvl w:val="3"/>
        <w:numId w:val="0"/>
      </w:numPr>
      <w:tabs>
        <w:tab w:val="left" w:pos="360"/>
      </w:tabs>
      <w:outlineLvl w:val="4"/>
    </w:pPr>
  </w:style>
  <w:style w:type="paragraph" w:customStyle="1" w:styleId="45">
    <w:name w:val="二级条标题"/>
    <w:basedOn w:val="46"/>
    <w:next w:val="48"/>
    <w:qFormat/>
    <w:uiPriority w:val="0"/>
    <w:pPr>
      <w:numPr>
        <w:ilvl w:val="3"/>
        <w:numId w:val="2"/>
      </w:numPr>
      <w:tabs>
        <w:tab w:val="left" w:pos="360"/>
      </w:tabs>
      <w:outlineLvl w:val="3"/>
    </w:pPr>
  </w:style>
  <w:style w:type="paragraph" w:customStyle="1" w:styleId="46">
    <w:name w:val="一级条标题"/>
    <w:basedOn w:val="47"/>
    <w:next w:val="48"/>
    <w:qFormat/>
    <w:uiPriority w:val="0"/>
    <w:pPr>
      <w:numPr>
        <w:ilvl w:val="2"/>
        <w:numId w:val="2"/>
      </w:numPr>
      <w:tabs>
        <w:tab w:val="left" w:pos="360"/>
      </w:tabs>
      <w:spacing w:before="0" w:beforeLines="0" w:after="0" w:afterLines="0"/>
      <w:outlineLvl w:val="2"/>
    </w:pPr>
  </w:style>
  <w:style w:type="paragraph" w:customStyle="1" w:styleId="47">
    <w:name w:val="章标题"/>
    <w:basedOn w:val="1"/>
    <w:next w:val="48"/>
    <w:qFormat/>
    <w:uiPriority w:val="0"/>
    <w:pPr>
      <w:tabs>
        <w:tab w:val="left" w:pos="360"/>
      </w:tabs>
      <w:ind w:left="900" w:hanging="420"/>
      <w:outlineLvl w:val="0"/>
    </w:pPr>
    <w:rPr>
      <w:rFonts w:ascii="黑体" w:eastAsia="黑体"/>
      <w:b/>
      <w:bCs/>
      <w:kern w:val="144"/>
      <w:sz w:val="32"/>
    </w:rPr>
  </w:style>
  <w:style w:type="paragraph" w:customStyle="1" w:styleId="4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49">
    <w:name w:val="封面"/>
    <w:basedOn w:val="1"/>
    <w:qFormat/>
    <w:uiPriority w:val="0"/>
    <w:rPr>
      <w:sz w:val="52"/>
      <w:szCs w:val="52"/>
    </w:rPr>
  </w:style>
  <w:style w:type="paragraph" w:customStyle="1" w:styleId="50">
    <w:name w:val="表格"/>
    <w:basedOn w:val="1"/>
    <w:qFormat/>
    <w:uiPriority w:val="0"/>
    <w:pPr>
      <w:jc w:val="center"/>
    </w:pPr>
    <w:rPr>
      <w:sz w:val="21"/>
      <w:szCs w:val="21"/>
    </w:rPr>
  </w:style>
  <w:style w:type="paragraph" w:customStyle="1" w:styleId="51">
    <w:name w:val="表格文字"/>
    <w:qFormat/>
    <w:uiPriority w:val="0"/>
    <w:pPr>
      <w:widowControl w:val="0"/>
      <w:autoSpaceDE w:val="0"/>
      <w:autoSpaceDN w:val="0"/>
      <w:adjustRightInd w:val="0"/>
      <w:textAlignment w:val="baseline"/>
    </w:pPr>
    <w:rPr>
      <w:rFonts w:ascii="宋体" w:hAnsi="Times New Roman" w:eastAsia="宋体" w:cs="Times New Roman"/>
      <w:color w:val="000000"/>
      <w:sz w:val="24"/>
      <w:lang w:val="en-US" w:eastAsia="zh-CN" w:bidi="ar-SA"/>
    </w:rPr>
  </w:style>
  <w:style w:type="paragraph" w:customStyle="1" w:styleId="52">
    <w:name w:val="Table Paragraph"/>
    <w:basedOn w:val="1"/>
    <w:qFormat/>
    <w:uiPriority w:val="1"/>
    <w:rPr>
      <w:rFonts w:ascii="Calibri" w:hAnsi="Calibri" w:cs="Times New Roman"/>
      <w:sz w:val="22"/>
      <w:szCs w:val="22"/>
      <w:lang w:eastAsia="en-US"/>
    </w:rPr>
  </w:style>
  <w:style w:type="paragraph" w:customStyle="1" w:styleId="53">
    <w:name w:val="样式 标题 1标题 11一、Head 1wsah11.标题 1章标题H1H11H12文章标题Eia标题1－..."/>
    <w:basedOn w:val="3"/>
    <w:qFormat/>
    <w:uiPriority w:val="0"/>
    <w:pPr>
      <w:tabs>
        <w:tab w:val="left" w:pos="15"/>
        <w:tab w:val="left" w:pos="425"/>
        <w:tab w:val="left" w:pos="567"/>
      </w:tabs>
      <w:ind w:left="-143" w:firstLine="142" w:firstLineChars="59"/>
    </w:pPr>
    <w:rPr>
      <w:rFonts w:ascii="黑体" w:hAnsi="黑体" w:eastAsia="黑体" w:cs="Times New Roman"/>
      <w:b w:val="0"/>
      <w:kern w:val="0"/>
      <w:szCs w:val="20"/>
    </w:rPr>
  </w:style>
  <w:style w:type="paragraph" w:customStyle="1" w:styleId="54">
    <w:name w:val="aa"/>
    <w:basedOn w:val="1"/>
    <w:qFormat/>
    <w:uiPriority w:val="0"/>
    <w:pPr>
      <w:ind w:firstLine="480"/>
    </w:pPr>
    <w:rPr>
      <w:rFonts w:cs="Times New Roman"/>
    </w:rPr>
  </w:style>
  <w:style w:type="paragraph" w:customStyle="1" w:styleId="55">
    <w:name w:val="表格内容"/>
    <w:next w:val="1"/>
    <w:qFormat/>
    <w:uiPriority w:val="0"/>
    <w:pPr>
      <w:widowControl w:val="0"/>
      <w:adjustRightInd w:val="0"/>
      <w:spacing w:before="40" w:line="0" w:lineRule="atLeast"/>
      <w:jc w:val="center"/>
      <w:textAlignment w:val="baseline"/>
    </w:pPr>
    <w:rPr>
      <w:rFonts w:ascii="Times New Roman" w:hAnsi="Times New Roman" w:eastAsia="楷体_GB2312" w:cs="Times New Roman"/>
      <w:sz w:val="24"/>
      <w:lang w:val="en-US" w:eastAsia="zh-CN" w:bidi="ar-SA"/>
    </w:rPr>
  </w:style>
  <w:style w:type="paragraph" w:customStyle="1" w:styleId="56">
    <w:name w:val="中文报告书样式"/>
    <w:basedOn w:val="1"/>
    <w:qFormat/>
    <w:uiPriority w:val="0"/>
    <w:pPr>
      <w:adjustRightInd w:val="0"/>
      <w:spacing w:line="480" w:lineRule="atLeast"/>
      <w:ind w:firstLine="482"/>
      <w:textAlignment w:val="baseline"/>
    </w:pPr>
    <w:rPr>
      <w:rFonts w:cs="Times New Roman"/>
      <w:kern w:val="24"/>
      <w:szCs w:val="20"/>
    </w:rPr>
  </w:style>
  <w:style w:type="paragraph" w:customStyle="1" w:styleId="57">
    <w:name w:val="样式 标题 4 + (西文) Times New Roman (中文) 宋体 小四 段前: 0 磅 段后: 0 磅 行..."/>
    <w:basedOn w:val="7"/>
    <w:qFormat/>
    <w:uiPriority w:val="0"/>
    <w:pPr>
      <w:tabs>
        <w:tab w:val="left" w:pos="851"/>
      </w:tabs>
      <w:ind w:left="851" w:hanging="851"/>
      <w:jc w:val="both"/>
    </w:pPr>
    <w:rPr>
      <w:rFonts w:eastAsia="仿宋_GB2312"/>
      <w:i/>
      <w:szCs w:val="20"/>
    </w:rPr>
  </w:style>
  <w:style w:type="paragraph" w:customStyle="1" w:styleId="58">
    <w:name w:val="样式 样式 标题 3Level 3 HeadH3Heading 3 - oldh3sect1.2.3Head33l3... + ..."/>
    <w:basedOn w:val="59"/>
    <w:next w:val="60"/>
    <w:qFormat/>
    <w:uiPriority w:val="0"/>
    <w:pPr>
      <w:numPr>
        <w:ilvl w:val="2"/>
        <w:numId w:val="3"/>
      </w:numPr>
      <w:tabs>
        <w:tab w:val="left" w:pos="0"/>
        <w:tab w:val="left" w:pos="709"/>
      </w:tabs>
      <w:spacing w:before="0" w:after="0" w:line="360" w:lineRule="auto"/>
      <w:ind w:hanging="1702"/>
    </w:pPr>
    <w:rPr>
      <w:rFonts w:ascii="Times New Roman" w:hAnsi="Times New Roman" w:eastAsia="黑体" w:cs="Times New Roman"/>
      <w:b w:val="0"/>
      <w:bCs w:val="0"/>
      <w:color w:val="auto"/>
      <w:sz w:val="28"/>
      <w:szCs w:val="28"/>
    </w:rPr>
  </w:style>
  <w:style w:type="paragraph" w:customStyle="1" w:styleId="59">
    <w:name w:val="样式 标题 3Level 3 HeadH3Heading 3 - oldh3sect1.2.3Head33l3..."/>
    <w:basedOn w:val="5"/>
    <w:qFormat/>
    <w:uiPriority w:val="0"/>
    <w:pPr>
      <w:numPr>
        <w:ilvl w:val="0"/>
        <w:numId w:val="0"/>
      </w:numPr>
      <w:tabs>
        <w:tab w:val="left" w:pos="709"/>
      </w:tabs>
      <w:spacing w:before="156" w:after="156" w:line="500" w:lineRule="exact"/>
      <w:ind w:left="709" w:hanging="709"/>
    </w:pPr>
    <w:rPr>
      <w:color w:val="000000"/>
      <w:szCs w:val="20"/>
    </w:rPr>
  </w:style>
  <w:style w:type="paragraph" w:customStyle="1" w:styleId="60">
    <w:name w:val="样式 样式 标题 31.1.1Char标题3标题 3 Char Char Char Char Char标题 3 Char C....."/>
    <w:basedOn w:val="1"/>
    <w:semiHidden/>
    <w:qFormat/>
    <w:uiPriority w:val="0"/>
    <w:pPr>
      <w:keepLines/>
      <w:autoSpaceDE w:val="0"/>
      <w:autoSpaceDN w:val="0"/>
      <w:adjustRightInd w:val="0"/>
      <w:snapToGrid w:val="0"/>
      <w:spacing w:beforeLines="50" w:afterLines="50"/>
      <w:ind w:firstLine="482"/>
      <w:outlineLvl w:val="2"/>
    </w:pPr>
    <w:rPr>
      <w:b/>
      <w:bCs/>
      <w:spacing w:val="8"/>
      <w:sz w:val="30"/>
      <w:szCs w:val="30"/>
    </w:rPr>
  </w:style>
  <w:style w:type="paragraph" w:customStyle="1" w:styleId="61">
    <w:name w:val="段落"/>
    <w:basedOn w:val="1"/>
    <w:qFormat/>
    <w:uiPriority w:val="0"/>
    <w:pPr>
      <w:adjustRightInd w:val="0"/>
      <w:snapToGrid w:val="0"/>
      <w:ind w:firstLine="482"/>
    </w:pPr>
    <w:rPr>
      <w:bCs/>
    </w:rPr>
  </w:style>
  <w:style w:type="paragraph" w:customStyle="1" w:styleId="62">
    <w:name w:val="鑫裕段落(G)"/>
    <w:basedOn w:val="1"/>
    <w:qFormat/>
    <w:uiPriority w:val="0"/>
    <w:pPr>
      <w:tabs>
        <w:tab w:val="left" w:pos="1021"/>
        <w:tab w:val="left" w:pos="1320"/>
      </w:tabs>
      <w:ind w:firstLine="480"/>
    </w:pPr>
    <w:rPr>
      <w:color w:val="000000"/>
      <w:kern w:val="24"/>
      <w:lang w:val="zh-CN"/>
    </w:rPr>
  </w:style>
  <w:style w:type="paragraph" w:customStyle="1" w:styleId="63">
    <w:name w:val="表文字"/>
    <w:qFormat/>
    <w:uiPriority w:val="0"/>
    <w:pPr>
      <w:spacing w:line="240" w:lineRule="exact"/>
    </w:pPr>
    <w:rPr>
      <w:rFonts w:ascii="Times New Roman" w:hAnsi="Times New Roman" w:eastAsia="宋体" w:cs="Times New Roman"/>
      <w:sz w:val="21"/>
      <w:szCs w:val="21"/>
      <w:lang w:val="en-US" w:eastAsia="zh-CN" w:bidi="ar-SA"/>
    </w:rPr>
  </w:style>
  <w:style w:type="paragraph" w:customStyle="1" w:styleId="64">
    <w:name w:val="小四表文左齐"/>
    <w:basedOn w:val="1"/>
    <w:qFormat/>
    <w:uiPriority w:val="0"/>
    <w:pPr>
      <w:jc w:val="center"/>
    </w:pPr>
    <w:rPr>
      <w:rFonts w:cs="Times New Roman"/>
      <w:color w:val="000000"/>
    </w:rPr>
  </w:style>
  <w:style w:type="paragraph" w:customStyle="1" w:styleId="65">
    <w:name w:val="WPSOffice手动目录 1"/>
    <w:qFormat/>
    <w:uiPriority w:val="0"/>
    <w:pPr>
      <w:ind w:leftChars="0"/>
    </w:pPr>
    <w:rPr>
      <w:rFonts w:ascii="Times New Roman" w:hAnsi="Times New Roman" w:eastAsia="宋体" w:cs="Times New Roman"/>
      <w:sz w:val="20"/>
      <w:szCs w:val="20"/>
    </w:rPr>
  </w:style>
  <w:style w:type="paragraph" w:customStyle="1" w:styleId="66">
    <w:name w:val="WPSOffice手动目录 2"/>
    <w:qFormat/>
    <w:uiPriority w:val="0"/>
    <w:pPr>
      <w:ind w:leftChars="200"/>
    </w:pPr>
    <w:rPr>
      <w:rFonts w:ascii="Times New Roman" w:hAnsi="Times New Roman" w:eastAsia="宋体" w:cs="Times New Roman"/>
      <w:sz w:val="20"/>
      <w:szCs w:val="20"/>
    </w:rPr>
  </w:style>
  <w:style w:type="paragraph" w:customStyle="1" w:styleId="67">
    <w:name w:val="WPSOffice手动目录 3"/>
    <w:qFormat/>
    <w:uiPriority w:val="0"/>
    <w:pPr>
      <w:ind w:leftChars="400"/>
    </w:pPr>
    <w:rPr>
      <w:rFonts w:ascii="Times New Roman" w:hAnsi="Times New Roman" w:eastAsia="宋体" w:cs="Times New Roman"/>
      <w:sz w:val="20"/>
      <w:szCs w:val="20"/>
    </w:rPr>
  </w:style>
  <w:style w:type="table" w:customStyle="1" w:styleId="68">
    <w:name w:val="Table Normal"/>
    <w:semiHidden/>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character" w:customStyle="1" w:styleId="69">
    <w:name w:val="fontborder"/>
    <w:basedOn w:val="26"/>
    <w:qFormat/>
    <w:uiPriority w:val="0"/>
    <w:rPr>
      <w:bdr w:val="single" w:color="000000" w:sz="6" w:space="0"/>
    </w:rPr>
  </w:style>
  <w:style w:type="character" w:customStyle="1" w:styleId="70">
    <w:name w:val="fontstrikethrough"/>
    <w:basedOn w:val="26"/>
    <w:qFormat/>
    <w:uiPriority w:val="0"/>
    <w:rPr>
      <w:strike/>
    </w:rPr>
  </w:style>
  <w:style w:type="paragraph" w:customStyle="1" w:styleId="71">
    <w:name w:val="Normal"/>
    <w:qFormat/>
    <w:uiPriority w:val="0"/>
    <w:pPr>
      <w:jc w:val="both"/>
    </w:pPr>
    <w:rPr>
      <w:rFonts w:ascii="等线" w:hAnsi="等线" w:eastAsia="宋体" w:cs="宋体"/>
      <w:kern w:val="2"/>
      <w:sz w:val="21"/>
      <w:szCs w:val="21"/>
      <w:lang w:val="en-US" w:eastAsia="zh-CN" w:bidi="ar-SA"/>
    </w:rPr>
  </w:style>
  <w:style w:type="paragraph" w:customStyle="1" w:styleId="72">
    <w:name w:val="0"/>
    <w:basedOn w:val="1"/>
    <w:qFormat/>
    <w:uiPriority w:val="0"/>
    <w:pPr>
      <w:widowControl/>
    </w:pPr>
    <w:rPr>
      <w:kern w:val="0"/>
      <w:szCs w:val="21"/>
    </w:rPr>
  </w:style>
  <w:style w:type="paragraph" w:customStyle="1" w:styleId="73">
    <w:name w:val="Other|1"/>
    <w:basedOn w:val="1"/>
    <w:qFormat/>
    <w:uiPriority w:val="0"/>
    <w:pPr>
      <w:widowControl w:val="0"/>
      <w:shd w:val="clear" w:color="auto" w:fill="auto"/>
      <w:ind w:firstLine="140"/>
    </w:pPr>
    <w:rPr>
      <w:rFonts w:ascii="宋体" w:hAnsi="宋体" w:eastAsia="宋体" w:cs="宋体"/>
      <w:sz w:val="20"/>
      <w:szCs w:val="20"/>
      <w:u w:val="none"/>
      <w:shd w:val="clear" w:color="auto" w:fill="auto"/>
      <w:lang w:val="zh-TW" w:eastAsia="zh-TW" w:bidi="zh-TW"/>
    </w:rPr>
  </w:style>
  <w:style w:type="paragraph" w:customStyle="1" w:styleId="74">
    <w:name w:val="Heading #3|1"/>
    <w:basedOn w:val="1"/>
    <w:qFormat/>
    <w:uiPriority w:val="0"/>
    <w:pPr>
      <w:widowControl w:val="0"/>
      <w:shd w:val="clear" w:color="auto" w:fill="auto"/>
      <w:spacing w:after="700"/>
      <w:jc w:val="center"/>
      <w:outlineLvl w:val="2"/>
    </w:pPr>
    <w:rPr>
      <w:rFonts w:ascii="宋体" w:hAnsi="宋体" w:eastAsia="宋体" w:cs="宋体"/>
      <w:sz w:val="28"/>
      <w:szCs w:val="28"/>
      <w:u w:val="none"/>
      <w:shd w:val="clear" w:color="auto" w:fill="auto"/>
      <w:lang w:val="zh-TW" w:eastAsia="zh-TW" w:bidi="zh-TW"/>
    </w:rPr>
  </w:style>
  <w:style w:type="paragraph" w:customStyle="1" w:styleId="75">
    <w:name w:val="Header or footer|2"/>
    <w:basedOn w:val="1"/>
    <w:qFormat/>
    <w:uiPriority w:val="0"/>
    <w:pPr>
      <w:widowControl w:val="0"/>
      <w:shd w:val="clear" w:color="auto" w:fill="auto"/>
    </w:pPr>
    <w:rPr>
      <w:sz w:val="20"/>
      <w:szCs w:val="20"/>
      <w:u w:val="none"/>
      <w:shd w:val="clear" w:color="auto" w:fill="auto"/>
    </w:rPr>
  </w:style>
  <w:style w:type="character" w:customStyle="1" w:styleId="76">
    <w:name w:val="标题 1 Char"/>
    <w:link w:val="3"/>
    <w:qFormat/>
    <w:uiPriority w:val="0"/>
    <w:rPr>
      <w:rFonts w:ascii="Times New Roman" w:hAnsi="Times New Roman" w:eastAsia="宋体" w:cs="Times New Roman"/>
      <w:b/>
      <w:bCs/>
      <w:kern w:val="44"/>
      <w:sz w:val="32"/>
      <w:szCs w:val="32"/>
    </w:rPr>
  </w:style>
  <w:style w:type="paragraph" w:customStyle="1" w:styleId="77">
    <w:name w:val="表格 内容"/>
    <w:basedOn w:val="1"/>
    <w:qFormat/>
    <w:uiPriority w:val="0"/>
    <w:pPr>
      <w:autoSpaceDE w:val="0"/>
      <w:autoSpaceDN w:val="0"/>
      <w:adjustRightInd w:val="0"/>
      <w:spacing w:line="240" w:lineRule="auto"/>
      <w:ind w:firstLine="0" w:firstLineChars="0"/>
      <w:jc w:val="center"/>
    </w:pPr>
    <w:rPr>
      <w:kern w:val="0"/>
      <w:sz w:val="21"/>
      <w:szCs w:val="44"/>
    </w:rPr>
  </w:style>
  <w:style w:type="paragraph" w:customStyle="1" w:styleId="78">
    <w:name w:val="正文1"/>
    <w:basedOn w:val="1"/>
    <w:qFormat/>
    <w:uiPriority w:val="0"/>
    <w:pPr>
      <w:widowControl/>
      <w:spacing w:line="440" w:lineRule="exact"/>
      <w:ind w:firstLine="534" w:firstLineChars="225"/>
      <w:jc w:val="left"/>
    </w:pPr>
    <w:rPr>
      <w:rFonts w:ascii="宋体" w:hAnsi="宋体" w:cs="宋体"/>
      <w:kern w:val="0"/>
      <w:sz w:val="27"/>
      <w:szCs w:val="21"/>
    </w:rPr>
  </w:style>
  <w:style w:type="character" w:customStyle="1" w:styleId="79">
    <w:name w:val="font51"/>
    <w:basedOn w:val="26"/>
    <w:qFormat/>
    <w:uiPriority w:val="0"/>
    <w:rPr>
      <w:rFonts w:hint="default" w:ascii="Times New Roman" w:hAnsi="Times New Roman" w:cs="Times New Roman"/>
      <w:color w:val="000000"/>
      <w:sz w:val="18"/>
      <w:szCs w:val="18"/>
      <w:u w:val="none"/>
      <w:vertAlign w:val="superscript"/>
    </w:rPr>
  </w:style>
  <w:style w:type="paragraph" w:customStyle="1" w:styleId="80">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81">
    <w:name w:val="报告正文"/>
    <w:basedOn w:val="1"/>
    <w:qFormat/>
    <w:uiPriority w:val="99"/>
    <w:pPr>
      <w:adjustRightInd w:val="0"/>
      <w:snapToGrid w:val="0"/>
      <w:spacing w:line="360" w:lineRule="auto"/>
      <w:ind w:firstLine="200" w:firstLineChars="200"/>
    </w:pPr>
    <w:rPr>
      <w:rFonts w:ascii="宋体"/>
      <w:sz w:val="24"/>
      <w:szCs w:val="20"/>
    </w:rPr>
  </w:style>
  <w:style w:type="paragraph" w:styleId="82">
    <w:name w:val="List Paragraph"/>
    <w:basedOn w:val="1"/>
    <w:qFormat/>
    <w:uiPriority w:val="1"/>
    <w:pPr>
      <w:spacing w:before="163"/>
      <w:ind w:left="972"/>
    </w:pPr>
    <w:rPr>
      <w:rFonts w:ascii="宋体" w:hAnsi="宋体" w:eastAsia="宋体" w:cs="宋体"/>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33.png"/><Relationship Id="rId60" Type="http://schemas.openxmlformats.org/officeDocument/2006/relationships/image" Target="media/image32.jpeg"/><Relationship Id="rId6" Type="http://schemas.openxmlformats.org/officeDocument/2006/relationships/header" Target="header2.xml"/><Relationship Id="rId59" Type="http://schemas.openxmlformats.org/officeDocument/2006/relationships/image" Target="media/image31.png"/><Relationship Id="rId58" Type="http://schemas.openxmlformats.org/officeDocument/2006/relationships/image" Target="media/image30.png"/><Relationship Id="rId57" Type="http://schemas.openxmlformats.org/officeDocument/2006/relationships/image" Target="media/image29.png"/><Relationship Id="rId56" Type="http://schemas.openxmlformats.org/officeDocument/2006/relationships/image" Target="media/image28.png"/><Relationship Id="rId55" Type="http://schemas.openxmlformats.org/officeDocument/2006/relationships/image" Target="media/image27.png"/><Relationship Id="rId54" Type="http://schemas.openxmlformats.org/officeDocument/2006/relationships/image" Target="media/image26.png"/><Relationship Id="rId53" Type="http://schemas.openxmlformats.org/officeDocument/2006/relationships/image" Target="media/image25.png"/><Relationship Id="rId52" Type="http://schemas.openxmlformats.org/officeDocument/2006/relationships/image" Target="media/image24.png"/><Relationship Id="rId51" Type="http://schemas.openxmlformats.org/officeDocument/2006/relationships/image" Target="media/image23.png"/><Relationship Id="rId50" Type="http://schemas.openxmlformats.org/officeDocument/2006/relationships/image" Target="media/image22.png"/><Relationship Id="rId5" Type="http://schemas.openxmlformats.org/officeDocument/2006/relationships/footer" Target="footer2.xml"/><Relationship Id="rId49" Type="http://schemas.openxmlformats.org/officeDocument/2006/relationships/image" Target="media/image21.png"/><Relationship Id="rId48" Type="http://schemas.openxmlformats.org/officeDocument/2006/relationships/image" Target="media/image20.png"/><Relationship Id="rId47" Type="http://schemas.openxmlformats.org/officeDocument/2006/relationships/image" Target="media/image19.wmf"/><Relationship Id="rId46" Type="http://schemas.openxmlformats.org/officeDocument/2006/relationships/oleObject" Target="embeddings/oleObject4.bin"/><Relationship Id="rId45" Type="http://schemas.openxmlformats.org/officeDocument/2006/relationships/image" Target="media/image18.wmf"/><Relationship Id="rId44" Type="http://schemas.openxmlformats.org/officeDocument/2006/relationships/oleObject" Target="embeddings/oleObject3.bin"/><Relationship Id="rId43" Type="http://schemas.openxmlformats.org/officeDocument/2006/relationships/image" Target="media/image17.wmf"/><Relationship Id="rId42" Type="http://schemas.openxmlformats.org/officeDocument/2006/relationships/oleObject" Target="embeddings/oleObject2.bin"/><Relationship Id="rId41" Type="http://schemas.openxmlformats.org/officeDocument/2006/relationships/image" Target="media/image16.wmf"/><Relationship Id="rId40" Type="http://schemas.openxmlformats.org/officeDocument/2006/relationships/oleObject" Target="embeddings/oleObject1.bin"/><Relationship Id="rId4" Type="http://schemas.openxmlformats.org/officeDocument/2006/relationships/header" Target="header1.xml"/><Relationship Id="rId39" Type="http://schemas.openxmlformats.org/officeDocument/2006/relationships/image" Target="media/image15.jpeg"/><Relationship Id="rId38" Type="http://schemas.openxmlformats.org/officeDocument/2006/relationships/image" Target="media/image14.jpeg"/><Relationship Id="rId37" Type="http://schemas.openxmlformats.org/officeDocument/2006/relationships/image" Target="media/image13.jpeg"/><Relationship Id="rId36" Type="http://schemas.openxmlformats.org/officeDocument/2006/relationships/image" Target="media/image12.jpeg"/><Relationship Id="rId35" Type="http://schemas.openxmlformats.org/officeDocument/2006/relationships/image" Target="media/image11.jpeg"/><Relationship Id="rId34" Type="http://schemas.openxmlformats.org/officeDocument/2006/relationships/image" Target="media/image10.jpeg"/><Relationship Id="rId33" Type="http://schemas.openxmlformats.org/officeDocument/2006/relationships/image" Target="media/image9.jpeg"/><Relationship Id="rId32" Type="http://schemas.openxmlformats.org/officeDocument/2006/relationships/image" Target="media/image8.png"/><Relationship Id="rId31" Type="http://schemas.openxmlformats.org/officeDocument/2006/relationships/image" Target="media/image7.jpeg"/><Relationship Id="rId30" Type="http://schemas.openxmlformats.org/officeDocument/2006/relationships/image" Target="media/image6.jpeg"/><Relationship Id="rId3" Type="http://schemas.openxmlformats.org/officeDocument/2006/relationships/footer" Target="footer1.xml"/><Relationship Id="rId29" Type="http://schemas.openxmlformats.org/officeDocument/2006/relationships/image" Target="media/image5.jpeg"/><Relationship Id="rId28" Type="http://schemas.openxmlformats.org/officeDocument/2006/relationships/image" Target="media/image4.jpeg"/><Relationship Id="rId27" Type="http://schemas.openxmlformats.org/officeDocument/2006/relationships/image" Target="media/image3.jpeg"/><Relationship Id="rId26" Type="http://schemas.openxmlformats.org/officeDocument/2006/relationships/image" Target="media/image2.jpe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3.xml"/><Relationship Id="rId22" Type="http://schemas.openxmlformats.org/officeDocument/2006/relationships/header" Target="header8.xml"/><Relationship Id="rId21" Type="http://schemas.openxmlformats.org/officeDocument/2006/relationships/footer" Target="footer12.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2020-03-28T01:00:00Z</dcterms:created>
  <dc:creator>fan</dc:creator>
  <cp:lastModifiedBy>桔子</cp:lastModifiedBy>
  <cp:lastPrinted>2021-03-16T12:35:00Z</cp:lastPrinted>
  <dcterms:modified xsi:type="dcterms:W3CDTF">2021-03-17T14:25:21Z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50ACAD75F67E4FE486C426C5E545AA18</vt:lpwstr>
  </property>
</Properties>
</file>