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rPr>
          <w:rFonts w:eastAsia="黑体"/>
          <w:b/>
          <w:kern w:val="2"/>
          <w:sz w:val="36"/>
        </w:rPr>
      </w:pPr>
      <w:bookmarkStart w:id="0" w:name="_GoBack"/>
      <w:bookmarkEnd w:id="0"/>
    </w:p>
    <w:p>
      <w:pPr>
        <w:pStyle w:val="17"/>
        <w:rPr>
          <w:rFonts w:eastAsia="黑体"/>
          <w:b/>
          <w:kern w:val="2"/>
          <w:sz w:val="36"/>
        </w:rPr>
      </w:pPr>
    </w:p>
    <w:p>
      <w:pPr>
        <w:pStyle w:val="17"/>
        <w:spacing w:afterLines="50"/>
        <w:rPr>
          <w:rFonts w:eastAsia="黑体"/>
          <w:b/>
          <w:kern w:val="2"/>
          <w:sz w:val="36"/>
        </w:rPr>
      </w:pPr>
    </w:p>
    <w:p>
      <w:pPr>
        <w:pStyle w:val="17"/>
        <w:rPr>
          <w:rFonts w:eastAsia="黑体"/>
          <w:b/>
          <w:kern w:val="2"/>
          <w:sz w:val="18"/>
          <w:szCs w:val="18"/>
        </w:rPr>
      </w:pPr>
    </w:p>
    <w:p>
      <w:pPr>
        <w:pStyle w:val="17"/>
        <w:ind w:right="320"/>
        <w:jc w:val="right"/>
        <w:rPr>
          <w:rFonts w:eastAsia="黑体"/>
          <w:b/>
          <w:color w:val="000000"/>
          <w:kern w:val="2"/>
          <w:sz w:val="36"/>
        </w:rPr>
      </w:pPr>
      <w:r>
        <w:rPr>
          <w:rFonts w:hint="eastAsia" w:ascii="仿宋" w:hAnsi="仿宋" w:eastAsia="仿宋"/>
          <w:color w:val="000000"/>
        </w:rPr>
        <w:t>岳环评</w:t>
      </w:r>
      <w:r>
        <w:rPr>
          <w:rFonts w:hint="eastAsia" w:ascii="仿宋" w:hAnsi="仿宋" w:eastAsia="仿宋" w:cs="仿宋"/>
          <w:color w:val="000000"/>
        </w:rPr>
        <w:t>〔</w:t>
      </w:r>
      <w:r>
        <w:rPr>
          <w:rFonts w:ascii="仿宋" w:hAnsi="仿宋" w:eastAsia="仿宋"/>
          <w:color w:val="000000"/>
        </w:rPr>
        <w:t>20</w:t>
      </w:r>
      <w:r>
        <w:rPr>
          <w:rFonts w:hint="eastAsia" w:ascii="仿宋" w:hAnsi="仿宋" w:eastAsia="仿宋"/>
          <w:color w:val="000000"/>
        </w:rPr>
        <w:t>21</w:t>
      </w:r>
      <w:r>
        <w:rPr>
          <w:rFonts w:hint="eastAsia" w:ascii="仿宋" w:hAnsi="仿宋" w:eastAsia="仿宋" w:cs="仿宋"/>
          <w:color w:val="000000"/>
        </w:rPr>
        <w:t>〕</w:t>
      </w:r>
      <w:r>
        <w:rPr>
          <w:rFonts w:hint="eastAsia" w:ascii="仿宋" w:hAnsi="仿宋" w:eastAsia="仿宋" w:cs="仿宋"/>
          <w:color w:val="000000"/>
          <w:lang w:val="en-US" w:eastAsia="zh-CN"/>
        </w:rPr>
        <w:t>27</w:t>
      </w:r>
      <w:r>
        <w:rPr>
          <w:rFonts w:hint="eastAsia" w:ascii="仿宋" w:hAnsi="仿宋" w:eastAsia="仿宋"/>
          <w:color w:val="000000"/>
        </w:rPr>
        <w:t>号</w:t>
      </w:r>
    </w:p>
    <w:p>
      <w:pPr>
        <w:adjustRightInd w:val="0"/>
        <w:snapToGrid w:val="0"/>
        <w:spacing w:line="560" w:lineRule="exact"/>
        <w:jc w:val="center"/>
        <w:rPr>
          <w:rFonts w:ascii="宋体" w:hAnsi="宋体"/>
          <w:b/>
          <w:sz w:val="36"/>
          <w:szCs w:val="36"/>
        </w:rPr>
      </w:pPr>
      <w:r>
        <w:rPr>
          <w:rFonts w:hint="eastAsia" w:ascii="宋体" w:hAnsi="宋体"/>
          <w:b/>
          <w:kern w:val="0"/>
          <w:sz w:val="36"/>
          <w:szCs w:val="36"/>
        </w:rPr>
        <w:t>关于岳阳港湘阴港区城关作业区（漕溪港）二期工程环境影响报告书的批复</w:t>
      </w:r>
    </w:p>
    <w:p>
      <w:pPr>
        <w:pStyle w:val="19"/>
        <w:spacing w:line="480" w:lineRule="exact"/>
        <w:rPr>
          <w:rFonts w:eastAsia="仿宋_GB2312"/>
          <w:kern w:val="2"/>
          <w:sz w:val="32"/>
        </w:rPr>
      </w:pPr>
    </w:p>
    <w:p>
      <w:pPr>
        <w:keepNext w:val="0"/>
        <w:keepLines w:val="0"/>
        <w:pageBreakBefore w:val="0"/>
        <w:kinsoku/>
        <w:wordWrap/>
        <w:overflowPunct/>
        <w:topLinePunct w:val="0"/>
        <w:bidi w:val="0"/>
        <w:spacing w:line="480" w:lineRule="exact"/>
        <w:rPr>
          <w:rFonts w:ascii="仿宋" w:hAnsi="仿宋" w:eastAsia="仿宋"/>
          <w:sz w:val="32"/>
          <w:szCs w:val="32"/>
        </w:rPr>
      </w:pPr>
      <w:r>
        <w:rPr>
          <w:rFonts w:hint="eastAsia" w:ascii="仿宋" w:hAnsi="仿宋" w:eastAsia="仿宋"/>
          <w:sz w:val="32"/>
          <w:szCs w:val="32"/>
        </w:rPr>
        <w:t>湖南漕溪港物流有限公司：</w:t>
      </w:r>
    </w:p>
    <w:p>
      <w:pPr>
        <w:keepNext w:val="0"/>
        <w:keepLines w:val="0"/>
        <w:pageBreakBefore w:val="0"/>
        <w:kinsoku/>
        <w:wordWrap/>
        <w:overflowPunct/>
        <w:topLinePunct w:val="0"/>
        <w:bidi w:val="0"/>
        <w:spacing w:line="480" w:lineRule="exact"/>
        <w:ind w:firstLine="640" w:firstLineChars="200"/>
        <w:rPr>
          <w:rFonts w:ascii="仿宋" w:hAnsi="仿宋" w:eastAsia="仿宋"/>
          <w:sz w:val="32"/>
          <w:szCs w:val="32"/>
        </w:rPr>
      </w:pPr>
      <w:r>
        <w:rPr>
          <w:rFonts w:hint="eastAsia" w:ascii="仿宋" w:hAnsi="仿宋" w:eastAsia="仿宋"/>
          <w:sz w:val="32"/>
          <w:szCs w:val="32"/>
        </w:rPr>
        <w:t>你公司《关于</w:t>
      </w:r>
      <w:r>
        <w:rPr>
          <w:rFonts w:hint="eastAsia" w:ascii="仿宋" w:hAnsi="仿宋" w:eastAsia="仿宋"/>
          <w:sz w:val="32"/>
          <w:szCs w:val="32"/>
          <w:lang w:val="en-US" w:eastAsia="zh-CN"/>
        </w:rPr>
        <w:t>申请办理</w:t>
      </w:r>
      <w:r>
        <w:rPr>
          <w:rFonts w:hint="eastAsia" w:ascii="仿宋" w:hAnsi="仿宋" w:eastAsia="仿宋"/>
          <w:sz w:val="32"/>
          <w:szCs w:val="32"/>
        </w:rPr>
        <w:t>岳阳港湘阴港区城关作业区（漕溪港）二期工程重大变动</w:t>
      </w:r>
      <w:r>
        <w:rPr>
          <w:rFonts w:hint="eastAsia" w:ascii="仿宋" w:hAnsi="仿宋" w:eastAsia="仿宋"/>
          <w:sz w:val="32"/>
          <w:szCs w:val="32"/>
          <w:lang w:val="en-US" w:eastAsia="zh-CN"/>
        </w:rPr>
        <w:t>环评审批</w:t>
      </w:r>
      <w:r>
        <w:rPr>
          <w:rFonts w:hint="eastAsia" w:ascii="仿宋" w:hAnsi="仿宋" w:eastAsia="仿宋"/>
          <w:sz w:val="32"/>
          <w:szCs w:val="32"/>
        </w:rPr>
        <w:t>的报告》、岳阳市生态环境局湘阴分局预审意见及有关附件收悉。经研究，批复如下：</w:t>
      </w:r>
    </w:p>
    <w:p>
      <w:pPr>
        <w:pStyle w:val="25"/>
        <w:keepNext w:val="0"/>
        <w:keepLines w:val="0"/>
        <w:pageBreakBefore w:val="0"/>
        <w:numPr>
          <w:ilvl w:val="0"/>
          <w:numId w:val="1"/>
        </w:numPr>
        <w:kinsoku/>
        <w:wordWrap/>
        <w:overflowPunct/>
        <w:topLinePunct w:val="0"/>
        <w:bidi w:val="0"/>
        <w:spacing w:line="480" w:lineRule="exact"/>
        <w:ind w:firstLineChars="0"/>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湖南漕溪港物流有限公司岳阳港湘阴港区城关作业区（漕溪港）二期工程环境影响报告书于2011年5月取得原湖南省环境保护厅批复（湘环评[2011]141号），因2015年7月湖南省发展和改革委员会下发了《关于对岳阳港湘阴港区城关作业区二期工程技术标准及岸线使用有关意见的复函》（湘发改函［2015］205号）文，将新建的多用途泊位和件杂货泊位技术标准由1000吨级（兼顾2000吨级）调整为2000吨级（兼顾3000吨级），属于《港口建设项目重大变动清单（试行）》中的重大变动，项目环境影响报告书需要重新报批。根据你公司提供的环评文件</w:t>
      </w:r>
      <w:r>
        <w:rPr>
          <w:rFonts w:hint="default" w:ascii="仿宋" w:hAnsi="仿宋" w:eastAsia="仿宋" w:cs="Times New Roman"/>
          <w:kern w:val="2"/>
          <w:sz w:val="32"/>
          <w:szCs w:val="32"/>
          <w:lang w:val="en-US" w:eastAsia="zh-CN" w:bidi="ar-SA"/>
        </w:rPr>
        <w:t>及</w:t>
      </w:r>
      <w:r>
        <w:rPr>
          <w:rFonts w:hint="eastAsia" w:ascii="仿宋" w:hAnsi="仿宋" w:eastAsia="仿宋" w:cs="Times New Roman"/>
          <w:kern w:val="2"/>
          <w:sz w:val="32"/>
          <w:szCs w:val="32"/>
          <w:lang w:val="en-US" w:eastAsia="zh-CN" w:bidi="ar-SA"/>
        </w:rPr>
        <w:t>其</w:t>
      </w:r>
      <w:r>
        <w:rPr>
          <w:rFonts w:hint="default" w:ascii="仿宋" w:hAnsi="仿宋" w:eastAsia="仿宋" w:cs="Times New Roman"/>
          <w:kern w:val="2"/>
          <w:sz w:val="32"/>
          <w:szCs w:val="32"/>
          <w:lang w:val="en-US" w:eastAsia="zh-CN" w:bidi="ar-SA"/>
        </w:rPr>
        <w:t>他</w:t>
      </w:r>
      <w:r>
        <w:rPr>
          <w:rFonts w:hint="eastAsia" w:ascii="仿宋" w:hAnsi="仿宋" w:eastAsia="仿宋" w:cs="Times New Roman"/>
          <w:kern w:val="2"/>
          <w:sz w:val="32"/>
          <w:szCs w:val="32"/>
          <w:lang w:val="en-US" w:eastAsia="zh-CN" w:bidi="ar-SA"/>
        </w:rPr>
        <w:t>资料，湘阴港区城关作业区（漕溪港）二期工程位于湘阴县湘江大桥下游约600米的湘江右岸（紧接湘阴港区城关作业区一期工程），总投资13418万元，建设2个2000吨级（兼顾3000吨级）泊位码头，采用高桩框架直立式结构，岸线长度为200m，每个泊位各100m，上游为多用途泊位，紧邻一期工程，下游为件杂货泊位，码头平台顶面标高36.5m，平台宽度32.6m，主要负责对件杂货物（集装箱、钢材等）的进出口作业，年通过量为67万吨。码头平台后方依次为货物装卸码头、件杂货堆场区、辅助建筑区停车坪、维修间和公休间等，生活区依托一期工程现有生活设施，位于进港主干道下游侧，各项工程均已建成。根据湖南道和环保科技有限公司编制的《岳阳港湘阴港区城关作业区（漕溪港）二期工程环境影响报告书》（报批稿）基本内容、结论和专家评审意见及岳阳市生态环境局湘阴分局预审意见，综合考虑，我局原则同意你公司环境影响报告书中所列建设项目的环境影响评价结论和环境保护对策措施。</w:t>
      </w:r>
    </w:p>
    <w:p>
      <w:pPr>
        <w:keepNext w:val="0"/>
        <w:keepLines w:val="0"/>
        <w:pageBreakBefore w:val="0"/>
        <w:numPr>
          <w:ilvl w:val="0"/>
          <w:numId w:val="1"/>
        </w:numPr>
        <w:kinsoku/>
        <w:wordWrap/>
        <w:overflowPunct/>
        <w:topLinePunct w:val="0"/>
        <w:bidi w:val="0"/>
        <w:adjustRightInd w:val="0"/>
        <w:snapToGrid w:val="0"/>
        <w:spacing w:line="480" w:lineRule="exact"/>
        <w:ind w:firstLine="640" w:firstLineChars="200"/>
        <w:rPr>
          <w:rFonts w:ascii="仿宋" w:hAnsi="仿宋" w:eastAsia="仿宋"/>
          <w:sz w:val="32"/>
          <w:szCs w:val="32"/>
        </w:rPr>
      </w:pPr>
      <w:r>
        <w:rPr>
          <w:rFonts w:hint="eastAsia" w:ascii="仿宋" w:hAnsi="仿宋" w:eastAsia="仿宋"/>
          <w:sz w:val="32"/>
          <w:szCs w:val="32"/>
        </w:rPr>
        <w:t>项目建设和运营必须全面落实环境影响报告书提出的各项环保措施，并着重做好以下工作：</w:t>
      </w:r>
    </w:p>
    <w:p>
      <w:pPr>
        <w:keepNext w:val="0"/>
        <w:keepLines w:val="0"/>
        <w:pageBreakBefore w:val="0"/>
        <w:kinsoku/>
        <w:wordWrap/>
        <w:overflowPunct/>
        <w:topLinePunct w:val="0"/>
        <w:bidi w:val="0"/>
        <w:spacing w:line="480" w:lineRule="exact"/>
        <w:ind w:firstLine="640"/>
        <w:rPr>
          <w:rFonts w:ascii="仿宋" w:hAnsi="仿宋" w:eastAsia="仿宋"/>
          <w:sz w:val="32"/>
          <w:szCs w:val="32"/>
        </w:rPr>
      </w:pPr>
      <w:r>
        <w:rPr>
          <w:rFonts w:hint="eastAsia" w:ascii="仿宋" w:hAnsi="仿宋" w:eastAsia="仿宋"/>
          <w:sz w:val="32"/>
          <w:szCs w:val="32"/>
        </w:rPr>
        <w:t>（一）废气污染防治工作。严格落实报告书提出的废气防治措施，</w:t>
      </w:r>
      <w:r>
        <w:rPr>
          <w:rFonts w:hint="eastAsia" w:ascii="仿宋" w:hAnsi="仿宋" w:eastAsia="仿宋"/>
          <w:sz w:val="32"/>
          <w:szCs w:val="32"/>
          <w:lang w:val="en-US" w:eastAsia="zh-CN"/>
        </w:rPr>
        <w:t>到港船舶</w:t>
      </w:r>
      <w:r>
        <w:rPr>
          <w:rFonts w:ascii="仿宋" w:hAnsi="仿宋" w:eastAsia="仿宋"/>
          <w:sz w:val="32"/>
          <w:szCs w:val="32"/>
        </w:rPr>
        <w:t>采用岸电</w:t>
      </w:r>
      <w:r>
        <w:rPr>
          <w:rFonts w:hint="eastAsia" w:ascii="仿宋" w:hAnsi="仿宋" w:eastAsia="仿宋"/>
          <w:sz w:val="32"/>
          <w:szCs w:val="32"/>
          <w:lang w:eastAsia="zh-CN"/>
        </w:rPr>
        <w:t>，</w:t>
      </w:r>
      <w:r>
        <w:rPr>
          <w:rFonts w:hint="eastAsia" w:ascii="仿宋" w:hAnsi="仿宋" w:eastAsia="仿宋"/>
          <w:sz w:val="32"/>
          <w:szCs w:val="32"/>
        </w:rPr>
        <w:t>加强进出场区交通管理，保证路面清洁，码头作业区和道路洒水降尘，减少运输车辆、船舶燃油废气及运输车辆行驶产生扬尘，确保码头场界无组织废气满足《大气污染物综合排放标准》（GB16297-1996）表2中无组织排放监控浓度限值要求。</w:t>
      </w:r>
    </w:p>
    <w:p>
      <w:pPr>
        <w:keepNext w:val="0"/>
        <w:keepLines w:val="0"/>
        <w:pageBreakBefore w:val="0"/>
        <w:kinsoku/>
        <w:wordWrap/>
        <w:overflowPunct/>
        <w:topLinePunct w:val="0"/>
        <w:autoSpaceDE w:val="0"/>
        <w:autoSpaceDN w:val="0"/>
        <w:bidi w:val="0"/>
        <w:adjustRightInd w:val="0"/>
        <w:spacing w:line="480" w:lineRule="exact"/>
        <w:ind w:firstLine="640" w:firstLineChars="200"/>
        <w:rPr>
          <w:rFonts w:hint="eastAsia" w:ascii="仿宋" w:hAnsi="仿宋" w:eastAsia="仿宋"/>
          <w:sz w:val="32"/>
          <w:szCs w:val="32"/>
        </w:rPr>
      </w:pPr>
      <w:r>
        <w:rPr>
          <w:rFonts w:hint="eastAsia" w:ascii="仿宋" w:hAnsi="仿宋" w:eastAsia="仿宋"/>
          <w:sz w:val="32"/>
          <w:szCs w:val="32"/>
        </w:rPr>
        <w:t>（二）废水污染防治工作。港区区域严格落实雨污分流</w:t>
      </w:r>
      <w:r>
        <w:rPr>
          <w:rFonts w:hint="eastAsia" w:ascii="仿宋" w:hAnsi="仿宋" w:eastAsia="仿宋"/>
          <w:sz w:val="32"/>
          <w:szCs w:val="32"/>
          <w:lang w:eastAsia="zh-CN"/>
        </w:rPr>
        <w:t>，</w:t>
      </w:r>
      <w:r>
        <w:rPr>
          <w:rFonts w:hint="eastAsia" w:ascii="仿宋" w:hAnsi="仿宋" w:eastAsia="仿宋"/>
          <w:sz w:val="32"/>
          <w:szCs w:val="32"/>
        </w:rPr>
        <w:t>初期雨水、作业区冲洗废水、码头员工生活污水、到港船舶废水（舱底油污水、生活污水）经收集处理</w:t>
      </w:r>
      <w:r>
        <w:rPr>
          <w:rFonts w:hint="eastAsia" w:ascii="仿宋" w:hAnsi="仿宋" w:eastAsia="仿宋"/>
          <w:sz w:val="32"/>
          <w:szCs w:val="32"/>
          <w:lang w:eastAsia="zh-CN"/>
        </w:rPr>
        <w:t>，</w:t>
      </w:r>
      <w:r>
        <w:rPr>
          <w:rFonts w:hint="eastAsia" w:ascii="仿宋" w:hAnsi="仿宋" w:eastAsia="仿宋"/>
          <w:sz w:val="32"/>
          <w:szCs w:val="32"/>
          <w:lang w:val="en-US" w:eastAsia="zh-CN"/>
        </w:rPr>
        <w:t>满足</w:t>
      </w:r>
      <w:r>
        <w:rPr>
          <w:rFonts w:hint="eastAsia" w:ascii="仿宋" w:hAnsi="仿宋" w:eastAsia="仿宋"/>
          <w:sz w:val="32"/>
          <w:szCs w:val="32"/>
        </w:rPr>
        <w:t>《污水综合排放标准》（GB8978-1996）表4中的三级标准后</w:t>
      </w:r>
      <w:r>
        <w:rPr>
          <w:rFonts w:hint="eastAsia" w:ascii="仿宋" w:hAnsi="仿宋" w:eastAsia="仿宋"/>
          <w:sz w:val="32"/>
          <w:szCs w:val="32"/>
          <w:lang w:eastAsia="zh-CN"/>
        </w:rPr>
        <w:t>，</w:t>
      </w:r>
      <w:r>
        <w:rPr>
          <w:rFonts w:hint="eastAsia" w:ascii="仿宋" w:hAnsi="仿宋" w:eastAsia="仿宋"/>
          <w:sz w:val="32"/>
          <w:szCs w:val="32"/>
        </w:rPr>
        <w:t>经市政污水管网进入湘阴县第一污水处理厂进一步处理。</w:t>
      </w:r>
    </w:p>
    <w:p>
      <w:pPr>
        <w:keepNext w:val="0"/>
        <w:keepLines w:val="0"/>
        <w:pageBreakBefore w:val="0"/>
        <w:kinsoku/>
        <w:wordWrap/>
        <w:overflowPunct/>
        <w:topLinePunct w:val="0"/>
        <w:bidi w:val="0"/>
        <w:spacing w:line="480" w:lineRule="exact"/>
        <w:ind w:firstLine="640"/>
        <w:rPr>
          <w:rFonts w:hint="eastAsia" w:ascii="仿宋" w:hAnsi="仿宋" w:eastAsia="仿宋"/>
          <w:color w:val="000000"/>
          <w:sz w:val="32"/>
          <w:szCs w:val="32"/>
        </w:rPr>
      </w:pPr>
      <w:r>
        <w:rPr>
          <w:rFonts w:hint="eastAsia" w:ascii="仿宋" w:hAnsi="仿宋" w:eastAsia="仿宋"/>
          <w:color w:val="000000"/>
          <w:sz w:val="32"/>
          <w:szCs w:val="32"/>
        </w:rPr>
        <w:t>根据分区防控原则，做好码头区域污水管网密封防腐和污水处理各类池体等场所防渗、防漏工作，防止发生渗漏对区域地下水和土壤环境造成污染。</w:t>
      </w:r>
    </w:p>
    <w:p>
      <w:pPr>
        <w:keepNext w:val="0"/>
        <w:keepLines w:val="0"/>
        <w:pageBreakBefore w:val="0"/>
        <w:kinsoku/>
        <w:wordWrap/>
        <w:overflowPunct/>
        <w:topLinePunct w:val="0"/>
        <w:autoSpaceDE w:val="0"/>
        <w:autoSpaceDN w:val="0"/>
        <w:bidi w:val="0"/>
        <w:adjustRightInd w:val="0"/>
        <w:spacing w:line="480" w:lineRule="exact"/>
        <w:ind w:firstLine="640" w:firstLineChars="200"/>
        <w:jc w:val="left"/>
        <w:rPr>
          <w:rFonts w:ascii="仿宋" w:hAnsi="仿宋" w:eastAsia="仿宋"/>
          <w:sz w:val="32"/>
          <w:szCs w:val="32"/>
        </w:rPr>
      </w:pPr>
      <w:r>
        <w:rPr>
          <w:rFonts w:hint="eastAsia" w:ascii="仿宋" w:hAnsi="仿宋" w:eastAsia="仿宋"/>
          <w:sz w:val="32"/>
          <w:szCs w:val="32"/>
        </w:rPr>
        <w:t>（三）噪声防治工作。</w:t>
      </w:r>
      <w:r>
        <w:rPr>
          <w:rFonts w:hint="eastAsia" w:ascii="仿宋" w:hAnsi="仿宋" w:eastAsia="仿宋"/>
          <w:sz w:val="32"/>
          <w:szCs w:val="32"/>
          <w:lang w:val="en-US" w:eastAsia="zh-CN"/>
        </w:rPr>
        <w:t>合理安排作业时间，夜间不运营，</w:t>
      </w:r>
      <w:r>
        <w:rPr>
          <w:rFonts w:hint="eastAsia" w:ascii="仿宋" w:hAnsi="仿宋" w:eastAsia="仿宋"/>
          <w:sz w:val="32"/>
          <w:szCs w:val="32"/>
        </w:rPr>
        <w:t>到港船舶禁止鸣笛，加强各类机械设施</w:t>
      </w:r>
      <w:r>
        <w:rPr>
          <w:rFonts w:hint="eastAsia" w:ascii="仿宋" w:hAnsi="仿宋" w:eastAsia="仿宋"/>
          <w:sz w:val="32"/>
          <w:szCs w:val="32"/>
          <w:lang w:eastAsia="zh-CN"/>
        </w:rPr>
        <w:t>、</w:t>
      </w:r>
      <w:r>
        <w:rPr>
          <w:rFonts w:hint="eastAsia" w:ascii="仿宋" w:hAnsi="仿宋" w:eastAsia="仿宋"/>
          <w:sz w:val="32"/>
          <w:szCs w:val="32"/>
          <w:lang w:val="en-US" w:eastAsia="zh-CN"/>
        </w:rPr>
        <w:t>车辆</w:t>
      </w:r>
      <w:r>
        <w:rPr>
          <w:rFonts w:hint="eastAsia" w:ascii="仿宋" w:hAnsi="仿宋" w:eastAsia="仿宋"/>
          <w:sz w:val="32"/>
          <w:szCs w:val="32"/>
        </w:rPr>
        <w:t>的维修保养，对起重机等高噪声的设备采取减震隔音措施，确保场界噪声满足《工业企业厂界环境噪声排放标准》（</w:t>
      </w:r>
      <w:r>
        <w:rPr>
          <w:rFonts w:ascii="仿宋" w:hAnsi="仿宋" w:eastAsia="仿宋"/>
          <w:sz w:val="32"/>
          <w:szCs w:val="32"/>
        </w:rPr>
        <w:t>GB12348-2008</w:t>
      </w:r>
      <w:r>
        <w:rPr>
          <w:rFonts w:hint="eastAsia" w:ascii="仿宋" w:hAnsi="仿宋" w:eastAsia="仿宋"/>
          <w:sz w:val="32"/>
          <w:szCs w:val="32"/>
        </w:rPr>
        <w:t>）要求。</w:t>
      </w:r>
    </w:p>
    <w:p>
      <w:pPr>
        <w:spacing w:line="460" w:lineRule="exact"/>
        <w:ind w:firstLine="640"/>
        <w:jc w:val="both"/>
        <w:rPr>
          <w:rFonts w:ascii="仿宋" w:hAnsi="仿宋" w:eastAsia="仿宋"/>
          <w:color w:val="000000"/>
          <w:kern w:val="0"/>
          <w:sz w:val="32"/>
          <w:szCs w:val="32"/>
        </w:rPr>
      </w:pPr>
      <w:r>
        <w:rPr>
          <w:rFonts w:hint="eastAsia" w:ascii="仿宋" w:hAnsi="仿宋" w:eastAsia="仿宋"/>
          <w:sz w:val="32"/>
          <w:szCs w:val="32"/>
        </w:rPr>
        <w:t>（四）固体废物管理工作。</w:t>
      </w:r>
      <w:r>
        <w:rPr>
          <w:rFonts w:hint="eastAsia" w:ascii="Times New Roman" w:hAnsi="仿宋" w:eastAsia="仿宋" w:cs="Times New Roman"/>
          <w:sz w:val="32"/>
          <w:szCs w:val="32"/>
        </w:rPr>
        <w:t>按</w:t>
      </w:r>
      <w:r>
        <w:rPr>
          <w:rFonts w:ascii="Times New Roman" w:hAnsi="Times New Roman" w:eastAsia="仿宋" w:cs="Times New Roman"/>
          <w:sz w:val="32"/>
          <w:szCs w:val="32"/>
        </w:rPr>
        <w:t>“</w:t>
      </w:r>
      <w:r>
        <w:rPr>
          <w:rFonts w:hint="eastAsia" w:ascii="Times New Roman" w:hAnsi="仿宋" w:eastAsia="仿宋" w:cs="Times New Roman"/>
          <w:sz w:val="32"/>
          <w:szCs w:val="32"/>
        </w:rPr>
        <w:t>无害化、减量化、资源化</w:t>
      </w:r>
      <w:r>
        <w:rPr>
          <w:rFonts w:ascii="Times New Roman" w:hAnsi="Times New Roman" w:eastAsia="仿宋" w:cs="Times New Roman"/>
          <w:sz w:val="32"/>
          <w:szCs w:val="32"/>
        </w:rPr>
        <w:t>”</w:t>
      </w:r>
      <w:r>
        <w:rPr>
          <w:rFonts w:hint="eastAsia" w:ascii="Times New Roman" w:hAnsi="仿宋" w:eastAsia="仿宋" w:cs="Times New Roman"/>
          <w:sz w:val="32"/>
          <w:szCs w:val="32"/>
        </w:rPr>
        <w:t>原则，做好固体分类收集、暂存工作，建立健全固体废物产生、转运、处置管理台帐。严格按《危险废物贮存污染控制标准（</w:t>
      </w:r>
      <w:r>
        <w:rPr>
          <w:rFonts w:ascii="Times New Roman" w:hAnsi="Times New Roman" w:eastAsia="仿宋" w:cs="Times New Roman"/>
          <w:sz w:val="32"/>
          <w:szCs w:val="32"/>
        </w:rPr>
        <w:t>GB18597-2001</w:t>
      </w:r>
      <w:r>
        <w:rPr>
          <w:rFonts w:hint="eastAsia" w:ascii="Times New Roman" w:hAnsi="仿宋" w:eastAsia="仿宋" w:cs="Times New Roman"/>
          <w:sz w:val="32"/>
          <w:szCs w:val="32"/>
        </w:rPr>
        <w:t>）》及</w:t>
      </w:r>
      <w:r>
        <w:rPr>
          <w:rFonts w:ascii="Times New Roman" w:hAnsi="仿宋" w:eastAsia="仿宋" w:cs="Times New Roman"/>
          <w:sz w:val="32"/>
          <w:szCs w:val="32"/>
        </w:rPr>
        <w:t>2013</w:t>
      </w:r>
      <w:r>
        <w:rPr>
          <w:rFonts w:hint="eastAsia" w:ascii="Times New Roman" w:hAnsi="仿宋" w:eastAsia="仿宋" w:cs="Times New Roman"/>
          <w:sz w:val="32"/>
          <w:szCs w:val="32"/>
        </w:rPr>
        <w:t>年修改单相关规定</w:t>
      </w:r>
      <w:r>
        <w:rPr>
          <w:rFonts w:hint="eastAsia" w:ascii="Times New Roman" w:hAnsi="仿宋" w:eastAsia="仿宋" w:cs="Times New Roman"/>
          <w:sz w:val="32"/>
          <w:szCs w:val="32"/>
          <w:lang w:val="en-US" w:eastAsia="zh-CN"/>
        </w:rPr>
        <w:t>设置</w:t>
      </w:r>
      <w:r>
        <w:rPr>
          <w:rFonts w:hint="eastAsia" w:ascii="Times New Roman" w:hAnsi="仿宋" w:eastAsia="仿宋" w:cs="Times New Roman"/>
          <w:sz w:val="32"/>
          <w:szCs w:val="32"/>
        </w:rPr>
        <w:t>危险废物暂存间，废</w:t>
      </w:r>
      <w:r>
        <w:rPr>
          <w:rFonts w:hint="eastAsia" w:ascii="Times New Roman" w:hAnsi="仿宋" w:eastAsia="仿宋" w:cs="Times New Roman"/>
          <w:sz w:val="32"/>
          <w:szCs w:val="32"/>
          <w:lang w:val="en-US" w:eastAsia="zh-CN"/>
        </w:rPr>
        <w:t>矿物</w:t>
      </w:r>
      <w:r>
        <w:rPr>
          <w:rFonts w:hint="eastAsia" w:ascii="Times New Roman" w:hAnsi="仿宋" w:eastAsia="仿宋" w:cs="Times New Roman"/>
          <w:sz w:val="32"/>
          <w:szCs w:val="32"/>
        </w:rPr>
        <w:t>油应送有资质的单位处置，并执行转移联单制度；按《一般工业固体废物贮存、处置场污染控制标准》（</w:t>
      </w:r>
      <w:r>
        <w:rPr>
          <w:rFonts w:ascii="Times New Roman" w:hAnsi="仿宋" w:eastAsia="仿宋" w:cs="Times New Roman"/>
          <w:sz w:val="32"/>
          <w:szCs w:val="32"/>
        </w:rPr>
        <w:t>GB18599-2001</w:t>
      </w:r>
      <w:r>
        <w:rPr>
          <w:rFonts w:hint="eastAsia" w:ascii="Times New Roman" w:hAnsi="仿宋" w:eastAsia="仿宋" w:cs="Times New Roman"/>
          <w:sz w:val="32"/>
          <w:szCs w:val="32"/>
        </w:rPr>
        <w:t>）及</w:t>
      </w:r>
      <w:r>
        <w:rPr>
          <w:rFonts w:ascii="Times New Roman" w:hAnsi="仿宋" w:eastAsia="仿宋" w:cs="Times New Roman"/>
          <w:sz w:val="32"/>
          <w:szCs w:val="32"/>
        </w:rPr>
        <w:t>2013</w:t>
      </w:r>
      <w:r>
        <w:rPr>
          <w:rFonts w:hint="eastAsia" w:ascii="Times New Roman" w:hAnsi="仿宋" w:eastAsia="仿宋" w:cs="Times New Roman"/>
          <w:sz w:val="32"/>
          <w:szCs w:val="32"/>
        </w:rPr>
        <w:t>年修改单要求建设、贮存和运输一般固体废物；</w:t>
      </w:r>
      <w:r>
        <w:rPr>
          <w:rFonts w:hint="eastAsia" w:ascii="仿宋" w:hAnsi="仿宋" w:eastAsia="仿宋"/>
          <w:color w:val="000000"/>
          <w:kern w:val="0"/>
          <w:sz w:val="32"/>
          <w:szCs w:val="32"/>
        </w:rPr>
        <w:t>生活垃圾定期交环卫部门处理。</w:t>
      </w:r>
    </w:p>
    <w:p>
      <w:pPr>
        <w:keepNext w:val="0"/>
        <w:keepLines w:val="0"/>
        <w:pageBreakBefore w:val="0"/>
        <w:kinsoku/>
        <w:wordWrap/>
        <w:overflowPunct/>
        <w:topLinePunct w:val="0"/>
        <w:bidi w:val="0"/>
        <w:spacing w:line="480" w:lineRule="exact"/>
        <w:ind w:firstLine="640"/>
        <w:rPr>
          <w:rFonts w:hint="eastAsia" w:hAnsi="仿宋" w:eastAsia="仿宋"/>
          <w:sz w:val="32"/>
          <w:szCs w:val="32"/>
        </w:rPr>
      </w:pPr>
      <w:r>
        <w:rPr>
          <w:rFonts w:hint="eastAsia" w:ascii="仿宋" w:hAnsi="仿宋" w:eastAsia="仿宋"/>
          <w:sz w:val="32"/>
          <w:szCs w:val="32"/>
        </w:rPr>
        <w:t>（五）环境管理和风险防范工作。</w:t>
      </w:r>
      <w:r>
        <w:rPr>
          <w:rFonts w:hint="eastAsia" w:hAnsi="仿宋" w:eastAsia="仿宋"/>
          <w:sz w:val="32"/>
          <w:szCs w:val="32"/>
        </w:rPr>
        <w:t>落实报告书提出的风险防范措施。重点落实防船舶溢油泄漏等管理措施。定期开展应急演练，充分利用港区内已有的风险防范设备、设施，加强与当地政府和海事等部门应急联动。</w:t>
      </w:r>
    </w:p>
    <w:p>
      <w:pPr>
        <w:keepNext w:val="0"/>
        <w:keepLines w:val="0"/>
        <w:pageBreakBefore w:val="0"/>
        <w:kinsoku/>
        <w:wordWrap/>
        <w:overflowPunct/>
        <w:topLinePunct w:val="0"/>
        <w:bidi w:val="0"/>
        <w:spacing w:line="480"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三、你公司应在收到本批复后15个工作日内，将批复及批准的环评报告文本送至岳阳市生态环境局湘阴分局</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湖南道和环保科技有限公司。</w:t>
      </w:r>
    </w:p>
    <w:p>
      <w:pPr>
        <w:keepNext w:val="0"/>
        <w:keepLines w:val="0"/>
        <w:pageBreakBefore w:val="0"/>
        <w:kinsoku/>
        <w:wordWrap/>
        <w:overflowPunct/>
        <w:topLinePunct w:val="0"/>
        <w:bidi w:val="0"/>
        <w:spacing w:line="480" w:lineRule="exact"/>
        <w:ind w:firstLine="640" w:firstLineChars="200"/>
      </w:pPr>
      <w:r>
        <w:rPr>
          <w:rFonts w:hint="eastAsia" w:ascii="仿宋" w:hAnsi="仿宋" w:eastAsia="仿宋"/>
          <w:sz w:val="32"/>
          <w:szCs w:val="32"/>
        </w:rPr>
        <w:t>四、请岳阳市生态环境局湘阴分局负责项目建设期和运营期的日常环境监管。</w:t>
      </w:r>
    </w:p>
    <w:p>
      <w:pPr>
        <w:pStyle w:val="19"/>
        <w:keepNext w:val="0"/>
        <w:keepLines w:val="0"/>
        <w:pageBreakBefore w:val="0"/>
        <w:kinsoku/>
        <w:wordWrap/>
        <w:overflowPunct/>
        <w:topLinePunct w:val="0"/>
        <w:bidi w:val="0"/>
        <w:spacing w:line="480" w:lineRule="exact"/>
        <w:ind w:firstLine="585"/>
        <w:rPr>
          <w:rFonts w:ascii="仿宋" w:hAnsi="仿宋" w:eastAsia="仿宋" w:cs="仿宋"/>
          <w:kern w:val="2"/>
          <w:sz w:val="32"/>
          <w:szCs w:val="32"/>
        </w:rPr>
      </w:pPr>
    </w:p>
    <w:p>
      <w:pPr>
        <w:pStyle w:val="19"/>
        <w:keepNext w:val="0"/>
        <w:keepLines w:val="0"/>
        <w:pageBreakBefore w:val="0"/>
        <w:kinsoku/>
        <w:wordWrap/>
        <w:overflowPunct/>
        <w:topLinePunct w:val="0"/>
        <w:bidi w:val="0"/>
        <w:spacing w:line="480" w:lineRule="exact"/>
        <w:rPr>
          <w:rFonts w:ascii="仿宋" w:hAnsi="仿宋" w:eastAsia="仿宋" w:cs="仿宋"/>
          <w:kern w:val="2"/>
          <w:sz w:val="32"/>
          <w:szCs w:val="32"/>
        </w:rPr>
      </w:pPr>
    </w:p>
    <w:p>
      <w:pPr>
        <w:pStyle w:val="19"/>
        <w:keepNext w:val="0"/>
        <w:keepLines w:val="0"/>
        <w:pageBreakBefore w:val="0"/>
        <w:kinsoku/>
        <w:wordWrap/>
        <w:overflowPunct/>
        <w:topLinePunct w:val="0"/>
        <w:bidi w:val="0"/>
        <w:spacing w:line="480" w:lineRule="exact"/>
        <w:rPr>
          <w:rFonts w:ascii="仿宋" w:hAnsi="仿宋" w:eastAsia="仿宋" w:cs="仿宋"/>
          <w:kern w:val="2"/>
          <w:sz w:val="32"/>
          <w:szCs w:val="32"/>
        </w:rPr>
      </w:pPr>
    </w:p>
    <w:p>
      <w:pPr>
        <w:pStyle w:val="19"/>
        <w:keepNext w:val="0"/>
        <w:keepLines w:val="0"/>
        <w:pageBreakBefore w:val="0"/>
        <w:kinsoku/>
        <w:wordWrap/>
        <w:overflowPunct/>
        <w:topLinePunct w:val="0"/>
        <w:bidi w:val="0"/>
        <w:spacing w:line="480" w:lineRule="exact"/>
        <w:rPr>
          <w:rFonts w:ascii="仿宋" w:hAnsi="仿宋" w:eastAsia="仿宋" w:cs="仿宋"/>
          <w:kern w:val="2"/>
          <w:sz w:val="32"/>
          <w:szCs w:val="32"/>
        </w:rPr>
      </w:pPr>
    </w:p>
    <w:p>
      <w:pPr>
        <w:pStyle w:val="19"/>
        <w:keepNext w:val="0"/>
        <w:keepLines w:val="0"/>
        <w:pageBreakBefore w:val="0"/>
        <w:kinsoku/>
        <w:wordWrap/>
        <w:overflowPunct/>
        <w:topLinePunct w:val="0"/>
        <w:bidi w:val="0"/>
        <w:spacing w:line="480" w:lineRule="exact"/>
        <w:ind w:left="0" w:firstLine="5120" w:firstLineChars="1600"/>
        <w:rPr>
          <w:rFonts w:ascii="仿宋" w:hAnsi="仿宋" w:eastAsia="仿宋" w:cs="仿宋"/>
          <w:kern w:val="2"/>
          <w:sz w:val="32"/>
          <w:szCs w:val="32"/>
        </w:rPr>
      </w:pPr>
      <w:r>
        <w:rPr>
          <w:rFonts w:hint="eastAsia" w:ascii="仿宋" w:hAnsi="仿宋" w:eastAsia="仿宋" w:cs="仿宋"/>
          <w:kern w:val="2"/>
          <w:sz w:val="32"/>
          <w:szCs w:val="32"/>
        </w:rPr>
        <w:t>岳阳市生态环境局</w:t>
      </w:r>
    </w:p>
    <w:p>
      <w:pPr>
        <w:pStyle w:val="19"/>
        <w:keepNext w:val="0"/>
        <w:keepLines w:val="0"/>
        <w:pageBreakBefore w:val="0"/>
        <w:widowControl/>
        <w:kinsoku/>
        <w:wordWrap/>
        <w:overflowPunct/>
        <w:topLinePunct w:val="0"/>
        <w:autoSpaceDE/>
        <w:autoSpaceDN/>
        <w:bidi w:val="0"/>
        <w:adjustRightInd/>
        <w:snapToGrid w:val="0"/>
        <w:spacing w:line="480" w:lineRule="exact"/>
        <w:ind w:left="0" w:firstLine="5184" w:firstLineChars="1620"/>
        <w:textAlignment w:val="bottom"/>
        <w:rPr>
          <w:rFonts w:ascii="仿宋" w:hAnsi="仿宋" w:eastAsia="仿宋" w:cs="仿宋"/>
          <w:color w:val="000000"/>
          <w:kern w:val="2"/>
          <w:sz w:val="32"/>
          <w:szCs w:val="32"/>
        </w:rPr>
      </w:pPr>
      <w:r>
        <w:rPr>
          <w:rFonts w:ascii="仿宋" w:hAnsi="仿宋" w:eastAsia="仿宋" w:cs="仿宋"/>
          <w:color w:val="000000"/>
          <w:kern w:val="2"/>
          <w:sz w:val="32"/>
          <w:szCs w:val="32"/>
        </w:rPr>
        <w:t>20</w:t>
      </w:r>
      <w:r>
        <w:rPr>
          <w:rFonts w:hint="eastAsia" w:ascii="仿宋" w:hAnsi="仿宋" w:eastAsia="仿宋" w:cs="仿宋"/>
          <w:color w:val="000000"/>
          <w:kern w:val="2"/>
          <w:sz w:val="32"/>
          <w:szCs w:val="32"/>
        </w:rPr>
        <w:t>21年</w:t>
      </w:r>
      <w:r>
        <w:rPr>
          <w:rFonts w:hint="eastAsia" w:ascii="仿宋" w:hAnsi="仿宋" w:eastAsia="仿宋" w:cs="仿宋"/>
          <w:color w:val="000000"/>
          <w:kern w:val="2"/>
          <w:sz w:val="32"/>
          <w:szCs w:val="32"/>
          <w:lang w:val="en-US" w:eastAsia="zh-CN"/>
        </w:rPr>
        <w:t>5</w:t>
      </w:r>
      <w:r>
        <w:rPr>
          <w:rFonts w:hint="eastAsia" w:ascii="仿宋" w:hAnsi="仿宋" w:eastAsia="仿宋" w:cs="仿宋"/>
          <w:color w:val="000000"/>
          <w:kern w:val="2"/>
          <w:sz w:val="32"/>
          <w:szCs w:val="32"/>
        </w:rPr>
        <w:t>月</w:t>
      </w:r>
      <w:r>
        <w:rPr>
          <w:rFonts w:hint="eastAsia" w:ascii="仿宋" w:hAnsi="仿宋" w:eastAsia="仿宋" w:cs="仿宋"/>
          <w:color w:val="000000"/>
          <w:kern w:val="2"/>
          <w:sz w:val="32"/>
          <w:szCs w:val="32"/>
          <w:lang w:val="en-US" w:eastAsia="zh-CN"/>
        </w:rPr>
        <w:t>7</w:t>
      </w:r>
      <w:r>
        <w:rPr>
          <w:rFonts w:hint="eastAsia" w:ascii="仿宋" w:hAnsi="仿宋" w:eastAsia="仿宋" w:cs="仿宋"/>
          <w:color w:val="000000"/>
          <w:kern w:val="2"/>
          <w:sz w:val="32"/>
          <w:szCs w:val="32"/>
        </w:rPr>
        <w:t>日</w:t>
      </w:r>
    </w:p>
    <w:p>
      <w:pPr>
        <w:pStyle w:val="19"/>
        <w:spacing w:line="480" w:lineRule="exact"/>
        <w:ind w:left="0" w:firstLine="4480" w:firstLineChars="1400"/>
        <w:rPr>
          <w:rFonts w:ascii="仿宋" w:hAnsi="仿宋" w:eastAsia="仿宋" w:cs="仿宋"/>
          <w:kern w:val="2"/>
          <w:sz w:val="32"/>
          <w:szCs w:val="32"/>
        </w:rPr>
      </w:pPr>
    </w:p>
    <w:p>
      <w:pPr>
        <w:pStyle w:val="19"/>
        <w:spacing w:line="480" w:lineRule="exact"/>
        <w:ind w:left="0" w:firstLine="4480" w:firstLineChars="1400"/>
        <w:rPr>
          <w:rFonts w:hint="eastAsia" w:ascii="仿宋" w:hAnsi="仿宋" w:eastAsia="仿宋" w:cs="仿宋"/>
          <w:kern w:val="2"/>
          <w:sz w:val="32"/>
          <w:szCs w:val="32"/>
        </w:rPr>
      </w:pPr>
    </w:p>
    <w:p>
      <w:pPr>
        <w:pStyle w:val="19"/>
        <w:spacing w:line="480" w:lineRule="exact"/>
        <w:ind w:left="0" w:firstLine="4480" w:firstLineChars="1400"/>
        <w:rPr>
          <w:rFonts w:hint="eastAsia" w:ascii="仿宋" w:hAnsi="仿宋" w:eastAsia="仿宋" w:cs="仿宋"/>
          <w:kern w:val="2"/>
          <w:sz w:val="32"/>
          <w:szCs w:val="32"/>
        </w:rPr>
      </w:pPr>
    </w:p>
    <w:p>
      <w:pPr>
        <w:pStyle w:val="19"/>
        <w:spacing w:line="480" w:lineRule="exact"/>
        <w:ind w:left="0" w:firstLine="4480" w:firstLineChars="1400"/>
        <w:rPr>
          <w:rFonts w:hint="eastAsia" w:ascii="仿宋" w:hAnsi="仿宋" w:eastAsia="仿宋" w:cs="仿宋"/>
          <w:kern w:val="2"/>
          <w:sz w:val="32"/>
          <w:szCs w:val="32"/>
        </w:rPr>
      </w:pPr>
    </w:p>
    <w:p>
      <w:pPr>
        <w:pStyle w:val="19"/>
        <w:spacing w:line="480" w:lineRule="exact"/>
        <w:ind w:left="0" w:firstLine="4480" w:firstLineChars="1400"/>
        <w:rPr>
          <w:rFonts w:hint="eastAsia" w:ascii="仿宋" w:hAnsi="仿宋" w:eastAsia="仿宋" w:cs="仿宋"/>
          <w:kern w:val="2"/>
          <w:sz w:val="32"/>
          <w:szCs w:val="32"/>
        </w:rPr>
      </w:pPr>
    </w:p>
    <w:p>
      <w:pPr>
        <w:pStyle w:val="19"/>
        <w:spacing w:line="480" w:lineRule="exact"/>
        <w:ind w:left="0" w:firstLine="4480" w:firstLineChars="1400"/>
        <w:rPr>
          <w:rFonts w:ascii="仿宋" w:hAnsi="仿宋" w:eastAsia="仿宋" w:cs="仿宋"/>
          <w:kern w:val="2"/>
          <w:sz w:val="32"/>
          <w:szCs w:val="32"/>
        </w:rPr>
      </w:pPr>
    </w:p>
    <w:p>
      <w:pPr>
        <w:pStyle w:val="19"/>
        <w:spacing w:line="480" w:lineRule="exact"/>
        <w:ind w:left="0" w:firstLine="4480" w:firstLineChars="1400"/>
        <w:rPr>
          <w:rFonts w:ascii="仿宋" w:hAnsi="仿宋" w:eastAsia="仿宋" w:cs="仿宋"/>
          <w:kern w:val="2"/>
          <w:sz w:val="32"/>
          <w:szCs w:val="32"/>
        </w:rPr>
      </w:pPr>
    </w:p>
    <w:p>
      <w:pPr>
        <w:pStyle w:val="19"/>
        <w:spacing w:line="20" w:lineRule="exact"/>
        <w:ind w:left="0" w:firstLine="4640" w:firstLineChars="1450"/>
        <w:rPr>
          <w:rFonts w:ascii="仿宋" w:hAnsi="仿宋" w:eastAsia="仿宋" w:cs="仿宋"/>
          <w:kern w:val="2"/>
          <w:sz w:val="32"/>
          <w:szCs w:val="32"/>
        </w:rPr>
      </w:pPr>
    </w:p>
    <w:p>
      <w:pPr>
        <w:pStyle w:val="19"/>
        <w:spacing w:line="20" w:lineRule="exact"/>
        <w:ind w:left="0" w:firstLine="4640" w:firstLineChars="1450"/>
        <w:rPr>
          <w:rFonts w:ascii="仿宋" w:hAnsi="仿宋" w:eastAsia="仿宋" w:cs="仿宋"/>
          <w:kern w:val="2"/>
          <w:sz w:val="32"/>
          <w:szCs w:val="32"/>
        </w:rPr>
      </w:pPr>
    </w:p>
    <w:p>
      <w:pPr>
        <w:pStyle w:val="19"/>
        <w:spacing w:line="20" w:lineRule="exact"/>
        <w:ind w:left="0" w:firstLine="4640" w:firstLineChars="1450"/>
        <w:rPr>
          <w:rFonts w:ascii="仿宋" w:hAnsi="仿宋" w:eastAsia="仿宋" w:cs="仿宋"/>
          <w:kern w:val="2"/>
          <w:sz w:val="32"/>
          <w:szCs w:val="32"/>
        </w:rPr>
      </w:pPr>
    </w:p>
    <w:p>
      <w:pPr>
        <w:pStyle w:val="19"/>
        <w:spacing w:line="20" w:lineRule="exact"/>
        <w:ind w:left="0" w:firstLine="4640" w:firstLineChars="1450"/>
        <w:rPr>
          <w:rFonts w:ascii="仿宋" w:hAnsi="仿宋" w:eastAsia="仿宋" w:cs="仿宋"/>
          <w:kern w:val="2"/>
          <w:sz w:val="32"/>
          <w:szCs w:val="32"/>
        </w:rPr>
      </w:pPr>
    </w:p>
    <w:p>
      <w:pPr>
        <w:pStyle w:val="19"/>
        <w:spacing w:line="20" w:lineRule="exact"/>
        <w:ind w:left="0" w:firstLine="4640" w:firstLineChars="1450"/>
        <w:rPr>
          <w:rFonts w:ascii="仿宋" w:hAnsi="仿宋" w:eastAsia="仿宋" w:cs="仿宋"/>
          <w:kern w:val="2"/>
          <w:sz w:val="32"/>
          <w:szCs w:val="32"/>
        </w:rPr>
      </w:pPr>
    </w:p>
    <w:p>
      <w:pPr>
        <w:pStyle w:val="19"/>
        <w:spacing w:line="20" w:lineRule="exact"/>
        <w:ind w:left="0" w:firstLine="4640" w:firstLineChars="1450"/>
        <w:rPr>
          <w:rFonts w:ascii="仿宋" w:hAnsi="仿宋" w:eastAsia="仿宋" w:cs="仿宋"/>
          <w:kern w:val="2"/>
          <w:sz w:val="32"/>
          <w:szCs w:val="32"/>
        </w:rPr>
      </w:pPr>
    </w:p>
    <w:p>
      <w:pPr>
        <w:pStyle w:val="19"/>
        <w:spacing w:line="20" w:lineRule="exact"/>
        <w:ind w:left="0" w:firstLine="4640" w:firstLineChars="1450"/>
        <w:rPr>
          <w:rFonts w:ascii="仿宋" w:hAnsi="仿宋" w:eastAsia="仿宋" w:cs="仿宋"/>
          <w:kern w:val="2"/>
          <w:sz w:val="32"/>
          <w:szCs w:val="32"/>
        </w:rPr>
      </w:pPr>
    </w:p>
    <w:p>
      <w:pPr>
        <w:pStyle w:val="19"/>
        <w:spacing w:line="20" w:lineRule="exact"/>
        <w:ind w:left="0" w:firstLine="4640" w:firstLineChars="1450"/>
        <w:rPr>
          <w:rFonts w:ascii="仿宋" w:hAnsi="仿宋" w:eastAsia="仿宋" w:cs="仿宋"/>
          <w:kern w:val="2"/>
          <w:sz w:val="32"/>
          <w:szCs w:val="32"/>
        </w:rPr>
      </w:pPr>
    </w:p>
    <w:p>
      <w:pPr>
        <w:pStyle w:val="19"/>
        <w:spacing w:line="20" w:lineRule="exact"/>
        <w:ind w:left="0" w:firstLine="4640" w:firstLineChars="1450"/>
        <w:rPr>
          <w:rFonts w:ascii="仿宋" w:hAnsi="仿宋" w:eastAsia="仿宋" w:cs="仿宋"/>
          <w:kern w:val="2"/>
          <w:sz w:val="32"/>
          <w:szCs w:val="32"/>
        </w:rPr>
      </w:pPr>
    </w:p>
    <w:p>
      <w:pPr>
        <w:pStyle w:val="19"/>
        <w:spacing w:line="20" w:lineRule="exact"/>
        <w:ind w:left="0" w:firstLine="4640" w:firstLineChars="1450"/>
        <w:rPr>
          <w:rFonts w:ascii="仿宋" w:hAnsi="仿宋" w:eastAsia="仿宋" w:cs="仿宋"/>
          <w:kern w:val="2"/>
          <w:sz w:val="32"/>
          <w:szCs w:val="32"/>
        </w:rPr>
      </w:pPr>
    </w:p>
    <w:sectPr>
      <w:headerReference r:id="rId3" w:type="default"/>
      <w:footerReference r:id="rId4" w:type="default"/>
      <w:pgSz w:w="11906" w:h="16838"/>
      <w:pgMar w:top="1440" w:right="1588" w:bottom="1418" w:left="1588" w:header="851" w:footer="992" w:gutter="0"/>
      <w:cols w:space="720" w:num="1"/>
      <w:titlePg/>
      <w:docGrid w:type="lines" w:linePitch="29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0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2</w:t>
    </w:r>
    <w:r>
      <w:rPr>
        <w:lang w:val="zh-CN"/>
      </w:rP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revisionView w:markup="0"/>
  <w:documentProtection w:edit="trackedChanges" w:enforcement="0"/>
  <w:defaultTabStop w:val="420"/>
  <w:drawingGridHorizontalSpacing w:val="105"/>
  <w:drawingGridVerticalSpacing w:val="291"/>
  <w:displayHorizontalDrawingGridEvery w:val="0"/>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603C6F"/>
    <w:rsid w:val="5DFE7FB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qFormat/>
    <w:uiPriority w:val="1"/>
  </w:style>
  <w:style w:type="table" w:default="1" w:styleId="8">
    <w:name w:val="Normal Table"/>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xl27"/>
    <w:basedOn w:val="1"/>
    <w:qFormat/>
    <w:uiPriority w:val="99"/>
    <w:pPr>
      <w:widowControl/>
      <w:pBdr>
        <w:bottom w:val="single" w:color="auto" w:sz="4" w:space="0"/>
        <w:right w:val="single" w:color="auto" w:sz="4" w:space="0"/>
      </w:pBdr>
      <w:spacing w:before="100" w:beforeAutospacing="1" w:after="100" w:afterAutospacing="1"/>
      <w:jc w:val="center"/>
    </w:pPr>
    <w:rPr>
      <w:rFonts w:hint="eastAsia" w:ascii="Arial Unicode MS" w:hAnsi="Arial Unicode MS" w:eastAsia="Arial Unicode MS"/>
    </w:rPr>
  </w:style>
  <w:style w:type="paragraph" w:styleId="4">
    <w:name w:val="Date"/>
    <w:basedOn w:val="1"/>
    <w:next w:val="1"/>
    <w:link w:val="12"/>
    <w:qFormat/>
    <w:uiPriority w:val="99"/>
    <w:pPr>
      <w:ind w:left="100" w:leftChars="2500"/>
    </w:pPr>
  </w:style>
  <w:style w:type="paragraph" w:styleId="5">
    <w:name w:val="Balloon Text"/>
    <w:basedOn w:val="1"/>
    <w:link w:val="13"/>
    <w:qFormat/>
    <w:uiPriority w:val="99"/>
    <w:rPr>
      <w:sz w:val="18"/>
      <w:szCs w:val="18"/>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1">
    <w:name w:val="page number"/>
    <w:basedOn w:val="10"/>
    <w:qFormat/>
    <w:uiPriority w:val="99"/>
    <w:rPr>
      <w:rFonts w:cs="Times New Roman"/>
    </w:rPr>
  </w:style>
  <w:style w:type="character" w:customStyle="1" w:styleId="12">
    <w:name w:val="日期 Char"/>
    <w:basedOn w:val="10"/>
    <w:link w:val="4"/>
    <w:qFormat/>
    <w:uiPriority w:val="99"/>
    <w:rPr>
      <w:szCs w:val="24"/>
    </w:rPr>
  </w:style>
  <w:style w:type="character" w:customStyle="1" w:styleId="13">
    <w:name w:val="批注框文本 Char"/>
    <w:basedOn w:val="10"/>
    <w:link w:val="5"/>
    <w:qFormat/>
    <w:uiPriority w:val="99"/>
    <w:rPr>
      <w:rFonts w:cs="Times New Roman"/>
      <w:kern w:val="2"/>
      <w:sz w:val="18"/>
      <w:szCs w:val="18"/>
    </w:rPr>
  </w:style>
  <w:style w:type="character" w:customStyle="1" w:styleId="14">
    <w:name w:val="页脚 Char"/>
    <w:basedOn w:val="10"/>
    <w:link w:val="6"/>
    <w:qFormat/>
    <w:uiPriority w:val="99"/>
    <w:rPr>
      <w:rFonts w:cs="Times New Roman"/>
      <w:kern w:val="2"/>
      <w:sz w:val="18"/>
      <w:szCs w:val="18"/>
    </w:rPr>
  </w:style>
  <w:style w:type="character" w:customStyle="1" w:styleId="15">
    <w:name w:val="页眉 Char"/>
    <w:basedOn w:val="10"/>
    <w:link w:val="7"/>
    <w:qFormat/>
    <w:uiPriority w:val="99"/>
    <w:rPr>
      <w:rFonts w:cs="Times New Roman"/>
      <w:kern w:val="2"/>
      <w:sz w:val="18"/>
      <w:szCs w:val="18"/>
    </w:rPr>
  </w:style>
  <w:style w:type="character" w:customStyle="1" w:styleId="16">
    <w:name w:val="p0 Char"/>
    <w:basedOn w:val="10"/>
    <w:link w:val="17"/>
    <w:qFormat/>
    <w:uiPriority w:val="99"/>
    <w:rPr>
      <w:rFonts w:eastAsia="宋体" w:cs="Times New Roman"/>
      <w:sz w:val="32"/>
      <w:szCs w:val="32"/>
      <w:lang w:val="en-US" w:eastAsia="zh-CN" w:bidi="ar-SA"/>
    </w:rPr>
  </w:style>
  <w:style w:type="paragraph" w:customStyle="1" w:styleId="17">
    <w:name w:val="p0"/>
    <w:basedOn w:val="1"/>
    <w:link w:val="16"/>
    <w:qFormat/>
    <w:uiPriority w:val="99"/>
    <w:pPr>
      <w:widowControl/>
    </w:pPr>
    <w:rPr>
      <w:kern w:val="0"/>
      <w:sz w:val="32"/>
      <w:szCs w:val="32"/>
    </w:rPr>
  </w:style>
  <w:style w:type="paragraph" w:customStyle="1" w:styleId="18">
    <w:name w:val="WPS Plain"/>
    <w:qFormat/>
    <w:uiPriority w:val="99"/>
    <w:rPr>
      <w:rFonts w:ascii="Times New Roman" w:hAnsi="Times New Roman" w:eastAsia="宋体" w:cs="Times New Roman"/>
      <w:lang w:val="en-US" w:eastAsia="zh-CN" w:bidi="ar-SA"/>
    </w:rPr>
  </w:style>
  <w:style w:type="paragraph" w:customStyle="1" w:styleId="19">
    <w:name w:val="0"/>
    <w:basedOn w:val="1"/>
    <w:qFormat/>
    <w:uiPriority w:val="99"/>
    <w:pPr>
      <w:widowControl/>
      <w:snapToGrid w:val="0"/>
      <w:spacing w:line="365" w:lineRule="atLeast"/>
      <w:ind w:left="1"/>
      <w:textAlignment w:val="bottom"/>
    </w:pPr>
    <w:rPr>
      <w:kern w:val="0"/>
      <w:sz w:val="20"/>
      <w:szCs w:val="20"/>
    </w:rPr>
  </w:style>
  <w:style w:type="paragraph" w:customStyle="1" w:styleId="20">
    <w:name w:val="表头字体宋"/>
    <w:basedOn w:val="1"/>
    <w:qFormat/>
    <w:uiPriority w:val="99"/>
    <w:pPr>
      <w:spacing w:line="500" w:lineRule="exact"/>
      <w:jc w:val="center"/>
    </w:pPr>
    <w:rPr>
      <w:rFonts w:ascii="宋体" w:hAnsi="宋体" w:cs="宋体"/>
      <w:b/>
      <w:bCs/>
      <w:sz w:val="24"/>
      <w:szCs w:val="20"/>
    </w:rPr>
  </w:style>
  <w:style w:type="paragraph" w:customStyle="1" w:styleId="21">
    <w:name w:val="表格内容"/>
    <w:basedOn w:val="1"/>
    <w:qFormat/>
    <w:uiPriority w:val="99"/>
    <w:pPr>
      <w:autoSpaceDE w:val="0"/>
      <w:autoSpaceDN w:val="0"/>
      <w:adjustRightInd w:val="0"/>
      <w:spacing w:line="360" w:lineRule="auto"/>
      <w:jc w:val="center"/>
      <w:textAlignment w:val="baseline"/>
    </w:pPr>
    <w:rPr>
      <w:color w:val="000000"/>
      <w:kern w:val="0"/>
      <w:szCs w:val="21"/>
    </w:rPr>
  </w:style>
  <w:style w:type="character" w:customStyle="1" w:styleId="22">
    <w:name w:val="biaoge Char"/>
    <w:link w:val="23"/>
    <w:qFormat/>
    <w:uiPriority w:val="99"/>
    <w:rPr>
      <w:kern w:val="2"/>
      <w:sz w:val="24"/>
    </w:rPr>
  </w:style>
  <w:style w:type="paragraph" w:customStyle="1" w:styleId="23">
    <w:name w:val="biaoge"/>
    <w:basedOn w:val="1"/>
    <w:link w:val="22"/>
    <w:qFormat/>
    <w:uiPriority w:val="99"/>
    <w:pPr>
      <w:jc w:val="center"/>
    </w:pPr>
    <w:rPr>
      <w:sz w:val="24"/>
      <w:szCs w:val="20"/>
    </w:rPr>
  </w:style>
  <w:style w:type="paragraph" w:customStyle="1" w:styleId="24">
    <w:name w:val="文章正文样式"/>
    <w:basedOn w:val="1"/>
    <w:qFormat/>
    <w:uiPriority w:val="0"/>
    <w:pPr>
      <w:spacing w:line="520" w:lineRule="exact"/>
      <w:ind w:firstLine="480" w:firstLineChars="200"/>
      <w:jc w:val="left"/>
    </w:pPr>
    <w:rPr>
      <w:rFonts w:ascii="宋体" w:hAnsi="宋体" w:cs="宋体"/>
      <w:sz w:val="24"/>
    </w:rPr>
  </w:style>
  <w:style w:type="paragraph" w:styleId="2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1618</Words>
  <Characters>1747</Characters>
  <Paragraphs>47</Paragraphs>
  <TotalTime>4</TotalTime>
  <ScaleCrop>false</ScaleCrop>
  <LinksUpToDate>false</LinksUpToDate>
  <CharactersWithSpaces>1753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2019-02-01T10:46:00Z</dcterms:created>
  <dc:creator>微软用户</dc:creator>
  <cp:lastModifiedBy>王志勤</cp:lastModifiedBy>
  <cp:lastPrinted>2019-07-22T02:14:00Z</cp:lastPrinted>
  <dcterms:modified xsi:type="dcterms:W3CDTF">2021-06-17T08:41:41Z</dcterms:modified>
  <dc:title>湘 阴 县 大 地 化 工 有 限 公 司</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058C5021B5E545EE99C395748956A0F3</vt:lpwstr>
  </property>
</Properties>
</file>