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480" w:lineRule="exact"/>
        <w:textAlignment w:val="top"/>
        <w:rPr>
          <w:rFonts w:eastAsia="黑体"/>
          <w:b/>
          <w:kern w:val="2"/>
          <w:sz w:val="36"/>
          <w:szCs w:val="22"/>
        </w:rPr>
      </w:pPr>
    </w:p>
    <w:p>
      <w:pPr>
        <w:pStyle w:val="12"/>
        <w:spacing w:line="480" w:lineRule="exact"/>
        <w:textAlignment w:val="top"/>
        <w:rPr>
          <w:rFonts w:eastAsia="黑体"/>
          <w:b/>
          <w:kern w:val="2"/>
          <w:sz w:val="36"/>
          <w:szCs w:val="22"/>
        </w:rPr>
      </w:pPr>
    </w:p>
    <w:p>
      <w:pPr>
        <w:pStyle w:val="12"/>
        <w:spacing w:line="480" w:lineRule="exact"/>
        <w:textAlignment w:val="top"/>
        <w:rPr>
          <w:rFonts w:eastAsia="黑体"/>
          <w:b/>
          <w:kern w:val="2"/>
          <w:sz w:val="36"/>
          <w:szCs w:val="22"/>
        </w:rPr>
      </w:pPr>
    </w:p>
    <w:p>
      <w:pPr>
        <w:pStyle w:val="12"/>
        <w:spacing w:line="480" w:lineRule="exact"/>
        <w:textAlignment w:val="top"/>
        <w:rPr>
          <w:rFonts w:eastAsia="黑体"/>
          <w:b/>
          <w:kern w:val="2"/>
          <w:sz w:val="36"/>
          <w:szCs w:val="22"/>
        </w:rPr>
      </w:pPr>
    </w:p>
    <w:p>
      <w:pPr>
        <w:pStyle w:val="12"/>
        <w:spacing w:line="480" w:lineRule="exact"/>
        <w:textAlignment w:val="top"/>
        <w:rPr>
          <w:rFonts w:eastAsia="黑体"/>
          <w:b/>
          <w:kern w:val="2"/>
          <w:sz w:val="36"/>
          <w:szCs w:val="22"/>
        </w:rPr>
      </w:pPr>
    </w:p>
    <w:p>
      <w:pPr>
        <w:pStyle w:val="12"/>
        <w:spacing w:line="480" w:lineRule="exact"/>
        <w:jc w:val="right"/>
        <w:textAlignment w:val="top"/>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岳环评 [20</w:t>
      </w:r>
      <w:r>
        <w:rPr>
          <w:rFonts w:hint="eastAsia" w:ascii="仿宋" w:hAnsi="仿宋" w:eastAsia="仿宋" w:cs="仿宋_GB2312"/>
          <w:sz w:val="32"/>
          <w:szCs w:val="32"/>
          <w:lang w:val="en-US" w:eastAsia="zh-CN"/>
        </w:rPr>
        <w:t>21</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30</w:t>
      </w:r>
      <w:r>
        <w:rPr>
          <w:rFonts w:hint="eastAsia" w:ascii="仿宋" w:hAnsi="仿宋" w:eastAsia="仿宋" w:cs="仿宋_GB2312"/>
          <w:sz w:val="32"/>
          <w:szCs w:val="32"/>
          <w:lang w:eastAsia="zh-CN"/>
        </w:rPr>
        <w:t>号</w:t>
      </w:r>
    </w:p>
    <w:p>
      <w:pPr>
        <w:pStyle w:val="12"/>
        <w:spacing w:line="480" w:lineRule="exact"/>
        <w:jc w:val="center"/>
        <w:textAlignment w:val="top"/>
        <w:rPr>
          <w:rFonts w:hint="eastAsia" w:ascii="黑体" w:hAnsi="黑体" w:eastAsia="黑体" w:cs="黑体"/>
          <w:b/>
          <w:bCs/>
          <w:sz w:val="36"/>
          <w:szCs w:val="36"/>
          <w:lang w:eastAsia="zh-CN"/>
        </w:rPr>
      </w:pPr>
      <w:r>
        <w:rPr>
          <w:rFonts w:hint="eastAsia" w:ascii="华文中宋" w:hAnsi="华文中宋" w:eastAsia="华文中宋" w:cs="华文中宋"/>
          <w:b/>
          <w:bCs/>
          <w:sz w:val="36"/>
          <w:szCs w:val="36"/>
          <w:lang w:eastAsia="zh-CN"/>
        </w:rPr>
        <w:t>关于</w:t>
      </w:r>
      <w:r>
        <w:rPr>
          <w:rFonts w:hint="eastAsia" w:ascii="华文中宋" w:hAnsi="华文中宋" w:eastAsia="华文中宋" w:cs="华文中宋"/>
          <w:b/>
          <w:bCs/>
          <w:sz w:val="36"/>
          <w:szCs w:val="36"/>
          <w:lang w:val="en-US" w:eastAsia="zh-CN"/>
        </w:rPr>
        <w:t>岳阳振兴中顺新材料科技有限公司年产20万吨过氧化氢（浓度27.5%）项目</w:t>
      </w:r>
      <w:r>
        <w:rPr>
          <w:rFonts w:hint="eastAsia" w:ascii="华文中宋" w:hAnsi="华文中宋" w:eastAsia="华文中宋" w:cs="华文中宋"/>
          <w:b/>
          <w:bCs/>
          <w:sz w:val="36"/>
          <w:szCs w:val="36"/>
          <w:lang w:eastAsia="zh-CN"/>
        </w:rPr>
        <w:t>环境影响报告书的批复</w:t>
      </w:r>
    </w:p>
    <w:p>
      <w:pPr>
        <w:pStyle w:val="12"/>
        <w:spacing w:line="480" w:lineRule="exact"/>
        <w:jc w:val="center"/>
        <w:textAlignment w:val="top"/>
        <w:rPr>
          <w:rFonts w:hint="eastAsia" w:ascii="黑体" w:hAnsi="黑体" w:eastAsia="黑体" w:cs="黑体"/>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岳阳振兴中顺新材料科技有限公司：</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你公司《关于申请</w:t>
      </w:r>
      <w:r>
        <w:rPr>
          <w:rFonts w:hint="eastAsia" w:ascii="仿宋" w:hAnsi="仿宋" w:eastAsia="仿宋" w:cs="仿宋"/>
          <w:sz w:val="32"/>
          <w:szCs w:val="32"/>
          <w:lang w:val="en-US" w:eastAsia="zh-CN"/>
        </w:rPr>
        <w:t>批复&lt;</w:t>
      </w:r>
      <w:r>
        <w:rPr>
          <w:rFonts w:hint="eastAsia" w:ascii="仿宋" w:hAnsi="仿宋" w:eastAsia="仿宋" w:cs="仿宋"/>
          <w:sz w:val="32"/>
          <w:szCs w:val="32"/>
          <w:lang w:eastAsia="zh-CN"/>
        </w:rPr>
        <w:t>岳阳振兴中顺新材料科技有限公司年产20万吨过氧化氢（浓度27.5%）项目</w:t>
      </w:r>
      <w:r>
        <w:rPr>
          <w:rFonts w:hint="eastAsia" w:ascii="仿宋" w:hAnsi="仿宋" w:eastAsia="仿宋" w:cs="仿宋"/>
          <w:sz w:val="32"/>
          <w:szCs w:val="32"/>
          <w:lang w:val="en-US" w:eastAsia="zh-CN"/>
        </w:rPr>
        <w:t>&gt;</w:t>
      </w:r>
      <w:r>
        <w:rPr>
          <w:rFonts w:hint="eastAsia" w:ascii="仿宋" w:hAnsi="仿宋" w:eastAsia="仿宋" w:cs="仿宋"/>
          <w:sz w:val="32"/>
          <w:szCs w:val="32"/>
          <w:lang w:eastAsia="zh-CN"/>
        </w:rPr>
        <w:t>的报告》、岳阳市生态环境局</w:t>
      </w:r>
      <w:r>
        <w:rPr>
          <w:rFonts w:hint="eastAsia" w:ascii="仿宋" w:hAnsi="仿宋" w:eastAsia="仿宋" w:cs="仿宋"/>
          <w:sz w:val="32"/>
          <w:szCs w:val="32"/>
          <w:lang w:val="en-US" w:eastAsia="zh-CN"/>
        </w:rPr>
        <w:t>云溪</w:t>
      </w:r>
      <w:r>
        <w:rPr>
          <w:rFonts w:hint="eastAsia" w:ascii="仿宋" w:hAnsi="仿宋" w:eastAsia="仿宋" w:cs="仿宋"/>
          <w:sz w:val="32"/>
          <w:szCs w:val="32"/>
          <w:lang w:eastAsia="zh-CN"/>
        </w:rPr>
        <w:t>分局的预审意见及有关附件收悉。经研究，批复如下：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sectPr>
          <w:pgSz w:w="11906" w:h="16838"/>
          <w:pgMar w:top="1440" w:right="1576" w:bottom="1440" w:left="1633" w:header="851" w:footer="992" w:gutter="0"/>
          <w:pgBorders>
            <w:top w:val="none" w:sz="0" w:space="0"/>
            <w:left w:val="none" w:sz="0" w:space="0"/>
            <w:bottom w:val="none" w:sz="0" w:space="0"/>
            <w:right w:val="none" w:sz="0" w:space="0"/>
          </w:pgBorders>
          <w:cols w:space="0" w:num="1"/>
          <w:rtlGutter w:val="0"/>
          <w:docGrid w:type="lines" w:linePitch="312" w:charSpace="0"/>
        </w:sectPr>
      </w:pPr>
      <w:r>
        <w:rPr>
          <w:rFonts w:hint="eastAsia" w:ascii="仿宋" w:hAnsi="仿宋" w:eastAsia="仿宋" w:cs="仿宋"/>
          <w:sz w:val="32"/>
          <w:szCs w:val="32"/>
          <w:lang w:eastAsia="zh-CN"/>
        </w:rPr>
        <w:t>一、岳阳振兴中顺新材料科技有限公司</w:t>
      </w:r>
      <w:r>
        <w:rPr>
          <w:rFonts w:hint="eastAsia" w:ascii="仿宋" w:hAnsi="仿宋" w:eastAsia="仿宋" w:cs="仿宋"/>
          <w:sz w:val="32"/>
          <w:szCs w:val="32"/>
          <w:lang w:val="en-US" w:eastAsia="zh-CN"/>
        </w:rPr>
        <w:t>拟在</w:t>
      </w:r>
      <w:r>
        <w:rPr>
          <w:rFonts w:hint="eastAsia" w:ascii="仿宋" w:hAnsi="仿宋" w:eastAsia="仿宋" w:cs="仿宋"/>
          <w:sz w:val="32"/>
          <w:szCs w:val="32"/>
          <w:lang w:eastAsia="zh-CN"/>
        </w:rPr>
        <w:t>湖南岳阳绿色化工产业园（长岭片区）</w:t>
      </w:r>
      <w:r>
        <w:rPr>
          <w:rFonts w:hint="eastAsia" w:ascii="仿宋" w:hAnsi="仿宋" w:eastAsia="仿宋" w:cs="仿宋"/>
          <w:sz w:val="32"/>
          <w:szCs w:val="32"/>
          <w:lang w:val="en-US" w:eastAsia="zh-CN"/>
        </w:rPr>
        <w:t>同心路东侧建设</w:t>
      </w:r>
      <w:r>
        <w:rPr>
          <w:rFonts w:hint="eastAsia" w:ascii="仿宋" w:hAnsi="仿宋" w:eastAsia="仿宋" w:cs="仿宋"/>
          <w:sz w:val="32"/>
          <w:szCs w:val="32"/>
          <w:lang w:eastAsia="zh-CN"/>
        </w:rPr>
        <w:t>年产20万吨过氧化氢（浓度27.5%）项目，根据项目环评</w:t>
      </w:r>
      <w:r>
        <w:rPr>
          <w:rFonts w:hint="default" w:ascii="仿宋" w:hAnsi="仿宋" w:eastAsia="仿宋" w:cs="仿宋"/>
          <w:sz w:val="32"/>
          <w:szCs w:val="32"/>
          <w:lang w:val="en-US" w:eastAsia="zh-CN"/>
        </w:rPr>
        <w:t>及业</w:t>
      </w:r>
      <w:r>
        <w:rPr>
          <w:rFonts w:hint="eastAsia" w:ascii="仿宋" w:hAnsi="仿宋" w:eastAsia="仿宋" w:cs="仿宋"/>
          <w:sz w:val="32"/>
          <w:szCs w:val="32"/>
          <w:lang w:val="en-US" w:eastAsia="zh-CN"/>
        </w:rPr>
        <w:t>主单位提供的资料，项目</w:t>
      </w:r>
      <w:r>
        <w:rPr>
          <w:rFonts w:hint="eastAsia" w:ascii="仿宋" w:hAnsi="仿宋" w:eastAsia="仿宋" w:cs="仿宋"/>
          <w:sz w:val="32"/>
          <w:szCs w:val="32"/>
          <w:lang w:eastAsia="zh-CN"/>
        </w:rPr>
        <w:t>占地面积</w:t>
      </w:r>
      <w:r>
        <w:rPr>
          <w:rFonts w:hint="eastAsia" w:ascii="仿宋" w:hAnsi="仿宋" w:eastAsia="仿宋" w:cs="仿宋"/>
          <w:sz w:val="32"/>
          <w:szCs w:val="32"/>
          <w:lang w:val="en-US" w:eastAsia="zh-CN"/>
        </w:rPr>
        <w:t>100亩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总</w:t>
      </w:r>
      <w:r>
        <w:rPr>
          <w:rFonts w:hint="eastAsia" w:ascii="仿宋" w:hAnsi="仿宋" w:eastAsia="仿宋" w:cs="仿宋"/>
          <w:sz w:val="32"/>
          <w:szCs w:val="32"/>
          <w:lang w:eastAsia="zh-CN"/>
        </w:rPr>
        <w:t>投资</w:t>
      </w:r>
      <w:r>
        <w:rPr>
          <w:rFonts w:hint="eastAsia" w:ascii="仿宋" w:hAnsi="仿宋" w:eastAsia="仿宋" w:cs="仿宋"/>
          <w:sz w:val="32"/>
          <w:szCs w:val="32"/>
          <w:lang w:val="en-US" w:eastAsia="zh-CN"/>
        </w:rPr>
        <w:t>40000</w:t>
      </w:r>
      <w:r>
        <w:rPr>
          <w:rFonts w:hint="eastAsia" w:ascii="仿宋" w:hAnsi="仿宋" w:eastAsia="仿宋" w:cs="仿宋"/>
          <w:sz w:val="32"/>
          <w:szCs w:val="32"/>
          <w:lang w:eastAsia="zh-CN"/>
        </w:rPr>
        <w:t>万元；</w:t>
      </w:r>
      <w:r>
        <w:rPr>
          <w:rFonts w:hint="eastAsia" w:ascii="仿宋" w:hAnsi="仿宋" w:eastAsia="仿宋" w:cs="仿宋"/>
          <w:sz w:val="32"/>
          <w:szCs w:val="32"/>
          <w:lang w:val="en-US" w:eastAsia="zh-CN"/>
        </w:rPr>
        <w:t>拟利用甲醇为主要原材料，首先通过甲醇裂解制取氢气，再通过稀品工段工艺制取27.5%双氧水，以27.5%双氧水为原料，通过浓品工段工艺制取50%工业级双氧水，以50%工业级双氧水为原料，通过提纯工艺制取31%电子级双氧水；</w:t>
      </w:r>
      <w:r>
        <w:rPr>
          <w:rFonts w:hint="eastAsia" w:ascii="仿宋" w:hAnsi="仿宋" w:eastAsia="仿宋" w:cs="仿宋"/>
          <w:sz w:val="32"/>
          <w:szCs w:val="32"/>
          <w:lang w:eastAsia="zh-CN"/>
        </w:rPr>
        <w:t>产品规模为:年产 20万吨过氧化氢（浓度27.5%</w:t>
      </w:r>
      <w:r>
        <w:rPr>
          <w:rFonts w:hint="eastAsia" w:ascii="仿宋" w:hAnsi="仿宋" w:eastAsia="仿宋" w:cs="仿宋"/>
          <w:sz w:val="32"/>
          <w:szCs w:val="32"/>
          <w:lang w:val="en-US" w:eastAsia="zh-CN"/>
        </w:rPr>
        <w:t>计</w:t>
      </w:r>
      <w:r>
        <w:rPr>
          <w:rFonts w:hint="eastAsia" w:ascii="仿宋" w:hAnsi="仿宋" w:eastAsia="仿宋" w:cs="仿宋"/>
          <w:sz w:val="32"/>
          <w:szCs w:val="32"/>
          <w:lang w:eastAsia="zh-CN"/>
        </w:rPr>
        <w:t>），包含10.6万吨/年27.5%</w:t>
      </w:r>
      <w:r>
        <w:rPr>
          <w:rFonts w:hint="eastAsia" w:ascii="仿宋" w:hAnsi="仿宋" w:eastAsia="仿宋" w:cs="仿宋"/>
          <w:sz w:val="32"/>
          <w:szCs w:val="32"/>
          <w:lang w:val="en-US" w:eastAsia="zh-CN"/>
        </w:rPr>
        <w:t>双氧水</w:t>
      </w:r>
      <w:r>
        <w:rPr>
          <w:rFonts w:hint="eastAsia" w:ascii="仿宋" w:hAnsi="仿宋" w:eastAsia="仿宋" w:cs="仿宋"/>
          <w:sz w:val="32"/>
          <w:szCs w:val="32"/>
          <w:lang w:eastAsia="zh-CN"/>
        </w:rPr>
        <w:t>、5 万吨/年50%</w:t>
      </w:r>
      <w:r>
        <w:rPr>
          <w:rFonts w:hint="eastAsia" w:ascii="仿宋" w:hAnsi="仿宋" w:eastAsia="仿宋" w:cs="仿宋"/>
          <w:sz w:val="32"/>
          <w:szCs w:val="32"/>
          <w:lang w:val="en-US" w:eastAsia="zh-CN"/>
        </w:rPr>
        <w:t>工业级双氧水</w:t>
      </w:r>
      <w:r>
        <w:rPr>
          <w:rFonts w:hint="eastAsia" w:ascii="仿宋" w:hAnsi="仿宋" w:eastAsia="仿宋" w:cs="仿宋"/>
          <w:sz w:val="32"/>
          <w:szCs w:val="32"/>
          <w:lang w:eastAsia="zh-CN"/>
        </w:rPr>
        <w:t>、4万吨/年31%电子级</w:t>
      </w:r>
      <w:r>
        <w:rPr>
          <w:rFonts w:hint="eastAsia" w:ascii="仿宋" w:hAnsi="仿宋" w:eastAsia="仿宋" w:cs="仿宋"/>
          <w:sz w:val="32"/>
          <w:szCs w:val="32"/>
          <w:lang w:val="en-US" w:eastAsia="zh-CN"/>
        </w:rPr>
        <w:t>双氧水；</w:t>
      </w:r>
      <w:r>
        <w:rPr>
          <w:rFonts w:hint="eastAsia" w:ascii="仿宋" w:hAnsi="仿宋" w:eastAsia="仿宋" w:cs="仿宋"/>
          <w:sz w:val="32"/>
          <w:szCs w:val="32"/>
          <w:lang w:eastAsia="zh-CN"/>
        </w:rPr>
        <w:t>主要建设内容为:</w:t>
      </w:r>
      <w:r>
        <w:rPr>
          <w:rFonts w:hint="eastAsia" w:ascii="仿宋" w:hAnsi="仿宋" w:eastAsia="仿宋" w:cs="仿宋"/>
          <w:sz w:val="32"/>
          <w:szCs w:val="32"/>
          <w:lang w:val="en-US" w:eastAsia="zh-CN"/>
        </w:rPr>
        <w:t>新</w:t>
      </w:r>
      <w:r>
        <w:rPr>
          <w:rFonts w:hint="eastAsia" w:ascii="仿宋" w:hAnsi="仿宋" w:eastAsia="仿宋" w:cs="仿宋"/>
          <w:sz w:val="32"/>
          <w:szCs w:val="32"/>
          <w:lang w:eastAsia="zh-CN"/>
        </w:rPr>
        <w:t>建1套6000Nm</w:t>
      </w:r>
      <w:r>
        <w:rPr>
          <w:rFonts w:hint="eastAsia" w:ascii="仿宋" w:hAnsi="仿宋" w:eastAsia="仿宋" w:cs="仿宋"/>
          <w:sz w:val="32"/>
          <w:szCs w:val="32"/>
          <w:vertAlign w:val="superscript"/>
          <w:lang w:val="en-US" w:eastAsia="zh-CN"/>
        </w:rPr>
        <w:t>3</w:t>
      </w:r>
      <w:r>
        <w:rPr>
          <w:rFonts w:hint="eastAsia" w:ascii="仿宋" w:hAnsi="仿宋" w:eastAsia="仿宋" w:cs="仿宋"/>
          <w:sz w:val="32"/>
          <w:szCs w:val="32"/>
          <w:lang w:eastAsia="zh-CN"/>
        </w:rPr>
        <w:t>/h的甲醇制氢装置、1套规模为年产20万吨过氧化氢(27.5%计)装置、年产5万吨50%过氧化氢浓缩装置及年产4万吨过氧化氢电子级双氧水装置，配套</w:t>
      </w:r>
      <w:r>
        <w:rPr>
          <w:rFonts w:hint="eastAsia" w:ascii="仿宋" w:hAnsi="仿宋" w:eastAsia="仿宋" w:cs="仿宋"/>
          <w:sz w:val="32"/>
          <w:szCs w:val="32"/>
          <w:lang w:val="en-US" w:eastAsia="zh-CN"/>
        </w:rPr>
        <w:t>建设</w:t>
      </w:r>
      <w:r>
        <w:rPr>
          <w:rFonts w:hint="eastAsia" w:ascii="仿宋" w:hAnsi="仿宋" w:eastAsia="仿宋" w:cs="仿宋"/>
          <w:sz w:val="32"/>
          <w:szCs w:val="32"/>
          <w:lang w:eastAsia="zh-CN"/>
        </w:rPr>
        <w:t>公用、</w:t>
      </w:r>
      <w:r>
        <w:rPr>
          <w:rFonts w:hint="eastAsia" w:ascii="仿宋" w:hAnsi="仿宋" w:eastAsia="仿宋" w:cs="仿宋"/>
          <w:sz w:val="32"/>
          <w:szCs w:val="32"/>
          <w:lang w:val="en-US" w:eastAsia="zh-CN"/>
        </w:rPr>
        <w:t>储运</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环保工程；</w:t>
      </w:r>
      <w:r>
        <w:rPr>
          <w:rFonts w:hint="eastAsia" w:ascii="仿宋" w:hAnsi="仿宋" w:eastAsia="仿宋" w:cs="仿宋"/>
          <w:sz w:val="32"/>
          <w:szCs w:val="32"/>
          <w:lang w:eastAsia="zh-CN"/>
        </w:rPr>
        <w:t>根据湖南德顺环境服务有限公司编制的《岳阳振兴中顺新材料科技有限公司年产20万吨过氧化氢（浓度</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27.5%）项目环境影响报告书（报批稿）》基本内容、结论、</w:t>
      </w:r>
      <w:r>
        <w:rPr>
          <w:rFonts w:hint="eastAsia" w:ascii="仿宋" w:hAnsi="仿宋" w:eastAsia="仿宋" w:cs="仿宋"/>
          <w:sz w:val="32"/>
          <w:szCs w:val="32"/>
          <w:lang w:val="en-US" w:eastAsia="zh-CN"/>
        </w:rPr>
        <w:t>专</w:t>
      </w:r>
      <w:r>
        <w:rPr>
          <w:rFonts w:hint="eastAsia" w:ascii="仿宋" w:hAnsi="仿宋" w:eastAsia="仿宋"/>
          <w:sz w:val="32"/>
          <w:szCs w:val="32"/>
        </w:rPr>
        <w:t>家</w:t>
      </w:r>
      <w:r>
        <w:rPr>
          <w:rFonts w:hint="eastAsia" w:ascii="仿宋" w:hAnsi="仿宋" w:eastAsia="仿宋"/>
          <w:sz w:val="32"/>
          <w:szCs w:val="32"/>
          <w:lang w:val="en-US" w:eastAsia="zh-CN"/>
        </w:rPr>
        <w:t>审查</w:t>
      </w:r>
      <w:r>
        <w:rPr>
          <w:rFonts w:hint="eastAsia" w:ascii="仿宋" w:hAnsi="仿宋" w:eastAsia="仿宋"/>
          <w:sz w:val="32"/>
          <w:szCs w:val="32"/>
        </w:rPr>
        <w:t>意见及岳阳市生态环境局云溪分局预审意见，从环境保护角度考虑，我局原则同意你公司环境影响报告书中的环境影响评价结论和环境保护对策措施。</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二、认真落实专家及环境影响报告书中提出的各项污染防治措施，并应着重注意以下问题：</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w:t>
      </w:r>
      <w:r>
        <w:rPr>
          <w:rFonts w:hint="eastAsia" w:ascii="仿宋" w:hAnsi="仿宋" w:eastAsia="仿宋"/>
          <w:sz w:val="32"/>
          <w:szCs w:val="32"/>
        </w:rPr>
        <w:t>施工期污染防治。采取设置围挡、物料遮盖、定期洒水等措施控制扬尘；通过选用低噪声设备，控制施工时间等措施控制施工噪声影响；建筑垃圾运至</w:t>
      </w:r>
      <w:r>
        <w:rPr>
          <w:rFonts w:hint="eastAsia" w:ascii="仿宋" w:hAnsi="仿宋" w:eastAsia="仿宋"/>
          <w:sz w:val="32"/>
          <w:szCs w:val="32"/>
          <w:lang w:val="en-US" w:eastAsia="zh-CN"/>
        </w:rPr>
        <w:t>指定</w:t>
      </w:r>
      <w:r>
        <w:rPr>
          <w:rFonts w:hint="eastAsia" w:ascii="仿宋" w:hAnsi="仿宋" w:eastAsia="仿宋"/>
          <w:sz w:val="32"/>
          <w:szCs w:val="32"/>
        </w:rPr>
        <w:t>场所处置；施工废水应尽量回用，生活污水排入园区污水管</w:t>
      </w:r>
      <w:r>
        <w:rPr>
          <w:rFonts w:hint="eastAsia" w:ascii="仿宋" w:hAnsi="仿宋" w:eastAsia="仿宋"/>
          <w:sz w:val="32"/>
          <w:szCs w:val="32"/>
          <w:lang w:val="en-US" w:eastAsia="zh-CN"/>
        </w:rPr>
        <w:t>网</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2、废水污染防治工作。</w:t>
      </w:r>
      <w:r>
        <w:rPr>
          <w:rFonts w:ascii="仿宋" w:hAnsi="仿宋" w:eastAsia="仿宋"/>
          <w:sz w:val="32"/>
          <w:szCs w:val="32"/>
        </w:rPr>
        <w:t>严格按照“雨污分流、清污分流</w:t>
      </w:r>
      <w:r>
        <w:rPr>
          <w:rFonts w:hint="eastAsia" w:ascii="仿宋" w:hAnsi="仿宋" w:eastAsia="仿宋"/>
          <w:sz w:val="32"/>
          <w:szCs w:val="32"/>
        </w:rPr>
        <w:t>、污污分流</w:t>
      </w:r>
      <w:r>
        <w:rPr>
          <w:rFonts w:ascii="仿宋" w:hAnsi="仿宋" w:eastAsia="仿宋"/>
          <w:sz w:val="32"/>
          <w:szCs w:val="32"/>
        </w:rPr>
        <w:t>”的原则规范</w:t>
      </w:r>
      <w:r>
        <w:rPr>
          <w:rFonts w:hint="eastAsia" w:ascii="仿宋" w:hAnsi="仿宋" w:eastAsia="仿宋"/>
          <w:sz w:val="32"/>
          <w:szCs w:val="32"/>
          <w:lang w:val="en-US" w:eastAsia="zh-CN"/>
        </w:rPr>
        <w:t>建设</w:t>
      </w:r>
      <w:r>
        <w:rPr>
          <w:rFonts w:ascii="仿宋" w:hAnsi="仿宋" w:eastAsia="仿宋"/>
          <w:sz w:val="32"/>
          <w:szCs w:val="32"/>
        </w:rPr>
        <w:t>厂区雨水及污水管网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项目生活污水、纯水制备尾水、树脂反冲洗水、生产废水、化验室废水、设备及地面清洗废水、钯催化剂再生废水、活性炭再生废水经处理，满足长岭分公司污水处理厂含盐污水标准与《石油化学工业污染物排放标准》（31571-2015）较严标准值后，通过园区污水管网进入长岭分公司污水处理厂深度处理。</w:t>
      </w:r>
    </w:p>
    <w:p>
      <w:pPr>
        <w:spacing w:line="480" w:lineRule="exact"/>
        <w:ind w:firstLine="640"/>
        <w:jc w:val="both"/>
        <w:rPr>
          <w:rFonts w:ascii="仿宋" w:hAnsi="仿宋" w:eastAsia="仿宋"/>
          <w:sz w:val="32"/>
          <w:szCs w:val="32"/>
        </w:rPr>
      </w:pPr>
      <w:r>
        <w:rPr>
          <w:rFonts w:hint="eastAsia" w:ascii="仿宋" w:hAnsi="仿宋" w:eastAsia="仿宋"/>
          <w:sz w:val="32"/>
          <w:szCs w:val="32"/>
        </w:rPr>
        <w:t>按照分区防控的原则落实报告书提出地下水污染防治措施，做好</w:t>
      </w:r>
      <w:r>
        <w:rPr>
          <w:rFonts w:hint="eastAsia" w:ascii="仿宋" w:hAnsi="仿宋" w:eastAsia="仿宋"/>
          <w:sz w:val="32"/>
          <w:szCs w:val="32"/>
          <w:lang w:val="en-US" w:eastAsia="zh-CN"/>
        </w:rPr>
        <w:t>污水池、储罐区、</w:t>
      </w:r>
      <w:r>
        <w:rPr>
          <w:rFonts w:hint="eastAsia" w:ascii="仿宋" w:hAnsi="仿宋" w:eastAsia="仿宋"/>
          <w:sz w:val="32"/>
          <w:szCs w:val="32"/>
        </w:rPr>
        <w:t>生产车间等区域的防渗工作，强化管理，避免由于泄漏等造成污染物下渗污染地下水；根据《环境影响评价技术导则地下水环境》（HJ610-2016）要求，跟踪监测地下水质情况，确保地下水安全。</w:t>
      </w:r>
    </w:p>
    <w:p>
      <w:pPr>
        <w:spacing w:line="480" w:lineRule="exact"/>
        <w:ind w:firstLine="64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按照“</w:t>
      </w:r>
      <w:r>
        <w:rPr>
          <w:rFonts w:hint="eastAsia" w:ascii="仿宋" w:hAnsi="仿宋" w:eastAsia="仿宋" w:cs="仿宋"/>
          <w:sz w:val="32"/>
          <w:szCs w:val="32"/>
          <w:lang w:val="en-US" w:eastAsia="zh-CN"/>
        </w:rPr>
        <w:t>源头控制、分区防治、污染监控、应急响应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相结合的原则</w:t>
      </w:r>
      <w:r>
        <w:rPr>
          <w:rFonts w:hint="eastAsia" w:ascii="仿宋" w:hAnsi="仿宋" w:eastAsia="仿宋" w:cs="仿宋"/>
          <w:sz w:val="32"/>
          <w:szCs w:val="32"/>
          <w:lang w:eastAsia="zh-CN"/>
        </w:rPr>
        <w:t>落实地下水污染防治措施，</w:t>
      </w:r>
      <w:r>
        <w:rPr>
          <w:rFonts w:hint="eastAsia" w:ascii="仿宋" w:hAnsi="仿宋" w:eastAsia="仿宋"/>
          <w:sz w:val="32"/>
          <w:szCs w:val="32"/>
        </w:rPr>
        <w:t>做好污水池、</w:t>
      </w:r>
      <w:r>
        <w:rPr>
          <w:rFonts w:hint="eastAsia" w:ascii="仿宋" w:hAnsi="仿宋" w:eastAsia="仿宋"/>
          <w:sz w:val="32"/>
          <w:szCs w:val="32"/>
          <w:lang w:val="en-US" w:eastAsia="zh-CN"/>
        </w:rPr>
        <w:t>生产车间</w:t>
      </w:r>
      <w:r>
        <w:rPr>
          <w:rFonts w:hint="eastAsia" w:ascii="仿宋" w:hAnsi="仿宋" w:eastAsia="仿宋"/>
          <w:sz w:val="32"/>
          <w:szCs w:val="32"/>
        </w:rPr>
        <w:t>等区域的防渗、防漏工作，强化管理，避免由于泄漏等造成污染物下渗污染地下水；根据《环境影响评价技术导则地下水环境》（HJ610-2016）要求，跟踪监测地下水质情况，确保地下水安全。</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10" w:leftChars="0" w:firstLine="64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废气污染防治工作。</w:t>
      </w:r>
      <w:r>
        <w:rPr>
          <w:rFonts w:hint="eastAsia" w:eastAsia="仿宋"/>
          <w:sz w:val="32"/>
          <w:szCs w:val="32"/>
        </w:rPr>
        <w:t>加强日常监管，定期对设备、管道、阀门、法兰等进行维护和管理，杜绝生产过程中的跑、冒、滴、漏，最大限度减少废气的无组织排放</w:t>
      </w:r>
      <w:r>
        <w:rPr>
          <w:rFonts w:hint="eastAsia" w:eastAsia="仿宋"/>
          <w:sz w:val="32"/>
          <w:szCs w:val="32"/>
          <w:lang w:eastAsia="zh-CN"/>
        </w:rPr>
        <w:t>，</w:t>
      </w:r>
      <w:r>
        <w:rPr>
          <w:rFonts w:hint="eastAsia" w:eastAsia="仿宋"/>
          <w:sz w:val="32"/>
          <w:szCs w:val="32"/>
          <w:lang w:val="en-US" w:eastAsia="zh-CN"/>
        </w:rPr>
        <w:t>厂界</w:t>
      </w:r>
      <w:r>
        <w:rPr>
          <w:rFonts w:hint="eastAsia" w:ascii="仿宋" w:hAnsi="仿宋" w:eastAsia="仿宋" w:cs="仿宋"/>
          <w:sz w:val="32"/>
          <w:szCs w:val="32"/>
          <w:lang w:eastAsia="zh-CN"/>
        </w:rPr>
        <w:t>有机废气（以非甲烷总烃表征）执行《石油化学工业污染物排放标准》（GB31571-2015）中表7企业边界大气污染物浓度限值</w:t>
      </w:r>
      <w:r>
        <w:rPr>
          <w:rFonts w:hint="eastAsia" w:eastAsia="仿宋"/>
          <w:sz w:val="32"/>
          <w:szCs w:val="32"/>
          <w:lang w:eastAsia="zh-CN"/>
        </w:rPr>
        <w:t>，</w:t>
      </w:r>
      <w:r>
        <w:rPr>
          <w:rFonts w:hint="eastAsia" w:ascii="仿宋" w:hAnsi="仿宋" w:eastAsia="仿宋" w:cs="仿宋"/>
          <w:sz w:val="32"/>
          <w:szCs w:val="32"/>
          <w:lang w:val="en-US" w:eastAsia="zh-CN"/>
        </w:rPr>
        <w:t>氨气、硫化氢执行《恶臭污染物排放标准》（GB14554-93）表1恶臭污染物厂界标准值，</w:t>
      </w:r>
      <w:r>
        <w:rPr>
          <w:rFonts w:hint="eastAsia" w:ascii="仿宋" w:hAnsi="仿宋" w:eastAsia="仿宋" w:cs="仿宋"/>
          <w:sz w:val="32"/>
          <w:szCs w:val="32"/>
          <w:lang w:eastAsia="zh-CN"/>
        </w:rPr>
        <w:t>厂区内 VOCS无组织排放监控点</w:t>
      </w:r>
      <w:r>
        <w:rPr>
          <w:rFonts w:hint="eastAsia" w:ascii="仿宋" w:hAnsi="仿宋" w:eastAsia="仿宋" w:cs="仿宋"/>
          <w:sz w:val="32"/>
          <w:szCs w:val="32"/>
          <w:lang w:val="en-US" w:eastAsia="zh-CN"/>
        </w:rPr>
        <w:t>浓</w:t>
      </w:r>
      <w:r>
        <w:rPr>
          <w:rFonts w:hint="eastAsia" w:ascii="仿宋" w:hAnsi="仿宋" w:eastAsia="仿宋" w:cs="仿宋"/>
          <w:sz w:val="32"/>
          <w:szCs w:val="32"/>
          <w:lang w:eastAsia="zh-CN"/>
        </w:rPr>
        <w:t>度执行《挥发性有机物无组织排放控制标准》（GB3782</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-2019）附录A表A</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1排放</w:t>
      </w:r>
      <w:r>
        <w:rPr>
          <w:rFonts w:hint="eastAsia" w:ascii="仿宋" w:hAnsi="仿宋" w:eastAsia="仿宋" w:cs="仿宋"/>
          <w:sz w:val="32"/>
          <w:szCs w:val="32"/>
          <w:lang w:val="en-US" w:eastAsia="zh-CN"/>
        </w:rPr>
        <w:t>浓</w:t>
      </w:r>
      <w:r>
        <w:rPr>
          <w:rFonts w:hint="eastAsia" w:ascii="仿宋" w:hAnsi="仿宋" w:eastAsia="仿宋" w:cs="仿宋"/>
          <w:sz w:val="32"/>
          <w:szCs w:val="32"/>
          <w:lang w:eastAsia="zh-CN"/>
        </w:rPr>
        <w:t>度限值要求；导热油炉燃烧尾气</w:t>
      </w:r>
      <w:r>
        <w:rPr>
          <w:rFonts w:hint="eastAsia" w:ascii="仿宋" w:hAnsi="仿宋" w:eastAsia="仿宋" w:cs="仿宋"/>
          <w:sz w:val="32"/>
          <w:szCs w:val="32"/>
          <w:lang w:val="en-US" w:eastAsia="zh-CN"/>
        </w:rPr>
        <w:t>经</w:t>
      </w:r>
      <w:r>
        <w:rPr>
          <w:rFonts w:hint="eastAsia" w:ascii="仿宋" w:hAnsi="仿宋" w:eastAsia="仿宋" w:cs="仿宋"/>
          <w:sz w:val="32"/>
          <w:szCs w:val="32"/>
          <w:lang w:eastAsia="zh-CN"/>
        </w:rPr>
        <w:t>收集</w:t>
      </w:r>
      <w:r>
        <w:rPr>
          <w:rFonts w:hint="eastAsia" w:ascii="仿宋" w:hAnsi="仿宋" w:eastAsia="仿宋" w:cs="仿宋"/>
          <w:sz w:val="32"/>
          <w:szCs w:val="32"/>
          <w:lang w:val="en-US" w:eastAsia="zh-CN"/>
        </w:rPr>
        <w:t>处理，满足锅炉大气污染物排放标准》（GB13271-2014）表3中大气污染物特别排放限值要求</w:t>
      </w:r>
      <w:r>
        <w:rPr>
          <w:rFonts w:hint="eastAsia" w:ascii="仿宋" w:hAnsi="仿宋" w:eastAsia="仿宋" w:cs="仿宋"/>
          <w:sz w:val="32"/>
          <w:szCs w:val="32"/>
          <w:lang w:eastAsia="zh-CN"/>
        </w:rPr>
        <w:t>后，由18m高1#排气</w:t>
      </w:r>
      <w:r>
        <w:rPr>
          <w:rFonts w:hint="eastAsia" w:ascii="仿宋" w:hAnsi="仿宋" w:eastAsia="仿宋" w:cs="仿宋"/>
          <w:sz w:val="32"/>
          <w:szCs w:val="32"/>
          <w:lang w:val="en-US" w:eastAsia="zh-CN"/>
        </w:rPr>
        <w:t>筒</w:t>
      </w:r>
      <w:r>
        <w:rPr>
          <w:rFonts w:hint="eastAsia" w:ascii="仿宋" w:hAnsi="仿宋" w:eastAsia="仿宋" w:cs="仿宋"/>
          <w:sz w:val="32"/>
          <w:szCs w:val="32"/>
          <w:lang w:eastAsia="zh-CN"/>
        </w:rPr>
        <w:t>排放;工作液配制釜真空不凝尾气</w:t>
      </w:r>
      <w:r>
        <w:rPr>
          <w:rFonts w:hint="eastAsia" w:ascii="仿宋" w:hAnsi="仿宋" w:eastAsia="仿宋" w:cs="仿宋"/>
          <w:sz w:val="32"/>
          <w:szCs w:val="32"/>
          <w:lang w:val="en-US" w:eastAsia="zh-CN"/>
        </w:rPr>
        <w:t>经</w:t>
      </w:r>
      <w:r>
        <w:rPr>
          <w:rFonts w:hint="eastAsia" w:ascii="仿宋" w:hAnsi="仿宋" w:eastAsia="仿宋" w:cs="仿宋"/>
          <w:sz w:val="32"/>
          <w:szCs w:val="32"/>
          <w:lang w:eastAsia="zh-CN"/>
        </w:rPr>
        <w:t>收集</w:t>
      </w:r>
      <w:r>
        <w:rPr>
          <w:rFonts w:hint="eastAsia" w:ascii="仿宋" w:hAnsi="仿宋" w:eastAsia="仿宋" w:cs="仿宋"/>
          <w:sz w:val="32"/>
          <w:szCs w:val="32"/>
          <w:lang w:val="en-US" w:eastAsia="zh-CN"/>
        </w:rPr>
        <w:t>处理</w:t>
      </w:r>
      <w:r>
        <w:rPr>
          <w:rFonts w:hint="eastAsia" w:ascii="仿宋" w:hAnsi="仿宋" w:eastAsia="仿宋" w:cs="仿宋"/>
          <w:sz w:val="32"/>
          <w:szCs w:val="32"/>
          <w:lang w:eastAsia="zh-CN"/>
        </w:rPr>
        <w:t>后由15m高2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排气</w:t>
      </w:r>
      <w:r>
        <w:rPr>
          <w:rFonts w:hint="eastAsia" w:ascii="仿宋" w:hAnsi="仿宋" w:eastAsia="仿宋" w:cs="仿宋"/>
          <w:sz w:val="32"/>
          <w:szCs w:val="32"/>
          <w:lang w:val="en-US" w:eastAsia="zh-CN"/>
        </w:rPr>
        <w:t>筒</w:t>
      </w:r>
      <w:r>
        <w:rPr>
          <w:rFonts w:hint="eastAsia" w:ascii="仿宋" w:hAnsi="仿宋" w:eastAsia="仿宋" w:cs="仿宋"/>
          <w:sz w:val="32"/>
          <w:szCs w:val="32"/>
          <w:lang w:eastAsia="zh-CN"/>
        </w:rPr>
        <w:t>标排放，氢化尾气经低</w:t>
      </w:r>
      <w:r>
        <w:rPr>
          <w:rFonts w:hint="eastAsia" w:ascii="仿宋" w:hAnsi="仿宋" w:eastAsia="仿宋" w:cs="仿宋"/>
          <w:sz w:val="32"/>
          <w:szCs w:val="32"/>
          <w:lang w:val="en-US" w:eastAsia="zh-CN"/>
        </w:rPr>
        <w:t>处理</w:t>
      </w:r>
      <w:r>
        <w:rPr>
          <w:rFonts w:hint="eastAsia" w:ascii="仿宋" w:hAnsi="仿宋" w:eastAsia="仿宋" w:cs="仿宋"/>
          <w:sz w:val="32"/>
          <w:szCs w:val="32"/>
          <w:lang w:eastAsia="zh-CN"/>
        </w:rPr>
        <w:t>后由28m高3#排气</w:t>
      </w:r>
      <w:r>
        <w:rPr>
          <w:rFonts w:hint="eastAsia" w:ascii="仿宋" w:hAnsi="仿宋" w:eastAsia="仿宋" w:cs="仿宋"/>
          <w:sz w:val="32"/>
          <w:szCs w:val="32"/>
          <w:lang w:val="en-US" w:eastAsia="zh-CN"/>
        </w:rPr>
        <w:t>筒</w:t>
      </w:r>
      <w:r>
        <w:rPr>
          <w:rFonts w:hint="eastAsia" w:ascii="仿宋" w:hAnsi="仿宋" w:eastAsia="仿宋" w:cs="仿宋"/>
          <w:sz w:val="32"/>
          <w:szCs w:val="32"/>
          <w:lang w:eastAsia="zh-CN"/>
        </w:rPr>
        <w:t>排放，氧化尾气、碱塔废气、稀碱蒸发废气收集后经处理后由28m高4#排气</w:t>
      </w:r>
      <w:r>
        <w:rPr>
          <w:rFonts w:hint="eastAsia" w:ascii="仿宋" w:hAnsi="仿宋" w:eastAsia="仿宋" w:cs="仿宋"/>
          <w:sz w:val="32"/>
          <w:szCs w:val="32"/>
          <w:lang w:val="en-US" w:eastAsia="zh-CN"/>
        </w:rPr>
        <w:t>筒</w:t>
      </w:r>
      <w:r>
        <w:rPr>
          <w:rFonts w:hint="eastAsia" w:ascii="仿宋" w:hAnsi="仿宋" w:eastAsia="仿宋" w:cs="仿宋"/>
          <w:sz w:val="32"/>
          <w:szCs w:val="32"/>
          <w:lang w:eastAsia="zh-CN"/>
        </w:rPr>
        <w:t>排放，</w:t>
      </w:r>
      <w:r>
        <w:rPr>
          <w:rFonts w:hint="eastAsia" w:ascii="仿宋" w:hAnsi="仿宋" w:eastAsia="仿宋" w:cs="仿宋"/>
          <w:sz w:val="32"/>
          <w:szCs w:val="32"/>
          <w:lang w:val="en-US" w:eastAsia="zh-CN"/>
        </w:rPr>
        <w:t>2-4#排气筒外排废气均需满足</w:t>
      </w:r>
      <w:r>
        <w:rPr>
          <w:rFonts w:hint="eastAsia" w:ascii="仿宋" w:hAnsi="仿宋" w:eastAsia="仿宋" w:cs="仿宋"/>
          <w:sz w:val="32"/>
          <w:szCs w:val="32"/>
          <w:lang w:eastAsia="zh-CN"/>
        </w:rPr>
        <w:t>《石油化学工业污染物排放标准》（GB31571-2015）中表4大气污染物排放限值。</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噪声污染防治工作。采用低噪声设备，对产生噪声的设备和工序进行合理布局，对主要的声源设备泵、各类风机等采取隔声、减震等措施，确保厂界噪声达到《工业企业厂界环境噪声排放标准》(GB12348-2008)中的3类标准要求。</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4、固体废物防治工作。按“无害化、减量化、资源化”原则，做好固体废物的分类收集和综合利用，并建立固体废物产生、储存、处置管理台账；</w:t>
      </w:r>
      <w:r>
        <w:rPr>
          <w:rFonts w:hint="eastAsia" w:hAnsi="仿宋" w:eastAsia="仿宋"/>
          <w:sz w:val="32"/>
          <w:szCs w:val="32"/>
        </w:rPr>
        <w:t>严格按《</w:t>
      </w:r>
      <w:bookmarkStart w:id="0" w:name="_Hlk70352465"/>
      <w:r>
        <w:rPr>
          <w:rFonts w:hint="eastAsia" w:hAnsi="仿宋" w:eastAsia="仿宋"/>
          <w:sz w:val="32"/>
          <w:szCs w:val="32"/>
        </w:rPr>
        <w:t>危险废物</w:t>
      </w:r>
      <w:bookmarkEnd w:id="0"/>
      <w:r>
        <w:rPr>
          <w:rFonts w:hint="eastAsia" w:hAnsi="仿宋" w:eastAsia="仿宋"/>
          <w:sz w:val="32"/>
          <w:szCs w:val="32"/>
        </w:rPr>
        <w:t>贮存污染控制标准（</w:t>
      </w:r>
      <w:r>
        <w:rPr>
          <w:rFonts w:eastAsia="仿宋"/>
          <w:sz w:val="32"/>
          <w:szCs w:val="32"/>
        </w:rPr>
        <w:t>GB18597- 2001</w:t>
      </w:r>
      <w:r>
        <w:rPr>
          <w:rFonts w:hint="eastAsia" w:hAnsi="仿宋" w:eastAsia="仿宋"/>
          <w:sz w:val="32"/>
          <w:szCs w:val="32"/>
        </w:rPr>
        <w:t>）》及</w:t>
      </w:r>
      <w:r>
        <w:rPr>
          <w:rFonts w:hAnsi="仿宋" w:eastAsia="仿宋"/>
          <w:sz w:val="32"/>
          <w:szCs w:val="32"/>
        </w:rPr>
        <w:t>201</w:t>
      </w:r>
      <w:r>
        <w:rPr>
          <w:rFonts w:hint="eastAsia" w:hAnsi="仿宋" w:eastAsia="仿宋"/>
          <w:sz w:val="32"/>
          <w:szCs w:val="32"/>
        </w:rPr>
        <w:t>3年修改单相关要求建设管理危险废物暂存间，</w:t>
      </w:r>
      <w:r>
        <w:rPr>
          <w:rFonts w:hint="eastAsia" w:ascii="仿宋" w:hAnsi="仿宋" w:eastAsia="仿宋" w:cs="仿宋"/>
          <w:sz w:val="32"/>
          <w:szCs w:val="32"/>
          <w:lang w:val="en-US" w:eastAsia="zh-CN"/>
        </w:rPr>
        <w:t>废活性炭、废制氢催化剂、废钯催化剂、废吸附剂、废导热油、废树脂、废过滤渣、废过滤膜及废油渣等危险废物交有资质单位处置，并执行转移联单制度；污水处理站生化污泥按《一般工业固体废物贮存、处置场污染控制标准》（GB18599-2020）要求贮存、妥善处置；废活性氧化铝通过危险特性鉴别后，若属危险废物，须按相关要求交有资质单位安全处置，若不属危险废物，按一般固废相关要求贮存、处置；生活垃圾由环卫部门定期清运</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5、加强营运期风险防范。</w:t>
      </w:r>
      <w:r>
        <w:rPr>
          <w:rFonts w:hint="eastAsia" w:ascii="仿宋" w:hAnsi="仿宋" w:eastAsia="仿宋" w:cs="仿宋"/>
          <w:sz w:val="32"/>
          <w:szCs w:val="32"/>
          <w:lang w:val="en-US" w:eastAsia="zh-CN"/>
        </w:rPr>
        <w:t>严格落实报告书提出的各项环境风险防范措施，完善事故应急池的建设，按照《突发环境事件应急管理办法》修订完善突发环境事件应急预案，储备风险救助物资并组织演练，杜绝环境风险事故发生</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6、加强环境管理，建立健全污染防治设施运行管理台帐，设专门的环保机构及环保人员，确保各项污染防治设施的正常运行，各类污染物稳定达标排放。</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7、核定你公司本项目的总量指标为：</w:t>
      </w:r>
      <w:r>
        <w:rPr>
          <w:rFonts w:hint="eastAsia" w:ascii="仿宋" w:hAnsi="仿宋" w:eastAsia="仿宋" w:cs="仿宋"/>
          <w:sz w:val="32"/>
          <w:szCs w:val="32"/>
          <w:lang w:val="en-US" w:eastAsia="zh-CN"/>
        </w:rPr>
        <w:t>COD 2.9t/a,氨氮 0.3t/a,挥发性有机物1.5t/a,SO</w:t>
      </w:r>
      <w:r>
        <w:rPr>
          <w:rFonts w:hint="eastAsia" w:ascii="仿宋" w:hAnsi="仿宋" w:eastAsia="仿宋" w:cs="仿宋"/>
          <w:sz w:val="32"/>
          <w:szCs w:val="32"/>
          <w:vertAlign w:val="subscript"/>
          <w:lang w:val="en-US" w:eastAsia="zh-CN"/>
        </w:rPr>
        <w:t xml:space="preserve">2 </w:t>
      </w:r>
      <w:r>
        <w:rPr>
          <w:rFonts w:hint="eastAsia" w:ascii="仿宋" w:hAnsi="仿宋" w:eastAsia="仿宋" w:cs="仿宋"/>
          <w:sz w:val="32"/>
          <w:szCs w:val="32"/>
          <w:vertAlign w:val="baseline"/>
          <w:lang w:val="en-US" w:eastAsia="zh-CN"/>
        </w:rPr>
        <w:t>0.7t/a,NO</w:t>
      </w:r>
      <w:r>
        <w:rPr>
          <w:rFonts w:hint="eastAsia" w:ascii="仿宋" w:hAnsi="仿宋" w:eastAsia="仿宋" w:cs="仿宋"/>
          <w:sz w:val="32"/>
          <w:szCs w:val="32"/>
          <w:vertAlign w:val="subscript"/>
          <w:lang w:val="en-US" w:eastAsia="zh-CN"/>
        </w:rPr>
        <w:t>x</w:t>
      </w:r>
      <w:r>
        <w:rPr>
          <w:rFonts w:hint="eastAsia" w:ascii="仿宋" w:hAnsi="仿宋" w:eastAsia="仿宋" w:cs="仿宋"/>
          <w:sz w:val="32"/>
          <w:szCs w:val="32"/>
          <w:vertAlign w:val="baseline"/>
          <w:lang w:val="en-US" w:eastAsia="zh-CN"/>
        </w:rPr>
        <w:t xml:space="preserve"> 11.2t/a</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三、你公司应收到本批复后15个工作日内，将批复及批准的环评报告文件送岳阳市生态环境局</w:t>
      </w:r>
      <w:r>
        <w:rPr>
          <w:rFonts w:hint="eastAsia" w:ascii="仿宋" w:hAnsi="仿宋" w:eastAsia="仿宋" w:cs="仿宋"/>
          <w:sz w:val="32"/>
          <w:szCs w:val="32"/>
          <w:lang w:val="en-US" w:eastAsia="zh-CN"/>
        </w:rPr>
        <w:t>云溪区</w:t>
      </w:r>
      <w:r>
        <w:rPr>
          <w:rFonts w:hint="eastAsia" w:ascii="仿宋" w:hAnsi="仿宋" w:eastAsia="仿宋" w:cs="仿宋"/>
          <w:sz w:val="32"/>
          <w:szCs w:val="32"/>
          <w:lang w:eastAsia="zh-CN"/>
        </w:rPr>
        <w:t>分局、湖南德顺环境服务有限公司。</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四、请岳阳市生态环境局</w:t>
      </w:r>
      <w:r>
        <w:rPr>
          <w:rFonts w:hint="eastAsia" w:ascii="仿宋" w:hAnsi="仿宋" w:eastAsia="仿宋" w:cs="仿宋"/>
          <w:sz w:val="32"/>
          <w:szCs w:val="32"/>
          <w:lang w:val="en-US" w:eastAsia="zh-CN"/>
        </w:rPr>
        <w:t>云溪区</w:t>
      </w:r>
      <w:r>
        <w:rPr>
          <w:rFonts w:hint="eastAsia" w:ascii="仿宋" w:hAnsi="仿宋" w:eastAsia="仿宋" w:cs="仿宋"/>
          <w:sz w:val="32"/>
          <w:szCs w:val="32"/>
          <w:lang w:eastAsia="zh-CN"/>
        </w:rPr>
        <w:t>分局负责项目建设和运营期的日常环境监管。</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4"/>
        <w:rPr>
          <w:rFonts w:hint="eastAsia"/>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岳阳市生态环境局</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20</w:t>
      </w:r>
      <w:r>
        <w:rPr>
          <w:rFonts w:hint="eastAsia" w:ascii="仿宋" w:hAnsi="仿宋" w:eastAsia="仿宋" w:cs="仿宋"/>
          <w:sz w:val="32"/>
          <w:szCs w:val="32"/>
          <w:lang w:val="en-US" w:eastAsia="zh-CN"/>
        </w:rPr>
        <w:t>21</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黑体" w:hAnsi="黑体" w:eastAsia="黑体" w:cs="黑体"/>
          <w:b/>
          <w:bCs/>
          <w:szCs w:val="36"/>
          <w:lang w:eastAsia="zh-CN"/>
        </w:rPr>
      </w:pPr>
    </w:p>
    <w:sectPr>
      <w:footerReference r:id="rId3" w:type="default"/>
      <w:pgSz w:w="11906" w:h="16838"/>
      <w:pgMar w:top="1440" w:right="1576" w:bottom="1440" w:left="1633"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17D80"/>
    <w:rsid w:val="2241325D"/>
    <w:rsid w:val="2FD01949"/>
    <w:rsid w:val="37F211F2"/>
    <w:rsid w:val="414B70E8"/>
    <w:rsid w:val="62FB5894"/>
    <w:rsid w:val="75E154CD"/>
    <w:rsid w:val="7B5B1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11">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widowControl w:val="0"/>
      <w:spacing w:before="60" w:line="240" w:lineRule="auto"/>
      <w:ind w:left="0" w:leftChars="0" w:firstLine="210"/>
      <w:jc w:val="both"/>
    </w:pPr>
    <w:rPr>
      <w:sz w:val="18"/>
      <w:szCs w:val="24"/>
    </w:rPr>
  </w:style>
  <w:style w:type="paragraph" w:styleId="3">
    <w:name w:val="Body Text Indent"/>
    <w:basedOn w:val="1"/>
    <w:next w:val="2"/>
    <w:qFormat/>
    <w:uiPriority w:val="0"/>
    <w:pPr>
      <w:widowControl/>
      <w:spacing w:after="120" w:line="276" w:lineRule="auto"/>
      <w:ind w:left="420" w:leftChars="200"/>
    </w:pPr>
    <w:rPr>
      <w:sz w:val="22"/>
    </w:rPr>
  </w:style>
  <w:style w:type="paragraph" w:styleId="4">
    <w:name w:val="Body Text First Indent"/>
    <w:basedOn w:val="5"/>
    <w:qFormat/>
    <w:uiPriority w:val="0"/>
    <w:pPr>
      <w:adjustRightInd w:val="0"/>
      <w:snapToGrid w:val="0"/>
      <w:spacing w:after="0" w:line="360" w:lineRule="auto"/>
      <w:ind w:firstLine="200"/>
      <w:jc w:val="both"/>
    </w:pPr>
    <w:rPr>
      <w:kern w:val="2"/>
      <w:sz w:val="24"/>
    </w:rPr>
  </w:style>
  <w:style w:type="paragraph" w:styleId="5">
    <w:name w:val="Body Text"/>
    <w:basedOn w:val="1"/>
    <w:next w:val="6"/>
    <w:qFormat/>
    <w:uiPriority w:val="0"/>
    <w:pPr>
      <w:spacing w:after="120"/>
    </w:pPr>
  </w:style>
  <w:style w:type="paragraph" w:customStyle="1" w:styleId="6">
    <w:name w:val="Date1"/>
    <w:basedOn w:val="1"/>
    <w:next w:val="1"/>
    <w:qFormat/>
    <w:uiPriority w:val="0"/>
    <w:pPr>
      <w:adjustRightInd w:val="0"/>
      <w:jc w:val="both"/>
      <w:textAlignment w:val="baseline"/>
    </w:pPr>
    <w:rPr>
      <w:sz w:val="21"/>
      <w:szCs w:val="21"/>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2284</Words>
  <Characters>2542</Characters>
  <Paragraphs>30</Paragraphs>
  <TotalTime>1</TotalTime>
  <ScaleCrop>false</ScaleCrop>
  <LinksUpToDate>false</LinksUpToDate>
  <CharactersWithSpaces>2561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2021-03-29T11:01:00Z</dcterms:created>
  <dc:creator>Administrator</dc:creator>
  <cp:lastModifiedBy>王志勤</cp:lastModifiedBy>
  <cp:lastPrinted>2021-06-10T01:27:34Z</cp:lastPrinted>
  <dcterms:modified xsi:type="dcterms:W3CDTF">2021-06-10T01:31:57Z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8AF808F647B54C8C92F5571A3C04D4BC</vt:lpwstr>
  </property>
</Properties>
</file>