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2"/>
        <w:spacing w:line="480" w:lineRule="exact"/>
        <w:textAlignment w:val="top"/>
        <w:rPr>
          <w:rFonts w:ascii="仿宋" w:hAnsi="仿宋" w:eastAsia="仿宋"/>
          <w:b/>
          <w:color w:val="FF0000"/>
          <w:sz w:val="36"/>
        </w:rPr>
      </w:pPr>
      <w:r>
        <w:rPr>
          <w:rFonts w:hint="eastAsia" w:ascii="仿宋" w:hAnsi="仿宋" w:eastAsia="仿宋"/>
          <w:b/>
          <w:color w:val="FF0000"/>
          <w:kern w:val="2"/>
          <w:sz w:val="36"/>
        </w:rPr>
        <w:t xml:space="preserve">                                               </w:t>
      </w:r>
    </w:p>
    <w:p>
      <w:pPr>
        <w:pStyle w:val="32"/>
        <w:spacing w:line="480" w:lineRule="exact"/>
        <w:textAlignment w:val="top"/>
        <w:rPr>
          <w:rFonts w:ascii="仿宋" w:hAnsi="仿宋" w:eastAsia="仿宋"/>
          <w:b/>
          <w:color w:val="FF0000"/>
          <w:sz w:val="36"/>
        </w:rPr>
      </w:pPr>
    </w:p>
    <w:p>
      <w:pPr>
        <w:pStyle w:val="32"/>
        <w:spacing w:line="320" w:lineRule="exact"/>
        <w:ind w:firstLine="5250" w:firstLineChars="1750"/>
        <w:textAlignment w:val="top"/>
        <w:rPr>
          <w:rFonts w:ascii="仿宋" w:hAnsi="仿宋" w:eastAsia="仿宋"/>
          <w:sz w:val="30"/>
          <w:szCs w:val="30"/>
        </w:rPr>
      </w:pPr>
    </w:p>
    <w:p>
      <w:pPr>
        <w:pStyle w:val="32"/>
        <w:spacing w:line="320" w:lineRule="exact"/>
        <w:ind w:firstLine="5250" w:firstLineChars="1750"/>
        <w:textAlignment w:val="top"/>
        <w:rPr>
          <w:rFonts w:ascii="仿宋" w:hAnsi="仿宋" w:eastAsia="仿宋"/>
          <w:sz w:val="30"/>
          <w:szCs w:val="30"/>
        </w:rPr>
      </w:pPr>
    </w:p>
    <w:p>
      <w:pPr>
        <w:pStyle w:val="32"/>
        <w:spacing w:line="320" w:lineRule="exact"/>
        <w:ind w:firstLine="5250" w:firstLineChars="1750"/>
        <w:textAlignment w:val="top"/>
        <w:rPr>
          <w:rFonts w:ascii="仿宋" w:hAnsi="仿宋" w:eastAsia="仿宋"/>
          <w:sz w:val="30"/>
          <w:szCs w:val="30"/>
        </w:rPr>
      </w:pPr>
    </w:p>
    <w:p>
      <w:pPr>
        <w:pStyle w:val="32"/>
        <w:spacing w:line="400" w:lineRule="exact"/>
        <w:jc w:val="both"/>
        <w:textAlignment w:val="top"/>
        <w:rPr>
          <w:rFonts w:ascii="仿宋" w:hAnsi="仿宋" w:eastAsia="仿宋"/>
          <w:sz w:val="30"/>
          <w:szCs w:val="30"/>
        </w:rPr>
      </w:pPr>
    </w:p>
    <w:p>
      <w:pPr>
        <w:pStyle w:val="32"/>
        <w:spacing w:after="156" w:afterLines="50" w:line="400" w:lineRule="exact"/>
        <w:jc w:val="right"/>
        <w:textAlignment w:val="top"/>
        <w:rPr>
          <w:rFonts w:hint="eastAsia" w:ascii="仿宋" w:hAnsi="仿宋" w:eastAsia="仿宋"/>
          <w:sz w:val="32"/>
          <w:szCs w:val="32"/>
        </w:rPr>
      </w:pPr>
      <w:r>
        <w:rPr>
          <w:rFonts w:hint="eastAsia" w:ascii="仿宋" w:hAnsi="仿宋" w:eastAsia="仿宋"/>
          <w:sz w:val="30"/>
          <w:szCs w:val="30"/>
        </w:rPr>
        <w:t xml:space="preserve">                                     </w:t>
      </w:r>
      <w:r>
        <w:rPr>
          <w:rFonts w:hint="eastAsia" w:ascii="仿宋" w:hAnsi="仿宋" w:eastAsia="仿宋"/>
          <w:sz w:val="32"/>
          <w:szCs w:val="32"/>
        </w:rPr>
        <w:t>岳环评[2021]</w:t>
      </w:r>
      <w:r>
        <w:rPr>
          <w:rFonts w:hint="eastAsia" w:ascii="仿宋" w:hAnsi="仿宋" w:eastAsia="仿宋"/>
          <w:sz w:val="32"/>
          <w:szCs w:val="32"/>
          <w:lang w:val="en-US" w:eastAsia="zh-CN"/>
        </w:rPr>
        <w:t>36</w:t>
      </w:r>
      <w:r>
        <w:rPr>
          <w:rFonts w:hint="eastAsia" w:ascii="仿宋" w:hAnsi="仿宋" w:eastAsia="仿宋"/>
          <w:sz w:val="32"/>
          <w:szCs w:val="32"/>
        </w:rPr>
        <w:t>号</w:t>
      </w:r>
    </w:p>
    <w:p>
      <w:pPr>
        <w:autoSpaceDE w:val="0"/>
        <w:autoSpaceDN w:val="0"/>
        <w:adjustRightInd w:val="0"/>
        <w:ind w:left="177" w:hanging="177" w:firstLineChars="0"/>
        <w:jc w:val="center"/>
        <w:rPr>
          <w:rFonts w:ascii="宋体" w:hAnsi="宋体" w:cs="黑体"/>
          <w:b/>
          <w:sz w:val="36"/>
          <w:szCs w:val="36"/>
        </w:rPr>
      </w:pPr>
      <w:r>
        <w:rPr>
          <w:rFonts w:hint="eastAsia" w:ascii="宋体" w:hAnsi="宋体"/>
          <w:b/>
          <w:bCs/>
          <w:sz w:val="36"/>
          <w:szCs w:val="36"/>
        </w:rPr>
        <w:t>关于</w:t>
      </w:r>
      <w:bookmarkStart w:id="0" w:name="_Hlk70347434"/>
      <w:bookmarkStart w:id="1" w:name="_Hlk70348009"/>
      <w:r>
        <w:rPr>
          <w:rFonts w:hint="eastAsia" w:ascii="宋体" w:hAnsi="宋体"/>
          <w:b/>
          <w:bCs/>
          <w:sz w:val="36"/>
          <w:szCs w:val="36"/>
        </w:rPr>
        <w:t>湖南卡氟龙新材料科技有限公司</w:t>
      </w:r>
      <w:bookmarkEnd w:id="0"/>
      <w:r>
        <w:rPr>
          <w:rFonts w:hint="eastAsia" w:ascii="宋体" w:hAnsi="宋体"/>
          <w:b/>
          <w:bCs/>
          <w:sz w:val="36"/>
          <w:szCs w:val="36"/>
        </w:rPr>
        <w:t>1000吨/年有机硅树脂涂料、3000吨/年水性不粘涂料、1000吨/年高固含低VOCs特种汽车涂料项目</w:t>
      </w:r>
      <w:bookmarkEnd w:id="1"/>
      <w:r>
        <w:rPr>
          <w:rFonts w:ascii="宋体" w:hAnsi="宋体"/>
          <w:b/>
          <w:sz w:val="36"/>
          <w:szCs w:val="36"/>
        </w:rPr>
        <w:t>环境影响报告书</w:t>
      </w:r>
      <w:r>
        <w:rPr>
          <w:rFonts w:hint="eastAsia" w:ascii="宋体" w:hAnsi="宋体"/>
          <w:b/>
          <w:sz w:val="36"/>
          <w:szCs w:val="36"/>
        </w:rPr>
        <w:t>的批复</w:t>
      </w:r>
    </w:p>
    <w:p>
      <w:pPr>
        <w:pStyle w:val="32"/>
        <w:spacing w:line="480" w:lineRule="exact"/>
        <w:ind w:left="157" w:hanging="156" w:hangingChars="49"/>
        <w:jc w:val="center"/>
        <w:textAlignment w:val="top"/>
        <w:rPr>
          <w:rFonts w:ascii="仿宋" w:hAnsi="仿宋" w:eastAsia="仿宋" w:cs="仿宋"/>
          <w:bCs/>
          <w:color w:val="FF0000"/>
          <w:sz w:val="32"/>
          <w:szCs w:val="32"/>
        </w:rPr>
      </w:pPr>
    </w:p>
    <w:p>
      <w:pPr>
        <w:spacing w:line="520" w:lineRule="exact"/>
        <w:ind w:firstLine="0" w:firstLineChars="0"/>
        <w:jc w:val="both"/>
        <w:rPr>
          <w:rFonts w:ascii="仿宋" w:hAnsi="仿宋" w:eastAsia="仿宋" w:cs="仿宋"/>
          <w:bCs/>
          <w:sz w:val="32"/>
          <w:szCs w:val="32"/>
        </w:rPr>
      </w:pPr>
      <w:r>
        <w:rPr>
          <w:rFonts w:hint="eastAsia" w:ascii="仿宋" w:hAnsi="仿宋" w:eastAsia="仿宋" w:cs="仿宋"/>
          <w:bCs/>
          <w:sz w:val="32"/>
          <w:szCs w:val="32"/>
        </w:rPr>
        <w:t>湖南卡氟龙新材料科技有限公司</w:t>
      </w:r>
    </w:p>
    <w:p>
      <w:pPr>
        <w:spacing w:line="520" w:lineRule="exact"/>
        <w:ind w:firstLine="640"/>
        <w:jc w:val="both"/>
        <w:rPr>
          <w:rFonts w:ascii="仿宋" w:hAnsi="仿宋" w:eastAsia="仿宋"/>
          <w:sz w:val="32"/>
          <w:szCs w:val="32"/>
        </w:rPr>
      </w:pPr>
      <w:r>
        <w:rPr>
          <w:rFonts w:hint="eastAsia" w:ascii="仿宋" w:hAnsi="仿宋" w:eastAsia="仿宋"/>
          <w:sz w:val="32"/>
          <w:szCs w:val="32"/>
        </w:rPr>
        <w:t>你公司《关于申请&lt;</w:t>
      </w:r>
      <w:bookmarkStart w:id="2" w:name="_Hlk70348653"/>
      <w:r>
        <w:rPr>
          <w:rFonts w:hint="eastAsia" w:ascii="仿宋" w:hAnsi="仿宋" w:eastAsia="仿宋"/>
          <w:sz w:val="32"/>
          <w:szCs w:val="32"/>
        </w:rPr>
        <w:t>1000吨/年有机硅树脂涂料、3000吨/年水性不粘涂料、1000吨/年高固含低VOCs特种汽车涂料</w:t>
      </w:r>
      <w:bookmarkEnd w:id="2"/>
      <w:r>
        <w:rPr>
          <w:rFonts w:hint="eastAsia" w:ascii="仿宋" w:hAnsi="仿宋" w:eastAsia="仿宋"/>
          <w:sz w:val="32"/>
          <w:szCs w:val="32"/>
        </w:rPr>
        <w:t>项目&gt;环评批复的报告》、岳阳市生态环境局云溪分局的预审意见及有关附件悉收。经研究，批复如下：</w:t>
      </w:r>
    </w:p>
    <w:p>
      <w:pPr>
        <w:spacing w:line="520" w:lineRule="exact"/>
        <w:ind w:firstLine="640"/>
        <w:jc w:val="both"/>
        <w:rPr>
          <w:rFonts w:ascii="仿宋" w:hAnsi="仿宋" w:eastAsia="仿宋"/>
          <w:sz w:val="32"/>
          <w:szCs w:val="32"/>
        </w:rPr>
      </w:pPr>
      <w:r>
        <w:rPr>
          <w:rFonts w:hint="eastAsia" w:ascii="仿宋" w:hAnsi="仿宋" w:eastAsia="仿宋"/>
          <w:sz w:val="32"/>
          <w:szCs w:val="32"/>
        </w:rPr>
        <w:t>湖南卡氟龙新材料科技有限公司1000吨/年有机硅树脂涂料、3000吨/年水性不粘涂料、1000吨/年高固含低VOCs特种汽车涂料项目位于湖南岳阳绿色化工产业园内，</w:t>
      </w:r>
      <w:r>
        <w:rPr>
          <w:rFonts w:hint="default" w:ascii="仿宋" w:hAnsi="仿宋" w:eastAsia="仿宋"/>
          <w:sz w:val="32"/>
          <w:szCs w:val="32"/>
          <w:lang w:val="en-US"/>
        </w:rPr>
        <w:t>根</w:t>
      </w:r>
      <w:bookmarkStart w:id="4" w:name="_GoBack"/>
      <w:bookmarkEnd w:id="4"/>
      <w:r>
        <w:rPr>
          <w:rFonts w:hint="eastAsia" w:ascii="仿宋" w:hAnsi="仿宋" w:eastAsia="仿宋"/>
          <w:sz w:val="32"/>
          <w:szCs w:val="32"/>
          <w:lang w:val="en-US" w:eastAsia="zh-CN"/>
        </w:rPr>
        <w:t>据</w:t>
      </w:r>
      <w:r>
        <w:rPr>
          <w:rFonts w:hint="default" w:ascii="仿宋" w:hAnsi="仿宋" w:eastAsia="仿宋"/>
          <w:sz w:val="32"/>
          <w:szCs w:val="32"/>
          <w:lang w:val="en-US" w:eastAsia="zh-CN"/>
        </w:rPr>
        <w:t>项</w:t>
      </w:r>
      <w:r>
        <w:rPr>
          <w:rFonts w:hint="eastAsia" w:ascii="仿宋" w:hAnsi="仿宋" w:eastAsia="仿宋"/>
          <w:sz w:val="32"/>
          <w:szCs w:val="32"/>
          <w:lang w:val="en-US" w:eastAsia="zh-CN"/>
        </w:rPr>
        <w:t>目环评文件</w:t>
      </w:r>
      <w:r>
        <w:rPr>
          <w:rFonts w:hint="default" w:ascii="仿宋" w:hAnsi="仿宋" w:eastAsia="仿宋"/>
          <w:sz w:val="32"/>
          <w:szCs w:val="32"/>
          <w:lang w:val="en-US" w:eastAsia="zh-CN"/>
        </w:rPr>
        <w:t>及业</w:t>
      </w:r>
      <w:r>
        <w:rPr>
          <w:rFonts w:hint="eastAsia" w:ascii="仿宋" w:hAnsi="仿宋" w:eastAsia="仿宋"/>
          <w:sz w:val="32"/>
          <w:szCs w:val="32"/>
          <w:lang w:val="en-US" w:eastAsia="zh-CN"/>
        </w:rPr>
        <w:t>主提供的其他资料，</w:t>
      </w:r>
      <w:r>
        <w:rPr>
          <w:rFonts w:hint="eastAsia" w:ascii="仿宋" w:hAnsi="仿宋" w:eastAsia="仿宋"/>
          <w:sz w:val="32"/>
          <w:szCs w:val="32"/>
        </w:rPr>
        <w:t>项目总占地面积为</w:t>
      </w:r>
      <w:r>
        <w:rPr>
          <w:rFonts w:ascii="仿宋" w:hAnsi="仿宋" w:eastAsia="仿宋"/>
          <w:sz w:val="32"/>
          <w:szCs w:val="32"/>
        </w:rPr>
        <w:t>36923m</w:t>
      </w:r>
      <w:r>
        <w:rPr>
          <w:rFonts w:ascii="仿宋" w:hAnsi="仿宋" w:eastAsia="仿宋"/>
          <w:sz w:val="32"/>
          <w:szCs w:val="32"/>
          <w:vertAlign w:val="superscript"/>
        </w:rPr>
        <w:t>2</w:t>
      </w:r>
      <w:r>
        <w:rPr>
          <w:rFonts w:hint="eastAsia" w:ascii="仿宋" w:hAnsi="仿宋" w:eastAsia="仿宋"/>
          <w:sz w:val="32"/>
          <w:szCs w:val="32"/>
        </w:rPr>
        <w:t>，总投资</w:t>
      </w:r>
      <w:r>
        <w:rPr>
          <w:rFonts w:hint="eastAsia" w:ascii="仿宋" w:hAnsi="仿宋" w:eastAsia="仿宋"/>
          <w:sz w:val="32"/>
          <w:szCs w:val="32"/>
          <w:lang w:val="en-US" w:eastAsia="zh-CN"/>
        </w:rPr>
        <w:t>约</w:t>
      </w:r>
      <w:r>
        <w:rPr>
          <w:rFonts w:hint="eastAsia" w:ascii="仿宋" w:hAnsi="仿宋" w:eastAsia="仿宋"/>
          <w:sz w:val="32"/>
          <w:szCs w:val="32"/>
        </w:rPr>
        <w:t>为10166万元，其中环保投资587万元</w:t>
      </w:r>
      <w:r>
        <w:rPr>
          <w:rFonts w:hint="eastAsia" w:ascii="仿宋" w:hAnsi="仿宋" w:eastAsia="仿宋"/>
          <w:sz w:val="32"/>
          <w:szCs w:val="32"/>
          <w:lang w:eastAsia="zh-CN"/>
        </w:rPr>
        <w:t>；</w:t>
      </w:r>
      <w:r>
        <w:rPr>
          <w:rFonts w:hint="eastAsia" w:ascii="仿宋" w:hAnsi="仿宋" w:eastAsia="仿宋"/>
          <w:sz w:val="32"/>
          <w:szCs w:val="32"/>
        </w:rPr>
        <w:t>项目</w:t>
      </w:r>
      <w:r>
        <w:rPr>
          <w:rFonts w:hint="eastAsia" w:ascii="仿宋" w:hAnsi="仿宋" w:eastAsia="仿宋"/>
          <w:sz w:val="32"/>
          <w:szCs w:val="32"/>
          <w:lang w:val="en-US" w:eastAsia="zh-CN"/>
        </w:rPr>
        <w:t>通过</w:t>
      </w:r>
      <w:r>
        <w:rPr>
          <w:rFonts w:hint="eastAsia" w:ascii="仿宋" w:hAnsi="仿宋" w:eastAsia="仿宋"/>
          <w:sz w:val="32"/>
          <w:szCs w:val="32"/>
        </w:rPr>
        <w:t>缩聚、改性、研磨、分散等</w:t>
      </w:r>
      <w:r>
        <w:rPr>
          <w:rFonts w:hint="eastAsia" w:ascii="仿宋" w:hAnsi="仿宋" w:eastAsia="仿宋"/>
          <w:sz w:val="32"/>
          <w:szCs w:val="32"/>
          <w:lang w:val="en-US" w:eastAsia="zh-CN"/>
        </w:rPr>
        <w:t>工序</w:t>
      </w:r>
      <w:r>
        <w:rPr>
          <w:rFonts w:hint="eastAsia" w:ascii="仿宋" w:hAnsi="仿宋" w:eastAsia="仿宋"/>
          <w:sz w:val="32"/>
          <w:szCs w:val="32"/>
        </w:rPr>
        <w:t>，</w:t>
      </w:r>
      <w:r>
        <w:rPr>
          <w:rFonts w:hint="eastAsia" w:ascii="仿宋" w:hAnsi="仿宋" w:eastAsia="仿宋"/>
          <w:sz w:val="32"/>
          <w:szCs w:val="32"/>
          <w:lang w:val="en-US" w:eastAsia="zh-CN"/>
        </w:rPr>
        <w:t>生产</w:t>
      </w:r>
      <w:r>
        <w:rPr>
          <w:rFonts w:hint="eastAsia" w:ascii="仿宋" w:hAnsi="仿宋" w:eastAsia="仿宋"/>
          <w:sz w:val="32"/>
          <w:szCs w:val="32"/>
        </w:rPr>
        <w:t>有机硅树脂涂料1000吨</w:t>
      </w:r>
      <w:r>
        <w:rPr>
          <w:rFonts w:hint="eastAsia" w:ascii="仿宋" w:hAnsi="仿宋" w:eastAsia="仿宋"/>
          <w:sz w:val="32"/>
          <w:szCs w:val="32"/>
          <w:lang w:val="en-US" w:eastAsia="zh-CN"/>
        </w:rPr>
        <w:t>/年</w:t>
      </w:r>
      <w:r>
        <w:rPr>
          <w:rFonts w:hint="eastAsia" w:ascii="仿宋" w:hAnsi="仿宋" w:eastAsia="仿宋"/>
          <w:sz w:val="32"/>
          <w:szCs w:val="32"/>
        </w:rPr>
        <w:t>、水性不粘涂料3000吨</w:t>
      </w:r>
      <w:r>
        <w:rPr>
          <w:rFonts w:hint="eastAsia" w:ascii="仿宋" w:hAnsi="仿宋" w:eastAsia="仿宋"/>
          <w:sz w:val="32"/>
          <w:szCs w:val="32"/>
          <w:lang w:val="en-US" w:eastAsia="zh-CN"/>
        </w:rPr>
        <w:t>/年</w:t>
      </w:r>
      <w:r>
        <w:rPr>
          <w:rFonts w:hint="eastAsia" w:ascii="仿宋" w:hAnsi="仿宋" w:eastAsia="仿宋"/>
          <w:sz w:val="32"/>
          <w:szCs w:val="32"/>
        </w:rPr>
        <w:t>、高固含低VOCs特种汽车涂料1000吨</w:t>
      </w:r>
      <w:r>
        <w:rPr>
          <w:rFonts w:hint="eastAsia" w:ascii="仿宋" w:hAnsi="仿宋" w:eastAsia="仿宋"/>
          <w:sz w:val="32"/>
          <w:szCs w:val="32"/>
          <w:lang w:val="en-US" w:eastAsia="zh-CN"/>
        </w:rPr>
        <w:t>/年</w:t>
      </w:r>
      <w:r>
        <w:rPr>
          <w:rFonts w:hint="eastAsia" w:ascii="仿宋" w:hAnsi="仿宋" w:eastAsia="仿宋"/>
          <w:sz w:val="32"/>
          <w:szCs w:val="32"/>
        </w:rPr>
        <w:t>。</w:t>
      </w:r>
      <w:r>
        <w:rPr>
          <w:rFonts w:hint="eastAsia" w:ascii="仿宋" w:hAnsi="仿宋" w:eastAsia="仿宋"/>
          <w:sz w:val="32"/>
          <w:szCs w:val="32"/>
          <w:lang w:val="en-US" w:eastAsia="zh-CN"/>
        </w:rPr>
        <w:t>主要建设内容为：新建</w:t>
      </w:r>
      <w:r>
        <w:rPr>
          <w:rFonts w:hint="eastAsia" w:ascii="仿宋" w:hAnsi="仿宋" w:eastAsia="仿宋"/>
          <w:sz w:val="32"/>
          <w:szCs w:val="32"/>
        </w:rPr>
        <w:t>一栋甲类车间，内设7条涂料生产线，同时配套建设公辅、储运和环保工程</w:t>
      </w:r>
      <w:r>
        <w:rPr>
          <w:rFonts w:hint="eastAsia" w:ascii="仿宋" w:hAnsi="仿宋" w:eastAsia="仿宋"/>
          <w:sz w:val="32"/>
          <w:szCs w:val="32"/>
          <w:lang w:eastAsia="zh-CN"/>
        </w:rPr>
        <w:t>；</w:t>
      </w:r>
      <w:r>
        <w:rPr>
          <w:rFonts w:hint="eastAsia" w:ascii="仿宋" w:hAnsi="仿宋" w:eastAsia="仿宋"/>
          <w:sz w:val="32"/>
          <w:szCs w:val="32"/>
        </w:rPr>
        <w:t>根据湖南</w:t>
      </w:r>
      <w:r>
        <w:rPr>
          <w:rFonts w:hint="eastAsia" w:ascii="仿宋" w:hAnsi="仿宋" w:eastAsia="仿宋"/>
          <w:sz w:val="32"/>
          <w:szCs w:val="32"/>
          <w:lang w:val="en-US" w:eastAsia="zh-CN"/>
        </w:rPr>
        <w:t>中汇环境</w:t>
      </w:r>
      <w:r>
        <w:rPr>
          <w:rFonts w:hint="eastAsia" w:ascii="仿宋" w:hAnsi="仿宋" w:eastAsia="仿宋"/>
          <w:sz w:val="32"/>
          <w:szCs w:val="32"/>
        </w:rPr>
        <w:t>科技有限公司编制的《湖南卡氟龙新材料科技有限公司1000吨/年有机硅树脂涂料、3000吨/年水性不粘涂料、1000吨/年高固含低VOCs特种汽车涂料项目环境影响报告书（报批稿）》基本内容、结论、专家评审意见及岳阳市生态环境局云溪分局预审意见，从环境保护角度考虑，我局原则同意你公司环境影响报告书中的环境影响评价结论和环境保护对策措施。</w:t>
      </w:r>
    </w:p>
    <w:p>
      <w:pPr>
        <w:spacing w:line="520" w:lineRule="exact"/>
        <w:ind w:firstLine="640"/>
        <w:jc w:val="both"/>
        <w:rPr>
          <w:rFonts w:ascii="仿宋" w:hAnsi="仿宋" w:eastAsia="仿宋"/>
          <w:sz w:val="32"/>
          <w:szCs w:val="32"/>
        </w:rPr>
      </w:pPr>
      <w:r>
        <w:rPr>
          <w:rFonts w:hint="eastAsia" w:ascii="仿宋" w:hAnsi="仿宋" w:eastAsia="仿宋"/>
          <w:sz w:val="32"/>
          <w:szCs w:val="32"/>
        </w:rPr>
        <w:t>二、认真落实专家及环境影响报告书中提出的各项污染防治措施，并应着重注意以下问题：</w:t>
      </w:r>
    </w:p>
    <w:p>
      <w:pPr>
        <w:spacing w:line="520" w:lineRule="exact"/>
        <w:ind w:firstLine="640"/>
        <w:jc w:val="both"/>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施工期污染防治。采取设置围挡、物料遮盖、定期洒水等措施控制扬尘；通过选用低噪声设备，控制施工时间等措施控制施工噪声影响；建筑垃圾运至制定场所处置；施工废水应尽量回用，生活污水排入园区污水管处理。</w:t>
      </w:r>
    </w:p>
    <w:p>
      <w:pPr>
        <w:spacing w:line="520" w:lineRule="exact"/>
        <w:ind w:firstLine="640"/>
        <w:jc w:val="both"/>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废水污染防治工作。严格按照“雨污分流、清污分流</w:t>
      </w:r>
      <w:r>
        <w:rPr>
          <w:rFonts w:hint="eastAsia" w:ascii="仿宋" w:hAnsi="仿宋" w:eastAsia="仿宋"/>
          <w:sz w:val="32"/>
          <w:szCs w:val="32"/>
        </w:rPr>
        <w:t>、污污分流</w:t>
      </w:r>
      <w:r>
        <w:rPr>
          <w:rFonts w:ascii="仿宋" w:hAnsi="仿宋" w:eastAsia="仿宋"/>
          <w:sz w:val="32"/>
          <w:szCs w:val="32"/>
        </w:rPr>
        <w:t>”的原则规范厂区雨水及污水管网。</w:t>
      </w:r>
      <w:r>
        <w:rPr>
          <w:rFonts w:hint="eastAsia" w:ascii="仿宋" w:hAnsi="仿宋" w:eastAsia="仿宋"/>
          <w:sz w:val="32"/>
          <w:szCs w:val="32"/>
        </w:rPr>
        <w:t>工艺废水、地面及设备清洗水、初期雨水和生活污水</w:t>
      </w:r>
      <w:r>
        <w:rPr>
          <w:rFonts w:hint="eastAsia" w:ascii="仿宋" w:hAnsi="仿宋" w:eastAsia="仿宋" w:cs="仿宋"/>
          <w:sz w:val="32"/>
          <w:szCs w:val="32"/>
        </w:rPr>
        <w:t>经处理达到《合成树脂工业污染物排放标准》（GB31572-2015）间接排放标准</w:t>
      </w:r>
      <w:r>
        <w:rPr>
          <w:rFonts w:hint="eastAsia" w:ascii="仿宋" w:hAnsi="仿宋" w:eastAsia="仿宋"/>
          <w:sz w:val="32"/>
          <w:szCs w:val="32"/>
        </w:rPr>
        <w:t>和园区污水处理厂污水接纳要求</w:t>
      </w:r>
      <w:r>
        <w:rPr>
          <w:rFonts w:hint="eastAsia" w:ascii="仿宋" w:hAnsi="仿宋" w:eastAsia="仿宋"/>
          <w:sz w:val="32"/>
          <w:szCs w:val="32"/>
          <w:lang w:val="en-US" w:eastAsia="zh-CN"/>
        </w:rPr>
        <w:t>较严值</w:t>
      </w:r>
      <w:r>
        <w:rPr>
          <w:rFonts w:hint="eastAsia" w:ascii="仿宋" w:hAnsi="仿宋" w:eastAsia="仿宋"/>
          <w:sz w:val="32"/>
          <w:szCs w:val="32"/>
        </w:rPr>
        <w:t>后，通过园区管网排至园区污水处理厂深度处理</w:t>
      </w:r>
      <w:r>
        <w:rPr>
          <w:rFonts w:ascii="仿宋" w:hAnsi="仿宋" w:eastAsia="仿宋"/>
          <w:sz w:val="32"/>
          <w:szCs w:val="32"/>
        </w:rPr>
        <w:t>。</w:t>
      </w:r>
    </w:p>
    <w:p>
      <w:pPr>
        <w:spacing w:line="520" w:lineRule="exact"/>
        <w:ind w:firstLine="640"/>
        <w:jc w:val="both"/>
        <w:rPr>
          <w:rFonts w:ascii="仿宋" w:hAnsi="仿宋" w:eastAsia="仿宋"/>
          <w:sz w:val="32"/>
          <w:szCs w:val="32"/>
        </w:rPr>
      </w:pPr>
      <w:r>
        <w:rPr>
          <w:rFonts w:hint="eastAsia" w:ascii="仿宋" w:hAnsi="仿宋" w:eastAsia="仿宋"/>
          <w:sz w:val="32"/>
          <w:szCs w:val="32"/>
        </w:rPr>
        <w:t>按照分区防控的原则落实报告书提出地下水污染防治措施，做好生产车间等区域的防渗工作，强化管理，避免由于泄漏等造成污染物下渗污染地下水；根据《环境影响评价技术导则地下水环境》（HJ610-2016）要求，跟踪监测地下水质情况，确保地下水安全。</w:t>
      </w:r>
    </w:p>
    <w:p>
      <w:pPr>
        <w:pStyle w:val="33"/>
        <w:widowControl w:val="0"/>
        <w:adjustRightInd w:val="0"/>
        <w:spacing w:line="520" w:lineRule="exact"/>
        <w:ind w:left="0" w:firstLine="640"/>
        <w:jc w:val="both"/>
        <w:rPr>
          <w:rFonts w:ascii="仿宋" w:hAnsi="仿宋" w:eastAsia="仿宋" w:cs="仿宋_GB2312"/>
          <w:sz w:val="32"/>
          <w:szCs w:val="32"/>
        </w:rPr>
      </w:pPr>
      <w:r>
        <w:rPr>
          <w:rFonts w:ascii="仿宋" w:hAnsi="仿宋" w:eastAsia="仿宋" w:cs="仿宋_GB2312"/>
          <w:sz w:val="32"/>
          <w:szCs w:val="32"/>
        </w:rPr>
        <w:t>3、废气污染防治工作。</w:t>
      </w:r>
      <w:r>
        <w:rPr>
          <w:rFonts w:hint="eastAsia" w:eastAsia="仿宋"/>
          <w:sz w:val="32"/>
          <w:szCs w:val="32"/>
        </w:rPr>
        <w:t>加强日常监管，定期对设备、管道、阀门、法兰等进行维护和管理，杜绝生产过程中的跑、冒、滴、漏，最大限度减少废气的无组织排放</w:t>
      </w:r>
      <w:r>
        <w:rPr>
          <w:rFonts w:hint="eastAsia" w:eastAsia="仿宋"/>
          <w:sz w:val="32"/>
          <w:szCs w:val="32"/>
          <w:lang w:eastAsia="zh-CN"/>
        </w:rPr>
        <w:t>，</w:t>
      </w:r>
      <w:r>
        <w:rPr>
          <w:rFonts w:hint="eastAsia" w:eastAsia="仿宋"/>
          <w:sz w:val="32"/>
          <w:szCs w:val="32"/>
          <w:lang w:val="en-US" w:eastAsia="zh-CN"/>
        </w:rPr>
        <w:t>厂界非甲烷总烃、甲苯、颗粒物</w:t>
      </w:r>
      <w:r>
        <w:rPr>
          <w:rFonts w:hint="eastAsia" w:eastAsia="仿宋"/>
          <w:sz w:val="32"/>
          <w:szCs w:val="32"/>
        </w:rPr>
        <w:t>执行《合成树脂工业污染物排放标准》（GB31572-2015），臭气浓度执行《恶臭污染物排放标准》（GB 14554-93）</w:t>
      </w:r>
      <w:r>
        <w:rPr>
          <w:rFonts w:hint="eastAsia" w:eastAsia="仿宋"/>
          <w:sz w:val="32"/>
          <w:szCs w:val="32"/>
          <w:lang w:eastAsia="zh-CN"/>
        </w:rPr>
        <w:t>，</w:t>
      </w:r>
      <w:r>
        <w:rPr>
          <w:rFonts w:hint="eastAsia" w:eastAsia="仿宋"/>
          <w:sz w:val="32"/>
          <w:szCs w:val="32"/>
        </w:rPr>
        <w:t>厂区内挥发性有机物执行《挥发性有机物无组织排放控制标准》(GB37822-2019)。项目设置3个15米高的排气筒，其中专门排放涂料生产废气的1#和2#排气筒废气执行《涂料、油墨及胶黏剂工业大气污染物排放标准》(GB37824-2019)，3#排气筒废气中非甲烷总烃、TVOC、苯系物、异氰酸酯类执行《涂料、油墨及胶黏剂工业大气污染物排放标准》(GB37824-2019)，甲苯执行《合成树脂工业污染物排放标准》（GB31572-2015）、臭气浓度执行《恶臭污染物排放标准》（GB 14554-93）</w:t>
      </w:r>
      <w:r>
        <w:rPr>
          <w:rFonts w:hint="eastAsia" w:ascii="仿宋" w:hAnsi="仿宋" w:eastAsia="仿宋" w:cs="仿宋_GB2312"/>
          <w:sz w:val="32"/>
          <w:szCs w:val="32"/>
        </w:rPr>
        <w:t>。</w:t>
      </w:r>
      <w:r>
        <w:rPr>
          <w:rFonts w:ascii="仿宋" w:hAnsi="仿宋" w:eastAsia="仿宋" w:cs="仿宋_GB2312"/>
          <w:sz w:val="32"/>
          <w:szCs w:val="32"/>
        </w:rPr>
        <w:t xml:space="preserve"> </w:t>
      </w:r>
    </w:p>
    <w:p>
      <w:pPr>
        <w:spacing w:line="520" w:lineRule="exact"/>
        <w:ind w:firstLine="640"/>
        <w:rPr>
          <w:rFonts w:ascii="仿宋" w:hAnsi="仿宋" w:eastAsia="仿宋" w:cs="仿宋_GB2312"/>
          <w:sz w:val="32"/>
          <w:szCs w:val="32"/>
        </w:rPr>
      </w:pPr>
      <w:r>
        <w:rPr>
          <w:rFonts w:ascii="仿宋" w:hAnsi="仿宋" w:eastAsia="仿宋"/>
          <w:sz w:val="32"/>
          <w:szCs w:val="32"/>
        </w:rPr>
        <w:t>4、</w:t>
      </w:r>
      <w:r>
        <w:rPr>
          <w:rFonts w:ascii="仿宋" w:hAnsi="仿宋" w:eastAsia="仿宋" w:cs="仿宋_GB2312"/>
          <w:sz w:val="32"/>
          <w:szCs w:val="32"/>
        </w:rPr>
        <w:t>噪声污染防治工作。采用低噪声设备，</w:t>
      </w:r>
      <w:r>
        <w:rPr>
          <w:rFonts w:hint="eastAsia" w:ascii="仿宋" w:hAnsi="仿宋" w:eastAsia="仿宋"/>
          <w:sz w:val="32"/>
          <w:szCs w:val="32"/>
        </w:rPr>
        <w:t>对产生噪声的设备和工序进行合理布局，对主要的声源设备采取隔声</w:t>
      </w:r>
      <w:r>
        <w:rPr>
          <w:rFonts w:hint="eastAsia" w:ascii="仿宋" w:hAnsi="仿宋" w:eastAsia="仿宋" w:cs="仿宋_GB2312"/>
          <w:sz w:val="32"/>
          <w:szCs w:val="32"/>
        </w:rPr>
        <w:t>、减振等措施</w:t>
      </w:r>
      <w:r>
        <w:rPr>
          <w:rFonts w:ascii="仿宋" w:hAnsi="仿宋" w:eastAsia="仿宋" w:cs="仿宋_GB2312"/>
          <w:sz w:val="32"/>
          <w:szCs w:val="32"/>
        </w:rPr>
        <w:t>，确保厂界噪声达到《工业企业厂界环境噪声排放标准》(GB12348-2008)中的3类标准要求。</w:t>
      </w:r>
    </w:p>
    <w:p>
      <w:pPr>
        <w:spacing w:line="520" w:lineRule="exact"/>
        <w:ind w:firstLine="640"/>
        <w:jc w:val="both"/>
        <w:rPr>
          <w:rFonts w:ascii="仿宋" w:hAnsi="仿宋" w:eastAsia="仿宋" w:cs="仿宋_GB2312"/>
          <w:sz w:val="32"/>
          <w:szCs w:val="32"/>
        </w:rPr>
      </w:pPr>
      <w:r>
        <w:rPr>
          <w:rFonts w:ascii="仿宋" w:hAnsi="仿宋" w:eastAsia="仿宋" w:cs="仿宋_GB2312"/>
          <w:sz w:val="32"/>
          <w:szCs w:val="32"/>
        </w:rPr>
        <w:t>5、固体废物防治工作。</w:t>
      </w:r>
      <w:r>
        <w:rPr>
          <w:rFonts w:hint="eastAsia" w:hAnsi="仿宋" w:eastAsia="仿宋"/>
          <w:sz w:val="32"/>
          <w:szCs w:val="32"/>
        </w:rPr>
        <w:t>按</w:t>
      </w:r>
      <w:r>
        <w:rPr>
          <w:rFonts w:eastAsia="仿宋"/>
          <w:sz w:val="32"/>
          <w:szCs w:val="32"/>
        </w:rPr>
        <w:t>“</w:t>
      </w:r>
      <w:r>
        <w:rPr>
          <w:rFonts w:hint="eastAsia" w:hAnsi="仿宋" w:eastAsia="仿宋"/>
          <w:sz w:val="32"/>
          <w:szCs w:val="32"/>
        </w:rPr>
        <w:t>无害化、减量化、资源化</w:t>
      </w:r>
      <w:r>
        <w:rPr>
          <w:rFonts w:eastAsia="仿宋"/>
          <w:sz w:val="32"/>
          <w:szCs w:val="32"/>
        </w:rPr>
        <w:t>”</w:t>
      </w:r>
      <w:r>
        <w:rPr>
          <w:rFonts w:hint="eastAsia" w:hAnsi="仿宋" w:eastAsia="仿宋"/>
          <w:sz w:val="32"/>
          <w:szCs w:val="32"/>
        </w:rPr>
        <w:t>原则，做好固体分类收集、贮存和处理处置工作，建立健全固体废物管理台帐。严格按《</w:t>
      </w:r>
      <w:bookmarkStart w:id="3" w:name="_Hlk70352465"/>
      <w:r>
        <w:rPr>
          <w:rFonts w:hint="eastAsia" w:hAnsi="仿宋" w:eastAsia="仿宋"/>
          <w:sz w:val="32"/>
          <w:szCs w:val="32"/>
        </w:rPr>
        <w:t>危险废物</w:t>
      </w:r>
      <w:bookmarkEnd w:id="3"/>
      <w:r>
        <w:rPr>
          <w:rFonts w:hint="eastAsia" w:hAnsi="仿宋" w:eastAsia="仿宋"/>
          <w:sz w:val="32"/>
          <w:szCs w:val="32"/>
        </w:rPr>
        <w:t>贮存污染控制标准（</w:t>
      </w:r>
      <w:r>
        <w:rPr>
          <w:rFonts w:eastAsia="仿宋"/>
          <w:sz w:val="32"/>
          <w:szCs w:val="32"/>
        </w:rPr>
        <w:t>GB18597- 2001</w:t>
      </w:r>
      <w:r>
        <w:rPr>
          <w:rFonts w:hint="eastAsia" w:hAnsi="仿宋" w:eastAsia="仿宋"/>
          <w:sz w:val="32"/>
          <w:szCs w:val="32"/>
        </w:rPr>
        <w:t>）》及</w:t>
      </w:r>
      <w:r>
        <w:rPr>
          <w:rFonts w:hAnsi="仿宋" w:eastAsia="仿宋"/>
          <w:sz w:val="32"/>
          <w:szCs w:val="32"/>
        </w:rPr>
        <w:t>201</w:t>
      </w:r>
      <w:r>
        <w:rPr>
          <w:rFonts w:hint="eastAsia" w:hAnsi="仿宋" w:eastAsia="仿宋"/>
          <w:sz w:val="32"/>
          <w:szCs w:val="32"/>
        </w:rPr>
        <w:t>3年修改单相关要求建设管理危险废物暂存间，釜底残渣、过滤残渣、调色废弃物、废活性炭等</w:t>
      </w:r>
      <w:r>
        <w:rPr>
          <w:rFonts w:hint="eastAsia" w:ascii="仿宋" w:hAnsi="仿宋" w:eastAsia="仿宋" w:cs="仿宋_GB2312"/>
          <w:sz w:val="32"/>
          <w:szCs w:val="32"/>
        </w:rPr>
        <w:t>危险废物</w:t>
      </w:r>
      <w:r>
        <w:rPr>
          <w:rFonts w:ascii="仿宋" w:hAnsi="仿宋" w:eastAsia="仿宋" w:cs="仿宋_GB2312"/>
          <w:sz w:val="32"/>
          <w:szCs w:val="32"/>
        </w:rPr>
        <w:t>应</w:t>
      </w:r>
      <w:r>
        <w:rPr>
          <w:rFonts w:hint="eastAsia" w:ascii="仿宋" w:hAnsi="仿宋" w:eastAsia="仿宋" w:cs="仿宋_GB2312"/>
          <w:sz w:val="32"/>
          <w:szCs w:val="32"/>
        </w:rPr>
        <w:t>交</w:t>
      </w:r>
      <w:r>
        <w:rPr>
          <w:rFonts w:ascii="仿宋" w:hAnsi="仿宋" w:eastAsia="仿宋" w:cs="仿宋_GB2312"/>
          <w:sz w:val="32"/>
          <w:szCs w:val="32"/>
        </w:rPr>
        <w:t>有资质的单位安全处置，</w:t>
      </w:r>
      <w:r>
        <w:rPr>
          <w:rFonts w:hint="eastAsia" w:ascii="仿宋" w:hAnsi="仿宋" w:eastAsia="仿宋" w:cs="仿宋_GB2312"/>
          <w:sz w:val="32"/>
          <w:szCs w:val="32"/>
        </w:rPr>
        <w:t>并执行</w:t>
      </w:r>
      <w:r>
        <w:rPr>
          <w:rFonts w:ascii="仿宋" w:hAnsi="仿宋" w:eastAsia="仿宋" w:cs="仿宋_GB2312"/>
          <w:sz w:val="32"/>
          <w:szCs w:val="32"/>
        </w:rPr>
        <w:t>转移联单制度</w:t>
      </w:r>
      <w:r>
        <w:rPr>
          <w:rFonts w:hint="eastAsia" w:ascii="仿宋" w:hAnsi="仿宋" w:eastAsia="仿宋" w:cs="仿宋_GB2312"/>
          <w:sz w:val="32"/>
          <w:szCs w:val="32"/>
        </w:rPr>
        <w:t>；生产过程中产生的甲醇、乙醇在未取得产品标准前需按照危险废物管理。</w:t>
      </w:r>
    </w:p>
    <w:p>
      <w:pPr>
        <w:spacing w:line="520" w:lineRule="exact"/>
        <w:ind w:firstLine="640"/>
        <w:jc w:val="both"/>
        <w:rPr>
          <w:rFonts w:ascii="仿宋" w:hAnsi="仿宋" w:eastAsia="仿宋" w:cs="仿宋_GB2312"/>
          <w:sz w:val="32"/>
          <w:szCs w:val="32"/>
        </w:rPr>
      </w:pPr>
      <w:r>
        <w:rPr>
          <w:rFonts w:ascii="仿宋" w:hAnsi="仿宋" w:eastAsia="仿宋" w:cs="仿宋_GB2312"/>
          <w:sz w:val="32"/>
          <w:szCs w:val="32"/>
        </w:rPr>
        <w:t>6、加强营运期风险防范。落实各项风险防范措施，加强设施设备的维护和管理，严格按照《突发环境事件应急预案管理暂行办法》要求制定事故环境应急预案，储备风险救助物资并组织演练，杜绝环境风险事故发生。</w:t>
      </w:r>
    </w:p>
    <w:p>
      <w:pPr>
        <w:spacing w:line="520" w:lineRule="exact"/>
        <w:ind w:firstLine="640"/>
        <w:jc w:val="both"/>
        <w:rPr>
          <w:rFonts w:ascii="仿宋" w:hAnsi="仿宋" w:eastAsia="仿宋" w:cs="仿宋_GB2312"/>
          <w:sz w:val="32"/>
          <w:szCs w:val="32"/>
        </w:rPr>
      </w:pPr>
      <w:r>
        <w:rPr>
          <w:rFonts w:ascii="仿宋" w:hAnsi="仿宋" w:eastAsia="仿宋" w:cs="仿宋_GB2312"/>
          <w:sz w:val="32"/>
          <w:szCs w:val="32"/>
        </w:rPr>
        <w:t>7、加强环境管理，建立健全污染防治设施运行管理台帐，设专门的环保机构，配备专人负责环保工作，确保各项污染防治设施正常运行，各类污染物稳定达标排放。</w:t>
      </w:r>
    </w:p>
    <w:p>
      <w:pPr>
        <w:spacing w:line="520" w:lineRule="exact"/>
        <w:ind w:firstLine="640"/>
        <w:jc w:val="both"/>
        <w:rPr>
          <w:rFonts w:ascii="仿宋" w:hAnsi="仿宋" w:eastAsia="仿宋" w:cs="仿宋_GB2312"/>
          <w:sz w:val="32"/>
          <w:szCs w:val="32"/>
        </w:rPr>
      </w:pPr>
      <w:r>
        <w:rPr>
          <w:rFonts w:ascii="仿宋" w:hAnsi="仿宋" w:eastAsia="仿宋" w:cs="仿宋_GB2312"/>
          <w:sz w:val="32"/>
          <w:szCs w:val="32"/>
        </w:rPr>
        <w:t>8、</w:t>
      </w:r>
      <w:r>
        <w:rPr>
          <w:rFonts w:hint="eastAsia" w:ascii="仿宋" w:hAnsi="仿宋" w:eastAsia="仿宋" w:cs="_4eff_5b8b_GB2312"/>
          <w:bCs/>
          <w:sz w:val="32"/>
          <w:szCs w:val="32"/>
        </w:rPr>
        <w:t>本项目</w:t>
      </w:r>
      <w:r>
        <w:rPr>
          <w:rFonts w:hint="eastAsia" w:ascii="仿宋" w:hAnsi="仿宋" w:eastAsia="仿宋"/>
          <w:sz w:val="32"/>
          <w:szCs w:val="32"/>
        </w:rPr>
        <w:t>污染物总量控制指标</w:t>
      </w:r>
      <w:r>
        <w:rPr>
          <w:rFonts w:hint="eastAsia" w:ascii="仿宋" w:hAnsi="仿宋" w:eastAsia="仿宋" w:cs="_4eff_5b8b_GB2312"/>
          <w:bCs/>
          <w:sz w:val="32"/>
          <w:szCs w:val="32"/>
        </w:rPr>
        <w:t>：</w:t>
      </w:r>
      <w:r>
        <w:rPr>
          <w:rFonts w:hint="eastAsia" w:ascii="仿宋" w:hAnsi="仿宋" w:eastAsia="仿宋"/>
          <w:sz w:val="32"/>
          <w:szCs w:val="32"/>
        </w:rPr>
        <w:t>COD≤</w:t>
      </w:r>
      <w:r>
        <w:rPr>
          <w:rFonts w:ascii="仿宋" w:hAnsi="仿宋" w:eastAsia="仿宋"/>
          <w:sz w:val="32"/>
          <w:szCs w:val="32"/>
        </w:rPr>
        <w:t>0.9</w:t>
      </w:r>
      <w:r>
        <w:rPr>
          <w:rFonts w:hint="eastAsia" w:ascii="仿宋" w:hAnsi="仿宋" w:eastAsia="仿宋"/>
          <w:sz w:val="32"/>
          <w:szCs w:val="32"/>
        </w:rPr>
        <w:t>、氨氮≤0.1、VOCs≤</w:t>
      </w:r>
      <w:r>
        <w:rPr>
          <w:rFonts w:ascii="仿宋" w:hAnsi="仿宋" w:eastAsia="仿宋"/>
          <w:sz w:val="32"/>
          <w:szCs w:val="32"/>
        </w:rPr>
        <w:t>12.7</w:t>
      </w:r>
      <w:r>
        <w:rPr>
          <w:rFonts w:hint="eastAsia" w:ascii="仿宋" w:hAnsi="仿宋" w:eastAsia="仿宋"/>
          <w:sz w:val="32"/>
          <w:szCs w:val="32"/>
        </w:rPr>
        <w:t>t/a</w:t>
      </w:r>
      <w:r>
        <w:rPr>
          <w:rFonts w:hint="eastAsia" w:ascii="仿宋" w:hAnsi="仿宋" w:eastAsia="仿宋" w:cs="_4eff_5b8b_GB2312"/>
          <w:bCs/>
          <w:sz w:val="32"/>
          <w:szCs w:val="32"/>
        </w:rPr>
        <w:t>。</w:t>
      </w:r>
    </w:p>
    <w:p>
      <w:pPr>
        <w:spacing w:line="520" w:lineRule="exact"/>
        <w:ind w:firstLine="640"/>
        <w:jc w:val="both"/>
        <w:rPr>
          <w:rFonts w:ascii="仿宋" w:hAnsi="仿宋" w:eastAsia="仿宋" w:cs="仿宋_GB2312"/>
          <w:sz w:val="32"/>
          <w:szCs w:val="32"/>
        </w:rPr>
      </w:pPr>
      <w:r>
        <w:rPr>
          <w:rFonts w:ascii="仿宋" w:hAnsi="仿宋" w:eastAsia="仿宋" w:cs="仿宋_GB2312"/>
          <w:sz w:val="32"/>
          <w:szCs w:val="32"/>
        </w:rPr>
        <w:t>三、你公司应收到本批复后15个工作日内，将批复及批准的环评报告文件送岳阳市生态环境局</w:t>
      </w:r>
      <w:r>
        <w:rPr>
          <w:rFonts w:hint="eastAsia" w:ascii="仿宋" w:hAnsi="仿宋" w:eastAsia="仿宋" w:cs="仿宋_GB2312"/>
          <w:sz w:val="32"/>
          <w:szCs w:val="32"/>
        </w:rPr>
        <w:t>云溪</w:t>
      </w:r>
      <w:r>
        <w:rPr>
          <w:rFonts w:ascii="仿宋" w:hAnsi="仿宋" w:eastAsia="仿宋" w:cs="仿宋_GB2312"/>
          <w:sz w:val="32"/>
          <w:szCs w:val="32"/>
        </w:rPr>
        <w:t>分局、</w:t>
      </w:r>
      <w:r>
        <w:rPr>
          <w:rFonts w:hint="eastAsia" w:ascii="仿宋" w:hAnsi="仿宋" w:eastAsia="仿宋" w:cs="仿宋_GB2312"/>
          <w:sz w:val="32"/>
          <w:szCs w:val="32"/>
        </w:rPr>
        <w:t>湖南岳阳绿色化工产业园管理委员会</w:t>
      </w:r>
      <w:r>
        <w:rPr>
          <w:rFonts w:ascii="仿宋" w:hAnsi="仿宋" w:eastAsia="仿宋" w:cs="仿宋_GB2312"/>
          <w:sz w:val="32"/>
          <w:szCs w:val="32"/>
        </w:rPr>
        <w:t>、</w:t>
      </w:r>
      <w:r>
        <w:rPr>
          <w:rFonts w:hint="eastAsia" w:ascii="仿宋" w:hAnsi="仿宋" w:eastAsia="仿宋"/>
          <w:sz w:val="32"/>
          <w:szCs w:val="32"/>
        </w:rPr>
        <w:t>湖南湖南</w:t>
      </w:r>
      <w:r>
        <w:rPr>
          <w:rFonts w:hint="eastAsia" w:ascii="仿宋" w:hAnsi="仿宋" w:eastAsia="仿宋"/>
          <w:sz w:val="32"/>
          <w:szCs w:val="32"/>
          <w:lang w:val="en-US" w:eastAsia="zh-CN"/>
        </w:rPr>
        <w:t>中汇</w:t>
      </w:r>
      <w:r>
        <w:rPr>
          <w:rFonts w:hint="eastAsia" w:ascii="仿宋" w:hAnsi="仿宋" w:eastAsia="仿宋"/>
          <w:sz w:val="32"/>
          <w:szCs w:val="32"/>
        </w:rPr>
        <w:t>科技有限公司</w:t>
      </w:r>
      <w:r>
        <w:rPr>
          <w:rFonts w:ascii="仿宋" w:hAnsi="仿宋" w:eastAsia="仿宋" w:cs="仿宋_GB2312"/>
          <w:sz w:val="32"/>
          <w:szCs w:val="32"/>
        </w:rPr>
        <w:t>。</w:t>
      </w:r>
    </w:p>
    <w:p>
      <w:pPr>
        <w:spacing w:line="520" w:lineRule="exact"/>
        <w:ind w:firstLine="640"/>
        <w:jc w:val="both"/>
        <w:rPr>
          <w:rFonts w:ascii="仿宋" w:hAnsi="仿宋" w:eastAsia="仿宋" w:cs="仿宋_GB2312"/>
          <w:sz w:val="32"/>
          <w:szCs w:val="32"/>
        </w:rPr>
      </w:pPr>
      <w:r>
        <w:rPr>
          <w:rFonts w:ascii="仿宋" w:hAnsi="仿宋" w:eastAsia="仿宋" w:cs="仿宋_GB2312"/>
          <w:sz w:val="32"/>
          <w:szCs w:val="32"/>
        </w:rPr>
        <w:t>四、请岳阳市生态环境局</w:t>
      </w:r>
      <w:r>
        <w:rPr>
          <w:rFonts w:hint="eastAsia" w:ascii="仿宋" w:hAnsi="仿宋" w:eastAsia="仿宋" w:cs="仿宋_GB2312"/>
          <w:sz w:val="32"/>
          <w:szCs w:val="32"/>
        </w:rPr>
        <w:t>云溪</w:t>
      </w:r>
      <w:r>
        <w:rPr>
          <w:rFonts w:ascii="仿宋" w:hAnsi="仿宋" w:eastAsia="仿宋" w:cs="仿宋_GB2312"/>
          <w:sz w:val="32"/>
          <w:szCs w:val="32"/>
        </w:rPr>
        <w:t>分局负责项目建设和运营期的日常环境监管。</w:t>
      </w:r>
    </w:p>
    <w:p>
      <w:pPr>
        <w:spacing w:line="520" w:lineRule="exact"/>
        <w:ind w:firstLine="0" w:firstLineChars="0"/>
        <w:rPr>
          <w:rFonts w:ascii="仿宋" w:hAnsi="仿宋" w:eastAsia="仿宋"/>
          <w:color w:val="FF0000"/>
          <w:sz w:val="32"/>
          <w:szCs w:val="32"/>
        </w:rPr>
      </w:pPr>
    </w:p>
    <w:p>
      <w:pPr>
        <w:spacing w:line="520" w:lineRule="exact"/>
        <w:ind w:firstLine="0" w:firstLineChars="0"/>
        <w:rPr>
          <w:rFonts w:ascii="仿宋" w:hAnsi="仿宋" w:eastAsia="仿宋"/>
          <w:color w:val="FF0000"/>
          <w:sz w:val="32"/>
          <w:szCs w:val="32"/>
        </w:rPr>
      </w:pPr>
    </w:p>
    <w:p>
      <w:pPr>
        <w:spacing w:line="520" w:lineRule="exact"/>
        <w:ind w:firstLine="0" w:firstLineChars="0"/>
        <w:rPr>
          <w:rFonts w:ascii="仿宋" w:hAnsi="仿宋" w:eastAsia="仿宋"/>
          <w:color w:val="FF0000"/>
          <w:sz w:val="32"/>
          <w:szCs w:val="32"/>
        </w:rPr>
      </w:pPr>
    </w:p>
    <w:p>
      <w:pPr>
        <w:spacing w:line="520" w:lineRule="exact"/>
        <w:ind w:firstLine="0" w:firstLineChars="0"/>
        <w:rPr>
          <w:rFonts w:ascii="仿宋" w:hAnsi="仿宋" w:eastAsia="仿宋"/>
          <w:sz w:val="32"/>
          <w:szCs w:val="32"/>
        </w:rPr>
      </w:pPr>
      <w:r>
        <w:rPr>
          <w:rFonts w:hint="eastAsia" w:ascii="仿宋" w:hAnsi="仿宋" w:eastAsia="仿宋"/>
          <w:color w:val="FF0000"/>
          <w:sz w:val="32"/>
          <w:szCs w:val="32"/>
        </w:rPr>
        <w:t xml:space="preserve">                                </w:t>
      </w:r>
      <w:r>
        <w:rPr>
          <w:rFonts w:hint="eastAsia" w:ascii="仿宋" w:hAnsi="仿宋" w:eastAsia="仿宋"/>
          <w:sz w:val="32"/>
          <w:szCs w:val="32"/>
        </w:rPr>
        <w:t>岳阳市生态环境局</w:t>
      </w:r>
    </w:p>
    <w:p>
      <w:pPr>
        <w:spacing w:line="520" w:lineRule="exact"/>
        <w:ind w:firstLine="64" w:firstLineChars="20"/>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highlight w:val="none"/>
        </w:rPr>
        <w:t>2021年</w:t>
      </w:r>
      <w:r>
        <w:rPr>
          <w:rFonts w:hint="eastAsia" w:ascii="仿宋" w:hAnsi="仿宋" w:eastAsia="仿宋"/>
          <w:sz w:val="32"/>
          <w:szCs w:val="32"/>
          <w:highlight w:val="none"/>
          <w:lang w:val="en-US" w:eastAsia="zh-CN"/>
        </w:rPr>
        <w:t>7</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12</w:t>
      </w:r>
      <w:r>
        <w:rPr>
          <w:rFonts w:hint="eastAsia" w:ascii="仿宋" w:hAnsi="仿宋" w:eastAsia="仿宋"/>
          <w:sz w:val="32"/>
          <w:szCs w:val="32"/>
          <w:highlight w:val="none"/>
        </w:rPr>
        <w:t>日</w:t>
      </w:r>
    </w:p>
    <w:p>
      <w:pPr>
        <w:pStyle w:val="33"/>
        <w:spacing w:line="520" w:lineRule="exact"/>
        <w:ind w:left="0" w:firstLine="0" w:firstLineChars="0"/>
        <w:jc w:val="both"/>
        <w:rPr>
          <w:rFonts w:ascii="仿宋" w:hAnsi="仿宋" w:eastAsia="仿宋"/>
          <w:sz w:val="32"/>
          <w:szCs w:val="32"/>
        </w:rPr>
      </w:pPr>
    </w:p>
    <w:sectPr>
      <w:headerReference r:id="rId7" w:type="first"/>
      <w:headerReference r:id="rId5" w:type="default"/>
      <w:footerReference r:id="rId8" w:type="default"/>
      <w:headerReference r:id="rId6" w:type="even"/>
      <w:footerReference r:id="rId9" w:type="even"/>
      <w:pgSz w:w="11906" w:h="16838"/>
      <w:pgMar w:top="1440" w:right="1588" w:bottom="1418" w:left="1644" w:header="851" w:footer="992"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_4eff_5b8b_GB2312">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jc w:val="center"/>
    </w:pPr>
    <w:r>
      <w:fldChar w:fldCharType="begin"/>
    </w:r>
    <w:r>
      <w:instrText xml:space="preserve"> PAGE   \* MERGEFORMAT </w:instrText>
    </w:r>
    <w:r>
      <w:fldChar w:fldCharType="separate"/>
    </w:r>
    <w:r>
      <w:rPr>
        <w:lang w:val="zh-CN"/>
      </w:rPr>
      <w:t>3</w:t>
    </w:r>
    <w:r>
      <w:fldChar w:fldCharType="end"/>
    </w:r>
  </w:p>
  <w:p>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0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trackedChanges" w:enforcement="0"/>
  <w:defaultTabStop w:val="420"/>
  <w:drawingGridHorizontalSpacing w:val="100"/>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506674"/>
    <w:rsid w:val="3D840F7D"/>
    <w:rsid w:val="77B41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1" w:firstLineChars="200"/>
    </w:pPr>
    <w:rPr>
      <w:rFonts w:ascii="Times New Roman" w:hAnsi="Times New Roman" w:eastAsia="宋体" w:cs="Times New Roman"/>
      <w:lang w:val="en-US" w:eastAsia="zh-CN" w:bidi="ar-SA"/>
    </w:rPr>
  </w:style>
  <w:style w:type="paragraph" w:styleId="7">
    <w:name w:val="heading 1"/>
    <w:basedOn w:val="1"/>
    <w:next w:val="1"/>
    <w:qFormat/>
    <w:uiPriority w:val="0"/>
    <w:pPr>
      <w:widowControl/>
      <w:spacing w:before="100" w:beforeAutospacing="1" w:after="100" w:afterAutospacing="1"/>
      <w:outlineLvl w:val="0"/>
    </w:pPr>
    <w:rPr>
      <w:rFonts w:eastAsia="黑体" w:cs="宋体"/>
      <w:bCs/>
      <w:kern w:val="36"/>
      <w:sz w:val="36"/>
      <w:szCs w:val="36"/>
    </w:rPr>
  </w:style>
  <w:style w:type="character" w:default="1" w:styleId="18">
    <w:name w:val="Default Paragraph Font"/>
    <w:uiPriority w:val="1"/>
  </w:style>
  <w:style w:type="table" w:default="1" w:styleId="16">
    <w:name w:val="Normal Table"/>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widowControl w:val="0"/>
      <w:spacing w:before="60" w:line="240" w:lineRule="auto"/>
      <w:ind w:left="0" w:leftChars="0" w:firstLine="210"/>
      <w:jc w:val="both"/>
    </w:pPr>
    <w:rPr>
      <w:sz w:val="18"/>
      <w:szCs w:val="24"/>
    </w:rPr>
  </w:style>
  <w:style w:type="paragraph" w:styleId="3">
    <w:name w:val="Body Text Indent"/>
    <w:basedOn w:val="1"/>
    <w:next w:val="2"/>
    <w:qFormat/>
    <w:uiPriority w:val="0"/>
    <w:pPr>
      <w:widowControl/>
      <w:spacing w:after="120" w:line="276" w:lineRule="auto"/>
      <w:ind w:left="420" w:leftChars="200"/>
    </w:pPr>
    <w:rPr>
      <w:sz w:val="22"/>
    </w:rPr>
  </w:style>
  <w:style w:type="paragraph" w:styleId="4">
    <w:name w:val="Body Text First Indent"/>
    <w:basedOn w:val="5"/>
    <w:link w:val="30"/>
    <w:qFormat/>
    <w:uiPriority w:val="0"/>
    <w:pPr>
      <w:adjustRightInd w:val="0"/>
      <w:snapToGrid w:val="0"/>
      <w:spacing w:after="0" w:line="360" w:lineRule="auto"/>
      <w:ind w:firstLine="200"/>
      <w:jc w:val="both"/>
    </w:pPr>
    <w:rPr>
      <w:kern w:val="2"/>
      <w:sz w:val="24"/>
    </w:rPr>
  </w:style>
  <w:style w:type="paragraph" w:styleId="5">
    <w:name w:val="Body Text"/>
    <w:basedOn w:val="1"/>
    <w:next w:val="6"/>
    <w:qFormat/>
    <w:uiPriority w:val="0"/>
    <w:pPr>
      <w:spacing w:after="120"/>
    </w:pPr>
  </w:style>
  <w:style w:type="paragraph" w:customStyle="1" w:styleId="6">
    <w:name w:val="Date1"/>
    <w:basedOn w:val="1"/>
    <w:next w:val="1"/>
    <w:qFormat/>
    <w:uiPriority w:val="0"/>
    <w:pPr>
      <w:adjustRightInd w:val="0"/>
      <w:jc w:val="both"/>
      <w:textAlignment w:val="baseline"/>
    </w:pPr>
    <w:rPr>
      <w:sz w:val="21"/>
      <w:szCs w:val="21"/>
    </w:rPr>
  </w:style>
  <w:style w:type="paragraph" w:styleId="8">
    <w:name w:val="Normal Indent"/>
    <w:qFormat/>
    <w:uiPriority w:val="0"/>
    <w:pPr>
      <w:adjustRightInd w:val="0"/>
      <w:spacing w:line="312" w:lineRule="atLeast"/>
      <w:ind w:firstLine="420"/>
      <w:textAlignment w:val="baseline"/>
    </w:pPr>
    <w:rPr>
      <w:rFonts w:ascii="Times New Roman" w:hAnsi="Times New Roman" w:eastAsia="宋体" w:cs="Times New Roman"/>
      <w:lang w:val="en-US" w:eastAsia="zh-CN" w:bidi="ar-SA"/>
    </w:rPr>
  </w:style>
  <w:style w:type="paragraph" w:styleId="9">
    <w:name w:val="annotation text"/>
    <w:basedOn w:val="1"/>
    <w:link w:val="23"/>
    <w:qFormat/>
    <w:uiPriority w:val="0"/>
  </w:style>
  <w:style w:type="paragraph" w:styleId="10">
    <w:name w:val="Plain Text"/>
    <w:qFormat/>
    <w:uiPriority w:val="0"/>
    <w:pPr>
      <w:spacing w:line="440" w:lineRule="exact"/>
      <w:ind w:firstLine="425"/>
    </w:pPr>
    <w:rPr>
      <w:rFonts w:ascii="宋体" w:hAnsi="Courier New" w:eastAsia="宋体" w:cs="Times New Roman"/>
      <w:kern w:val="2"/>
      <w:sz w:val="28"/>
      <w:lang w:val="en-US" w:eastAsia="zh-CN" w:bidi="ar-SA"/>
    </w:rPr>
  </w:style>
  <w:style w:type="paragraph" w:styleId="11">
    <w:name w:val="Date"/>
    <w:basedOn w:val="1"/>
    <w:next w:val="1"/>
    <w:qFormat/>
    <w:uiPriority w:val="0"/>
    <w:pPr>
      <w:ind w:left="100" w:leftChars="2500"/>
    </w:pPr>
  </w:style>
  <w:style w:type="paragraph" w:styleId="12">
    <w:name w:val="Balloon Text"/>
    <w:basedOn w:val="1"/>
    <w:qFormat/>
    <w:uiPriority w:val="0"/>
    <w:rPr>
      <w:sz w:val="18"/>
      <w:szCs w:val="18"/>
    </w:rPr>
  </w:style>
  <w:style w:type="paragraph" w:styleId="13">
    <w:name w:val="footer"/>
    <w:basedOn w:val="1"/>
    <w:link w:val="28"/>
    <w:qFormat/>
    <w:uiPriority w:val="99"/>
    <w:pPr>
      <w:tabs>
        <w:tab w:val="center" w:pos="4153"/>
        <w:tab w:val="right" w:pos="8306"/>
      </w:tabs>
      <w:snapToGrid w:val="0"/>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annotation subject"/>
    <w:basedOn w:val="9"/>
    <w:next w:val="9"/>
    <w:link w:val="29"/>
    <w:qFormat/>
    <w:uiPriority w:val="0"/>
    <w:rPr>
      <w:b/>
      <w:bCs/>
    </w:rPr>
  </w:style>
  <w:style w:type="table" w:styleId="17">
    <w:name w:val="Table Grid"/>
    <w:basedOn w:val="16"/>
    <w:qFormat/>
    <w:uiPriority w:val="0"/>
    <w:pPr>
      <w:widowControl w:val="0"/>
      <w:ind w:firstLine="21" w:firstLineChars="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annotation reference"/>
    <w:qFormat/>
    <w:uiPriority w:val="0"/>
    <w:rPr>
      <w:sz w:val="21"/>
      <w:szCs w:val="21"/>
    </w:rPr>
  </w:style>
  <w:style w:type="character" w:customStyle="1" w:styleId="21">
    <w:name w:val="表格文字 Char"/>
    <w:link w:val="22"/>
    <w:qFormat/>
    <w:uiPriority w:val="0"/>
    <w:rPr>
      <w:rFonts w:eastAsia="宋体"/>
      <w:kern w:val="2"/>
      <w:sz w:val="21"/>
      <w:szCs w:val="21"/>
      <w:lang w:val="en-US" w:eastAsia="zh-CN" w:bidi="ar-SA"/>
    </w:rPr>
  </w:style>
  <w:style w:type="paragraph" w:customStyle="1" w:styleId="22">
    <w:name w:val="表格文字"/>
    <w:basedOn w:val="1"/>
    <w:link w:val="21"/>
    <w:qFormat/>
    <w:uiPriority w:val="0"/>
    <w:pPr>
      <w:widowControl/>
      <w:adjustRightInd w:val="0"/>
      <w:snapToGrid w:val="0"/>
      <w:ind w:firstLine="0" w:firstLineChars="0"/>
      <w:jc w:val="center"/>
    </w:pPr>
    <w:rPr>
      <w:kern w:val="2"/>
      <w:sz w:val="21"/>
      <w:szCs w:val="21"/>
    </w:rPr>
  </w:style>
  <w:style w:type="character" w:customStyle="1" w:styleId="23">
    <w:name w:val="批注文字 字符"/>
    <w:basedOn w:val="18"/>
    <w:link w:val="9"/>
    <w:qFormat/>
    <w:uiPriority w:val="0"/>
  </w:style>
  <w:style w:type="character" w:customStyle="1" w:styleId="24">
    <w:name w:val="中文报告书样式 Char Char"/>
    <w:link w:val="25"/>
    <w:qFormat/>
    <w:uiPriority w:val="0"/>
    <w:rPr>
      <w:rFonts w:eastAsia="宋体"/>
      <w:kern w:val="24"/>
      <w:sz w:val="24"/>
      <w:lang w:val="en-US" w:eastAsia="zh-CN" w:bidi="ar-SA"/>
    </w:rPr>
  </w:style>
  <w:style w:type="paragraph" w:customStyle="1" w:styleId="25">
    <w:name w:val="中文报告书样式"/>
    <w:basedOn w:val="1"/>
    <w:link w:val="24"/>
    <w:qFormat/>
    <w:uiPriority w:val="0"/>
    <w:pPr>
      <w:adjustRightInd w:val="0"/>
      <w:spacing w:line="480" w:lineRule="atLeast"/>
      <w:ind w:firstLine="482"/>
      <w:textAlignment w:val="baseline"/>
    </w:pPr>
    <w:rPr>
      <w:kern w:val="24"/>
      <w:sz w:val="24"/>
    </w:rPr>
  </w:style>
  <w:style w:type="character" w:customStyle="1" w:styleId="26">
    <w:name w:val="p0 Char"/>
    <w:link w:val="27"/>
    <w:qFormat/>
    <w:uiPriority w:val="0"/>
    <w:rPr>
      <w:rFonts w:eastAsia="宋体"/>
      <w:sz w:val="32"/>
      <w:szCs w:val="32"/>
      <w:lang w:val="en-US" w:eastAsia="zh-CN" w:bidi="ar-SA"/>
    </w:rPr>
  </w:style>
  <w:style w:type="paragraph" w:customStyle="1" w:styleId="27">
    <w:name w:val="p0"/>
    <w:basedOn w:val="1"/>
    <w:link w:val="26"/>
    <w:qFormat/>
    <w:uiPriority w:val="0"/>
    <w:pPr>
      <w:widowControl/>
      <w:ind w:firstLine="0" w:firstLineChars="0"/>
      <w:jc w:val="both"/>
    </w:pPr>
    <w:rPr>
      <w:sz w:val="32"/>
      <w:szCs w:val="32"/>
    </w:rPr>
  </w:style>
  <w:style w:type="character" w:customStyle="1" w:styleId="28">
    <w:name w:val="页脚 字符"/>
    <w:link w:val="13"/>
    <w:qFormat/>
    <w:uiPriority w:val="99"/>
    <w:rPr>
      <w:sz w:val="18"/>
      <w:szCs w:val="18"/>
    </w:rPr>
  </w:style>
  <w:style w:type="character" w:customStyle="1" w:styleId="29">
    <w:name w:val="批注主题 字符"/>
    <w:link w:val="15"/>
    <w:qFormat/>
    <w:uiPriority w:val="0"/>
    <w:rPr>
      <w:b/>
      <w:bCs/>
    </w:rPr>
  </w:style>
  <w:style w:type="character" w:customStyle="1" w:styleId="30">
    <w:name w:val="正文文本首行缩进 字符"/>
    <w:link w:val="4"/>
    <w:qFormat/>
    <w:uiPriority w:val="0"/>
    <w:rPr>
      <w:rFonts w:eastAsia="宋体"/>
      <w:kern w:val="2"/>
      <w:sz w:val="24"/>
      <w:lang w:val="en-US" w:eastAsia="zh-CN" w:bidi="ar-SA"/>
    </w:rPr>
  </w:style>
  <w:style w:type="paragraph" w:customStyle="1" w:styleId="31">
    <w:name w:val="1-正文"/>
    <w:qFormat/>
    <w:uiPriority w:val="0"/>
    <w:pPr>
      <w:spacing w:after="60" w:line="360" w:lineRule="auto"/>
      <w:ind w:firstLine="200" w:firstLineChars="200"/>
    </w:pPr>
    <w:rPr>
      <w:rFonts w:ascii="Times New Roman" w:hAnsi="Times New Roman" w:eastAsia="宋体" w:cs="Times New Roman"/>
      <w:kern w:val="2"/>
      <w:sz w:val="24"/>
      <w:lang w:val="en-US" w:eastAsia="zh-CN" w:bidi="ar-SA"/>
    </w:rPr>
  </w:style>
  <w:style w:type="paragraph" w:customStyle="1" w:styleId="32">
    <w:name w:val="WPS Plain"/>
    <w:qFormat/>
    <w:uiPriority w:val="0"/>
    <w:rPr>
      <w:rFonts w:ascii="Times New Roman" w:hAnsi="Times New Roman" w:eastAsia="宋体" w:cs="Times New Roman"/>
      <w:lang w:val="en-US" w:eastAsia="zh-CN" w:bidi="ar-SA"/>
    </w:rPr>
  </w:style>
  <w:style w:type="paragraph" w:customStyle="1" w:styleId="33">
    <w:name w:val="0"/>
    <w:basedOn w:val="1"/>
    <w:qFormat/>
    <w:uiPriority w:val="0"/>
    <w:pPr>
      <w:widowControl/>
      <w:snapToGrid w:val="0"/>
      <w:spacing w:line="365" w:lineRule="atLeast"/>
      <w:ind w:left="1"/>
      <w:textAlignment w:val="bottom"/>
    </w:pPr>
  </w:style>
  <w:style w:type="paragraph" w:customStyle="1" w:styleId="34">
    <w:name w:val="表格内容"/>
    <w:basedOn w:val="1"/>
    <w:qFormat/>
    <w:uiPriority w:val="0"/>
    <w:pPr>
      <w:autoSpaceDE w:val="0"/>
      <w:autoSpaceDN w:val="0"/>
      <w:adjustRightInd w:val="0"/>
      <w:spacing w:line="360" w:lineRule="auto"/>
      <w:ind w:firstLine="0" w:firstLineChars="0"/>
      <w:jc w:val="center"/>
      <w:textAlignment w:val="baseline"/>
    </w:pPr>
    <w:rPr>
      <w:color w:val="000000"/>
      <w:sz w:val="21"/>
      <w:szCs w:val="21"/>
    </w:rPr>
  </w:style>
  <w:style w:type="paragraph" w:customStyle="1" w:styleId="35">
    <w:name w:val="Revision_d163ada4-c407-473e-a92d-b3e69466bf2c"/>
    <w:qFormat/>
    <w:uiPriority w:val="99"/>
    <w:rPr>
      <w:rFonts w:ascii="Times New Roman" w:hAnsi="Times New Roman" w:eastAsia="宋体" w:cs="Times New Roman"/>
      <w:lang w:val="en-US" w:eastAsia="zh-CN" w:bidi="ar-SA"/>
    </w:rPr>
  </w:style>
  <w:style w:type="paragraph" w:customStyle="1" w:styleId="36">
    <w:name w:val="Char Char Char Char Char Char Char Char Char Char"/>
    <w:basedOn w:val="1"/>
    <w:qFormat/>
    <w:uiPriority w:val="0"/>
    <w:pPr>
      <w:widowControl/>
      <w:spacing w:after="160" w:line="240" w:lineRule="exact"/>
      <w:ind w:firstLine="0" w:firstLineChars="0"/>
    </w:pPr>
    <w:rPr>
      <w:rFonts w:ascii="Verdana" w:hAnsi="Verdana"/>
      <w:lang w:eastAsia="en-US"/>
    </w:rPr>
  </w:style>
  <w:style w:type="paragraph" w:customStyle="1" w:styleId="37">
    <w:name w:val="缩进"/>
    <w:qFormat/>
    <w:uiPriority w:val="0"/>
    <w:pPr>
      <w:autoSpaceDE w:val="0"/>
      <w:autoSpaceDN w:val="0"/>
      <w:adjustRightInd w:val="0"/>
      <w:spacing w:line="400" w:lineRule="atLeast"/>
      <w:ind w:firstLine="425"/>
      <w:textAlignment w:val="baseline"/>
    </w:pPr>
    <w:rPr>
      <w:rFonts w:ascii="Times New Roman" w:hAnsi="Times New Roman" w:eastAsia="宋体" w:cs="Times New Roman"/>
      <w:sz w:val="24"/>
      <w:lang w:val="en-US" w:eastAsia="zh-CN" w:bidi="ar-SA"/>
    </w:rPr>
  </w:style>
  <w:style w:type="paragraph" w:customStyle="1" w:styleId="38">
    <w:name w:val="样式 正文001 + 首行缩进:  2 字符"/>
    <w:qFormat/>
    <w:uiPriority w:val="0"/>
    <w:pPr>
      <w:spacing w:before="60" w:line="460" w:lineRule="atLeast"/>
      <w:ind w:firstLine="480" w:firstLineChars="200"/>
    </w:pPr>
    <w:rPr>
      <w:rFonts w:ascii="Times New Roman" w:hAnsi="Times New Roman" w:eastAsia="宋体" w:cs="宋体"/>
      <w:sz w:val="24"/>
      <w:lang w:val="en-US" w:eastAsia="zh-CN" w:bidi="ar-SA"/>
    </w:rPr>
  </w:style>
  <w:style w:type="paragraph" w:customStyle="1" w:styleId="39">
    <w:name w:val="Char Char Char Char Char Char Char Char Char Char Char"/>
    <w:basedOn w:val="1"/>
    <w:qFormat/>
    <w:uiPriority w:val="0"/>
    <w:pPr>
      <w:ind w:firstLine="0" w:firstLineChars="0"/>
      <w:jc w:val="both"/>
    </w:pPr>
    <w:rPr>
      <w:kern w:val="2"/>
      <w:sz w:val="28"/>
      <w:szCs w:val="28"/>
    </w:rPr>
  </w:style>
  <w:style w:type="paragraph" w:styleId="40">
    <w:name w:val="List Paragraph"/>
    <w:qFormat/>
    <w:uiPriority w:val="0"/>
    <w:pPr>
      <w:ind w:firstLine="420" w:firstLineChars="200"/>
    </w:pPr>
    <w:rPr>
      <w:rFonts w:ascii="Times New Roman" w:hAnsi="Times New Roman" w:eastAsia="宋体" w:cs="Times New Roman"/>
      <w:lang w:val="en-US" w:eastAsia="zh-CN" w:bidi="ar-SA"/>
    </w:rPr>
  </w:style>
  <w:style w:type="paragraph" w:customStyle="1" w:styleId="41">
    <w:name w:val="Revision_6448cace-a9fb-4a64-abc2-1161f4904b8a"/>
    <w:qFormat/>
    <w:uiPriority w:val="99"/>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1853</Words>
  <Characters>2080</Characters>
  <Paragraphs>41</Paragraphs>
  <TotalTime>8</TotalTime>
  <ScaleCrop>false</ScaleCrop>
  <LinksUpToDate>false</LinksUpToDate>
  <CharactersWithSpaces>2237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2020-02-12T04:38:00Z</dcterms:created>
  <dc:creator>微软用户</dc:creator>
  <cp:lastModifiedBy>王志勤</cp:lastModifiedBy>
  <cp:lastPrinted>2021-05-06T02:27:00Z</cp:lastPrinted>
  <dcterms:modified xsi:type="dcterms:W3CDTF">2021-07-12T01:28:13Z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19002DE6EF6A45D287C3AB5FDF4E5891</vt:lpwstr>
  </property>
</Properties>
</file>