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2"/>
        <w:spacing w:line="480" w:lineRule="exact"/>
        <w:textAlignment w:val="top"/>
        <w:rPr>
          <w:rFonts w:ascii="仿宋" w:hAnsi="仿宋" w:eastAsia="仿宋"/>
          <w:b/>
          <w:color w:val="FF0000"/>
          <w:sz w:val="36"/>
        </w:rPr>
      </w:pPr>
      <w:r>
        <w:rPr>
          <w:rFonts w:hint="eastAsia" w:ascii="仿宋" w:hAnsi="仿宋" w:eastAsia="仿宋"/>
          <w:b/>
          <w:color w:val="FF0000"/>
          <w:kern w:val="2"/>
          <w:sz w:val="36"/>
        </w:rPr>
        <w:t xml:space="preserve">                                               </w:t>
      </w:r>
    </w:p>
    <w:p>
      <w:pPr>
        <w:pStyle w:val="32"/>
        <w:spacing w:line="480" w:lineRule="exact"/>
        <w:textAlignment w:val="top"/>
        <w:rPr>
          <w:rFonts w:ascii="仿宋" w:hAnsi="仿宋" w:eastAsia="仿宋"/>
          <w:b/>
          <w:color w:val="FF0000"/>
          <w:sz w:val="36"/>
        </w:rPr>
      </w:pPr>
    </w:p>
    <w:p>
      <w:pPr>
        <w:pStyle w:val="32"/>
        <w:spacing w:line="320" w:lineRule="exact"/>
        <w:ind w:firstLine="5250" w:firstLineChars="1750"/>
        <w:textAlignment w:val="top"/>
        <w:rPr>
          <w:rFonts w:ascii="仿宋" w:hAnsi="仿宋" w:eastAsia="仿宋"/>
          <w:sz w:val="30"/>
          <w:szCs w:val="30"/>
        </w:rPr>
      </w:pPr>
    </w:p>
    <w:p>
      <w:pPr>
        <w:pStyle w:val="32"/>
        <w:spacing w:line="320" w:lineRule="exact"/>
        <w:ind w:firstLine="5250" w:firstLineChars="1750"/>
        <w:textAlignment w:val="top"/>
        <w:rPr>
          <w:rFonts w:ascii="仿宋" w:hAnsi="仿宋" w:eastAsia="仿宋"/>
          <w:sz w:val="30"/>
          <w:szCs w:val="30"/>
        </w:rPr>
      </w:pPr>
    </w:p>
    <w:p>
      <w:pPr>
        <w:pStyle w:val="32"/>
        <w:spacing w:line="320" w:lineRule="exact"/>
        <w:ind w:firstLine="5250" w:firstLineChars="1750"/>
        <w:textAlignment w:val="top"/>
        <w:rPr>
          <w:rFonts w:ascii="仿宋" w:hAnsi="仿宋" w:eastAsia="仿宋"/>
          <w:sz w:val="30"/>
          <w:szCs w:val="30"/>
        </w:rPr>
      </w:pPr>
    </w:p>
    <w:p>
      <w:pPr>
        <w:pStyle w:val="32"/>
        <w:spacing w:line="400" w:lineRule="exact"/>
        <w:jc w:val="both"/>
        <w:textAlignment w:val="top"/>
        <w:rPr>
          <w:rFonts w:ascii="仿宋" w:hAnsi="仿宋" w:eastAsia="仿宋"/>
          <w:sz w:val="30"/>
          <w:szCs w:val="30"/>
        </w:rPr>
      </w:pPr>
    </w:p>
    <w:p>
      <w:pPr>
        <w:pStyle w:val="32"/>
        <w:spacing w:after="156" w:afterLines="50" w:line="400" w:lineRule="exact"/>
        <w:jc w:val="right"/>
        <w:textAlignment w:val="top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     </w:t>
      </w:r>
      <w:r>
        <w:rPr>
          <w:rFonts w:hint="eastAsia" w:ascii="仿宋" w:hAnsi="仿宋" w:eastAsia="仿宋"/>
          <w:sz w:val="32"/>
          <w:szCs w:val="32"/>
        </w:rPr>
        <w:t>岳环评[2021]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autoSpaceDE w:val="0"/>
        <w:autoSpaceDN w:val="0"/>
        <w:adjustRightInd w:val="0"/>
        <w:ind w:left="177" w:hanging="177" w:firstLineChars="0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关于</w:t>
      </w:r>
      <w:r>
        <w:rPr>
          <w:rFonts w:hint="default" w:ascii="Times New Roman" w:hAnsi="Times New Roman" w:eastAsia="宋体" w:cs="Times New Roman"/>
          <w:b/>
          <w:color w:val="auto"/>
          <w:sz w:val="36"/>
          <w:szCs w:val="36"/>
          <w:highlight w:val="none"/>
          <w:lang w:val="en-US" w:eastAsia="zh-CN"/>
        </w:rPr>
        <w:t>岳阳天宇化工有限公司新建1万吨/年1，3-二氯丙烯、3万吨/年1，2-二氯丙烷、3万吨/年二氯丙烷混合物、3.5万吨/年1，2，3-三氯丙烷、2万吨/年2，3-二氯丙烯、1万吨/年反式1，3-二氯丙烯项目</w:t>
      </w:r>
      <w:r>
        <w:rPr>
          <w:rFonts w:ascii="宋体" w:hAnsi="宋体"/>
          <w:b/>
          <w:sz w:val="36"/>
          <w:szCs w:val="36"/>
        </w:rPr>
        <w:t>环境影响报告书</w:t>
      </w:r>
      <w:r>
        <w:rPr>
          <w:rFonts w:hint="eastAsia" w:ascii="宋体" w:hAnsi="宋体"/>
          <w:b/>
          <w:sz w:val="36"/>
          <w:szCs w:val="36"/>
        </w:rPr>
        <w:t>的</w:t>
      </w:r>
    </w:p>
    <w:p>
      <w:pPr>
        <w:autoSpaceDE w:val="0"/>
        <w:autoSpaceDN w:val="0"/>
        <w:adjustRightInd w:val="0"/>
        <w:ind w:left="177" w:hanging="177" w:firstLineChars="0"/>
        <w:jc w:val="center"/>
        <w:rPr>
          <w:rFonts w:ascii="宋体" w:hAnsi="宋体" w:cs="黑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批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/>
          <w:b/>
          <w:sz w:val="36"/>
          <w:szCs w:val="36"/>
        </w:rPr>
        <w:t>复</w:t>
      </w:r>
    </w:p>
    <w:p>
      <w:pPr>
        <w:pStyle w:val="32"/>
        <w:spacing w:line="480" w:lineRule="exact"/>
        <w:ind w:left="157" w:hanging="156" w:hangingChars="49"/>
        <w:jc w:val="center"/>
        <w:textAlignment w:val="top"/>
        <w:rPr>
          <w:rFonts w:ascii="仿宋" w:hAnsi="仿宋" w:eastAsia="仿宋" w:cs="仿宋"/>
          <w:bCs/>
          <w:color w:val="FF0000"/>
          <w:sz w:val="32"/>
          <w:szCs w:val="32"/>
        </w:rPr>
      </w:pPr>
    </w:p>
    <w:p>
      <w:pPr>
        <w:spacing w:line="480" w:lineRule="exact"/>
        <w:ind w:left="0" w:leftChars="0" w:firstLine="0" w:firstLineChars="0"/>
        <w:jc w:val="both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岳阳天宇化工有限公司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：</w:t>
      </w:r>
    </w:p>
    <w:p>
      <w:pPr>
        <w:spacing w:line="480" w:lineRule="exact"/>
        <w:ind w:firstLine="64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你公司《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建设项目环境影响评价文件审批申请</w:t>
      </w:r>
      <w:r>
        <w:rPr>
          <w:rFonts w:hint="eastAsia" w:ascii="仿宋" w:hAnsi="仿宋" w:eastAsia="仿宋"/>
          <w:sz w:val="32"/>
          <w:szCs w:val="32"/>
        </w:rPr>
        <w:t>》、岳阳市生态环境局云溪分局的预审意见及有关附件悉收。经研究，批复如下：</w:t>
      </w:r>
    </w:p>
    <w:p>
      <w:pPr>
        <w:spacing w:line="480" w:lineRule="exact"/>
        <w:ind w:firstLine="64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根据你公司提供的环评报告书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相关资料，你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拟在湖南岳阳绿色化工产业园北部新建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1万吨/年1，3-二氯丙烯、3万吨/年1，2-二氯丙烷、3万吨/年二氯丙烷混合物、3.5万吨/年1，2，3-三氯丙烷、2万吨/年2，3-二氯丙烯、1万吨/年反式1，3-二氯丙烯项目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。根据项目环评文件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建设单位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提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供的其他资料，项</w:t>
      </w:r>
      <w:r>
        <w:rPr>
          <w:rFonts w:hint="eastAsia" w:ascii="仿宋" w:hAnsi="仿宋" w:eastAsia="仿宋"/>
          <w:sz w:val="32"/>
          <w:szCs w:val="32"/>
        </w:rPr>
        <w:t>目总占地面积为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35571.72</w:t>
      </w:r>
      <w:r>
        <w:rPr>
          <w:rFonts w:ascii="仿宋" w:hAnsi="仿宋" w:eastAsia="仿宋"/>
          <w:sz w:val="32"/>
          <w:szCs w:val="32"/>
        </w:rPr>
        <w:t>m</w:t>
      </w:r>
      <w:r>
        <w:rPr>
          <w:rFonts w:ascii="仿宋" w:hAnsi="仿宋" w:eastAsia="仿宋"/>
          <w:sz w:val="32"/>
          <w:szCs w:val="32"/>
          <w:vertAlign w:val="superscript"/>
        </w:rPr>
        <w:t>2</w:t>
      </w:r>
      <w:r>
        <w:rPr>
          <w:rFonts w:hint="eastAsia" w:ascii="仿宋" w:hAnsi="仿宋" w:eastAsia="仿宋"/>
          <w:sz w:val="32"/>
          <w:szCs w:val="32"/>
        </w:rPr>
        <w:t>，总投资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约</w:t>
      </w:r>
      <w:r>
        <w:rPr>
          <w:rFonts w:hint="eastAsia" w:ascii="仿宋" w:hAnsi="仿宋" w:eastAsia="仿宋"/>
          <w:sz w:val="32"/>
          <w:szCs w:val="32"/>
        </w:rPr>
        <w:t>为1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3800</w:t>
      </w:r>
      <w:r>
        <w:rPr>
          <w:rFonts w:hint="eastAsia" w:ascii="仿宋" w:hAnsi="仿宋" w:eastAsia="仿宋"/>
          <w:sz w:val="32"/>
          <w:szCs w:val="32"/>
        </w:rPr>
        <w:t>万元，其中环保投资5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.5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项目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以工业用二氯丙烷为原料，通过多次蒸馏、冷却工序分离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出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1，3-二氯丙烯、1，2-二氯丙烷、二氯丙烷混合物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以及二氯丙烷重质组分；以液氯、3-氯丙烯、工业用三氯丙烷等为原料，通过氯化、精馏等工序生产1、2、3-三氯丙烷和三氯丙烷重质组分；以1、2、3-三氯丙烷、盐酸、液碱和氯化铵为原料，通过反应、分层、精馏等工序生产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2，3-二氯丙烯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和工业盐；以液氯、3-氯丙烯、工业用三氯丙烷等为原料，通过氯化、精馏等工序生产1、2、3-三氯丙烷和三氯丙烷重质组分；以液氯、粗反式二氯丙烯为原料，通过反应、精馏等工序生产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反式1，3-二氯丙烯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和三氯丙烷重质组分；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主要建设内容为：新建</w:t>
      </w:r>
      <w:r>
        <w:rPr>
          <w:rFonts w:hint="eastAsia" w:ascii="仿宋" w:hAnsi="仿宋" w:eastAsia="仿宋"/>
          <w:sz w:val="32"/>
          <w:szCs w:val="32"/>
        </w:rPr>
        <w:t>一栋甲类车间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内设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条生产线</w:t>
      </w:r>
      <w:r>
        <w:rPr>
          <w:rFonts w:hint="eastAsia" w:ascii="仿宋" w:hAnsi="仿宋" w:eastAsia="仿宋"/>
          <w:sz w:val="32"/>
          <w:szCs w:val="32"/>
          <w:lang w:eastAsia="zh-CN"/>
        </w:rPr>
        <w:t>）、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综合楼、乙类仓库和两个储罐区</w:t>
      </w:r>
      <w:r>
        <w:rPr>
          <w:rFonts w:hint="eastAsia" w:ascii="仿宋" w:hAnsi="仿宋" w:eastAsia="仿宋"/>
          <w:sz w:val="32"/>
          <w:szCs w:val="32"/>
        </w:rPr>
        <w:t>，同时配套建设公辅、储运和环保工程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根据湖南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衡润</w:t>
      </w:r>
      <w:r>
        <w:rPr>
          <w:rFonts w:hint="eastAsia" w:ascii="仿宋" w:hAnsi="仿宋" w:eastAsia="仿宋"/>
          <w:sz w:val="32"/>
          <w:szCs w:val="32"/>
        </w:rPr>
        <w:t>科技有限公司编制的《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岳阳天宇化工有限公司新建1万吨/年1，3-二氯丙烯、3万吨/年1，2-二氯丙烷、3万吨/年二氯丙烷混合物、3.5万吨/年1，2，3-三氯丙烷、2万吨/年2，3-二氯丙烯、1万吨/年反式1，3-二氯丙烯项目</w:t>
      </w:r>
      <w:r>
        <w:rPr>
          <w:rFonts w:hint="eastAsia" w:ascii="仿宋" w:hAnsi="仿宋" w:eastAsia="仿宋"/>
          <w:sz w:val="32"/>
          <w:szCs w:val="32"/>
        </w:rPr>
        <w:t>环境影响报告书（报批稿）》基本内容、结论、专家评审意见及岳阳市生态环境局云溪分局预审意见，从环境保护角度考虑，我局原则同意你公司环境影响报告书中</w:t>
      </w:r>
      <w:r>
        <w:rPr>
          <w:rFonts w:hint="eastAsia" w:ascii="仿宋" w:hAnsi="仿宋" w:eastAsia="仿宋"/>
          <w:sz w:val="32"/>
          <w:szCs w:val="32"/>
          <w:lang w:eastAsia="zh-CN"/>
        </w:rPr>
        <w:t>所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建设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容</w:t>
      </w:r>
      <w:r>
        <w:rPr>
          <w:rFonts w:hint="eastAsia" w:ascii="仿宋" w:hAnsi="仿宋" w:eastAsia="仿宋"/>
          <w:sz w:val="32"/>
          <w:szCs w:val="32"/>
        </w:rPr>
        <w:t>的环境影响评价结论和环境保护对策措施。</w:t>
      </w:r>
    </w:p>
    <w:p>
      <w:pPr>
        <w:spacing w:line="480" w:lineRule="exact"/>
        <w:ind w:firstLine="64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二、认真落实专家及环境影响报告书中提出的各项污染防治措施，并应着重注意以下问题：</w:t>
      </w:r>
    </w:p>
    <w:p>
      <w:pPr>
        <w:spacing w:line="480" w:lineRule="exact"/>
        <w:ind w:firstLine="64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施工期污染防治。采取设置围挡、物料遮盖、定期洒水等措施控制扬尘；通过选用低噪声设备，控制施工时间等措施控制施工噪声影响；建筑垃圾运至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指定</w:t>
      </w:r>
      <w:r>
        <w:rPr>
          <w:rFonts w:hint="eastAsia" w:ascii="仿宋" w:hAnsi="仿宋" w:eastAsia="仿宋"/>
          <w:sz w:val="32"/>
          <w:szCs w:val="32"/>
        </w:rPr>
        <w:t>场所处置；施工废水应尽量回用，生活污水排入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莱万特/道仁矶溶剂厂</w:t>
      </w:r>
      <w:r>
        <w:rPr>
          <w:rFonts w:hint="eastAsia" w:ascii="仿宋" w:hAnsi="仿宋" w:eastAsia="仿宋"/>
          <w:sz w:val="32"/>
          <w:szCs w:val="32"/>
        </w:rPr>
        <w:t>污水处理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站处理后，再通过园区管网排入云溪区污水处理厂处理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480" w:lineRule="exact"/>
        <w:ind w:firstLine="64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废水污染防治工作。严格按照“雨污分流、清污分流</w:t>
      </w:r>
      <w:r>
        <w:rPr>
          <w:rFonts w:hint="eastAsia" w:ascii="仿宋" w:hAnsi="仿宋" w:eastAsia="仿宋"/>
          <w:sz w:val="32"/>
          <w:szCs w:val="32"/>
        </w:rPr>
        <w:t>、污污分流</w:t>
      </w:r>
      <w:r>
        <w:rPr>
          <w:rFonts w:ascii="仿宋" w:hAnsi="仿宋" w:eastAsia="仿宋"/>
          <w:sz w:val="32"/>
          <w:szCs w:val="32"/>
        </w:rPr>
        <w:t>”的原则规范厂区雨水及污水管网。</w:t>
      </w:r>
      <w:r>
        <w:rPr>
          <w:rFonts w:hint="eastAsia" w:ascii="仿宋" w:hAnsi="仿宋" w:eastAsia="仿宋"/>
          <w:sz w:val="32"/>
          <w:szCs w:val="32"/>
        </w:rPr>
        <w:t>工艺废水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和其他废水收集后直接排放至莱万特/道仁矶溶剂厂</w:t>
      </w:r>
      <w:r>
        <w:rPr>
          <w:rFonts w:hint="eastAsia" w:ascii="仿宋" w:hAnsi="仿宋" w:eastAsia="仿宋"/>
          <w:sz w:val="32"/>
          <w:szCs w:val="32"/>
        </w:rPr>
        <w:t>污水处理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站处理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达到</w:t>
      </w:r>
      <w:r>
        <w:rPr>
          <w:rFonts w:hint="eastAsia" w:ascii="仿宋" w:hAnsi="仿宋" w:eastAsia="仿宋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石油化学</w:t>
      </w:r>
      <w:r>
        <w:rPr>
          <w:rFonts w:hint="eastAsia" w:ascii="仿宋" w:hAnsi="仿宋" w:eastAsia="仿宋"/>
          <w:sz w:val="32"/>
          <w:szCs w:val="32"/>
        </w:rPr>
        <w:t>工业污染物排放标准》（GB3157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-2015）间接排放标准和</w:t>
      </w:r>
      <w:r>
        <w:rPr>
          <w:rFonts w:hint="eastAsia" w:ascii="仿宋" w:hAnsi="仿宋" w:eastAsia="仿宋"/>
          <w:sz w:val="32"/>
          <w:szCs w:val="32"/>
          <w:lang w:eastAsia="zh-CN"/>
        </w:rPr>
        <w:t>云溪区</w:t>
      </w:r>
      <w:r>
        <w:rPr>
          <w:rFonts w:hint="eastAsia" w:ascii="仿宋" w:hAnsi="仿宋" w:eastAsia="仿宋"/>
          <w:sz w:val="32"/>
          <w:szCs w:val="32"/>
        </w:rPr>
        <w:t>污水处理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站</w:t>
      </w:r>
      <w:r>
        <w:rPr>
          <w:rFonts w:hint="eastAsia" w:ascii="仿宋" w:hAnsi="仿宋" w:eastAsia="仿宋"/>
          <w:sz w:val="32"/>
          <w:szCs w:val="32"/>
        </w:rPr>
        <w:t>污水接纳要求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较严值</w:t>
      </w:r>
      <w:r>
        <w:rPr>
          <w:rFonts w:hint="eastAsia" w:ascii="仿宋" w:hAnsi="仿宋" w:eastAsia="仿宋"/>
          <w:sz w:val="32"/>
          <w:szCs w:val="32"/>
        </w:rPr>
        <w:t>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，再通过园区管网排入云溪区污水处理厂处理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spacing w:line="480" w:lineRule="exact"/>
        <w:ind w:firstLine="64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按照分区防控的原则落实报告书提出地下水污染防治措施，做好生产车间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罐区</w:t>
      </w:r>
      <w:r>
        <w:rPr>
          <w:rFonts w:hint="eastAsia" w:ascii="仿宋" w:hAnsi="仿宋" w:eastAsia="仿宋"/>
          <w:sz w:val="32"/>
          <w:szCs w:val="32"/>
        </w:rPr>
        <w:t>等区域的防渗工作，强化管理，避免由于泄漏等造成污染物下渗污染地下水；根据《环境影响评价技术导则地下水环境》（HJ610-2016）要求，跟踪监测地下水质情况，确保地下水安全。</w:t>
      </w:r>
    </w:p>
    <w:p>
      <w:pPr>
        <w:pStyle w:val="33"/>
        <w:widowControl w:val="0"/>
        <w:adjustRightInd w:val="0"/>
        <w:spacing w:line="480" w:lineRule="exact"/>
        <w:ind w:left="0" w:firstLine="640"/>
        <w:jc w:val="both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3、废气污染防治工作。</w:t>
      </w:r>
      <w:r>
        <w:rPr>
          <w:rFonts w:hint="eastAsia" w:eastAsia="仿宋"/>
          <w:sz w:val="32"/>
          <w:szCs w:val="32"/>
        </w:rPr>
        <w:t>加强日常监管，定期对设备、管道、阀门、法兰等进行维护和管理，杜绝生产过程中的跑、冒、滴、漏，最大限度减少废气的无组织排放</w:t>
      </w:r>
      <w:r>
        <w:rPr>
          <w:rFonts w:hint="eastAsia" w:eastAsia="仿宋"/>
          <w:sz w:val="32"/>
          <w:szCs w:val="32"/>
          <w:lang w:eastAsia="zh-CN"/>
        </w:rPr>
        <w:t>，</w:t>
      </w:r>
      <w:r>
        <w:rPr>
          <w:rFonts w:hint="eastAsia" w:eastAsia="仿宋"/>
          <w:sz w:val="32"/>
          <w:szCs w:val="32"/>
          <w:lang w:val="en-US" w:eastAsia="zh-CN"/>
        </w:rPr>
        <w:t>厂界氯化氢、非甲烷总烃</w:t>
      </w:r>
      <w:r>
        <w:rPr>
          <w:rFonts w:hint="eastAsia" w:eastAsia="仿宋"/>
          <w:sz w:val="32"/>
          <w:szCs w:val="32"/>
        </w:rPr>
        <w:t>执行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石油化学</w:t>
      </w:r>
      <w:r>
        <w:rPr>
          <w:rFonts w:hint="eastAsia" w:ascii="仿宋" w:hAnsi="仿宋" w:eastAsia="仿宋" w:cs="仿宋"/>
          <w:sz w:val="32"/>
          <w:szCs w:val="32"/>
        </w:rPr>
        <w:t>工业污染物排放标准》（GB3157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-2015）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表7限值</w:t>
      </w:r>
      <w:r>
        <w:rPr>
          <w:rFonts w:hint="eastAsia" w:eastAsia="仿宋"/>
          <w:sz w:val="32"/>
          <w:szCs w:val="32"/>
        </w:rPr>
        <w:t>，</w:t>
      </w:r>
      <w:r>
        <w:rPr>
          <w:rFonts w:hint="eastAsia" w:eastAsia="仿宋"/>
          <w:sz w:val="32"/>
          <w:szCs w:val="32"/>
          <w:lang w:val="en-US" w:eastAsia="zh-CN"/>
        </w:rPr>
        <w:t>氯气</w:t>
      </w:r>
      <w:r>
        <w:rPr>
          <w:rFonts w:hint="eastAsia" w:eastAsia="仿宋"/>
          <w:sz w:val="32"/>
          <w:szCs w:val="32"/>
        </w:rPr>
        <w:t>浓度执行《</w:t>
      </w:r>
      <w:r>
        <w:rPr>
          <w:rFonts w:hint="eastAsia" w:eastAsia="仿宋"/>
          <w:sz w:val="32"/>
          <w:szCs w:val="32"/>
          <w:lang w:val="en-US" w:eastAsia="zh-CN"/>
        </w:rPr>
        <w:t>大气</w:t>
      </w:r>
      <w:r>
        <w:rPr>
          <w:rFonts w:hint="eastAsia" w:eastAsia="仿宋"/>
          <w:sz w:val="32"/>
          <w:szCs w:val="32"/>
        </w:rPr>
        <w:t>污染物</w:t>
      </w:r>
      <w:r>
        <w:rPr>
          <w:rFonts w:hint="eastAsia" w:eastAsia="仿宋"/>
          <w:sz w:val="32"/>
          <w:szCs w:val="32"/>
          <w:lang w:val="en-US" w:eastAsia="zh-CN"/>
        </w:rPr>
        <w:t>综合</w:t>
      </w:r>
      <w:r>
        <w:rPr>
          <w:rFonts w:hint="eastAsia" w:eastAsia="仿宋"/>
          <w:sz w:val="32"/>
          <w:szCs w:val="32"/>
        </w:rPr>
        <w:t>排放标准》（GB 1</w:t>
      </w:r>
      <w:r>
        <w:rPr>
          <w:rFonts w:hint="eastAsia" w:eastAsia="仿宋"/>
          <w:sz w:val="32"/>
          <w:szCs w:val="32"/>
          <w:lang w:val="en-US" w:eastAsia="zh-CN"/>
        </w:rPr>
        <w:t>6297</w:t>
      </w:r>
      <w:r>
        <w:rPr>
          <w:rFonts w:hint="eastAsia" w:eastAsia="仿宋"/>
          <w:sz w:val="32"/>
          <w:szCs w:val="32"/>
        </w:rPr>
        <w:t>-</w:t>
      </w:r>
      <w:r>
        <w:rPr>
          <w:rFonts w:hint="eastAsia" w:eastAsia="仿宋"/>
          <w:sz w:val="32"/>
          <w:szCs w:val="32"/>
          <w:lang w:val="en-US" w:eastAsia="zh-CN"/>
        </w:rPr>
        <w:t>1996</w:t>
      </w:r>
      <w:r>
        <w:rPr>
          <w:rFonts w:hint="eastAsia" w:eastAsia="仿宋"/>
          <w:sz w:val="32"/>
          <w:szCs w:val="32"/>
        </w:rPr>
        <w:t>）</w:t>
      </w:r>
      <w:r>
        <w:rPr>
          <w:rFonts w:hint="eastAsia" w:eastAsia="仿宋"/>
          <w:sz w:val="32"/>
          <w:szCs w:val="32"/>
          <w:lang w:eastAsia="zh-CN"/>
        </w:rPr>
        <w:t>，</w:t>
      </w:r>
      <w:r>
        <w:rPr>
          <w:rFonts w:hint="eastAsia" w:eastAsia="仿宋"/>
          <w:sz w:val="32"/>
          <w:szCs w:val="32"/>
        </w:rPr>
        <w:t>厂区内挥发性有机物执行《挥发性有机物无组织排放控制标准》(GB37822-2019)。</w:t>
      </w:r>
      <w:r>
        <w:rPr>
          <w:rFonts w:hint="eastAsia" w:eastAsia="仿宋"/>
          <w:sz w:val="32"/>
          <w:szCs w:val="32"/>
          <w:lang w:val="en-US" w:eastAsia="zh-CN"/>
        </w:rPr>
        <w:t>工艺废气经处理，氯气、1、2-二氯丙烷、非甲烷总烃满足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石油化学</w:t>
      </w:r>
      <w:r>
        <w:rPr>
          <w:rFonts w:hint="eastAsia" w:ascii="仿宋" w:hAnsi="仿宋" w:eastAsia="仿宋" w:cs="仿宋"/>
          <w:sz w:val="32"/>
          <w:szCs w:val="32"/>
        </w:rPr>
        <w:t>工业污染物排放标准》（GB3157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-2015）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表4限值后，</w:t>
      </w:r>
      <w:r>
        <w:rPr>
          <w:rFonts w:hint="eastAsia" w:eastAsia="仿宋"/>
          <w:sz w:val="32"/>
          <w:szCs w:val="32"/>
          <w:lang w:val="en-US" w:eastAsia="zh-CN"/>
        </w:rPr>
        <w:t>通过25</w:t>
      </w:r>
      <w:r>
        <w:rPr>
          <w:rFonts w:hint="eastAsia" w:eastAsia="仿宋"/>
          <w:sz w:val="32"/>
          <w:szCs w:val="32"/>
        </w:rPr>
        <w:t>米高的排气筒</w:t>
      </w:r>
      <w:r>
        <w:rPr>
          <w:rFonts w:hint="eastAsia" w:eastAsia="仿宋"/>
          <w:sz w:val="32"/>
          <w:szCs w:val="32"/>
          <w:lang w:val="en-US" w:eastAsia="zh-CN"/>
        </w:rPr>
        <w:t>排放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  <w:r>
        <w:rPr>
          <w:rFonts w:ascii="仿宋" w:hAnsi="仿宋" w:eastAsia="仿宋" w:cs="仿宋_GB2312"/>
          <w:sz w:val="32"/>
          <w:szCs w:val="32"/>
        </w:rPr>
        <w:t xml:space="preserve"> </w:t>
      </w:r>
    </w:p>
    <w:p>
      <w:pPr>
        <w:spacing w:line="480" w:lineRule="exact"/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4、</w:t>
      </w:r>
      <w:r>
        <w:rPr>
          <w:rFonts w:ascii="仿宋" w:hAnsi="仿宋" w:eastAsia="仿宋" w:cs="仿宋_GB2312"/>
          <w:sz w:val="32"/>
          <w:szCs w:val="32"/>
        </w:rPr>
        <w:t>噪声污染防治工作。采用低噪声设备，</w:t>
      </w:r>
      <w:r>
        <w:rPr>
          <w:rFonts w:hint="eastAsia" w:ascii="仿宋" w:hAnsi="仿宋" w:eastAsia="仿宋"/>
          <w:sz w:val="32"/>
          <w:szCs w:val="32"/>
        </w:rPr>
        <w:t>对产生噪声的设备和工序进行合理布局，对主要的声源设备采取隔声</w:t>
      </w:r>
      <w:r>
        <w:rPr>
          <w:rFonts w:hint="eastAsia" w:ascii="仿宋" w:hAnsi="仿宋" w:eastAsia="仿宋" w:cs="仿宋_GB2312"/>
          <w:sz w:val="32"/>
          <w:szCs w:val="32"/>
        </w:rPr>
        <w:t>、减振等措施</w:t>
      </w:r>
      <w:r>
        <w:rPr>
          <w:rFonts w:ascii="仿宋" w:hAnsi="仿宋" w:eastAsia="仿宋" w:cs="仿宋_GB2312"/>
          <w:sz w:val="32"/>
          <w:szCs w:val="32"/>
        </w:rPr>
        <w:t>，确保厂界噪声达到《工业企业厂界环境噪声排放标准》(GB12348-2008)中的3类标准要求。</w:t>
      </w:r>
    </w:p>
    <w:p>
      <w:pPr>
        <w:spacing w:line="492" w:lineRule="exact"/>
        <w:ind w:firstLine="640"/>
        <w:jc w:val="both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5、固体废物防治工作。</w:t>
      </w:r>
      <w:r>
        <w:rPr>
          <w:rFonts w:hint="eastAsia" w:hAnsi="仿宋" w:eastAsia="仿宋"/>
          <w:sz w:val="32"/>
          <w:szCs w:val="32"/>
        </w:rPr>
        <w:t>按</w:t>
      </w:r>
      <w:r>
        <w:rPr>
          <w:rFonts w:eastAsia="仿宋"/>
          <w:sz w:val="32"/>
          <w:szCs w:val="32"/>
        </w:rPr>
        <w:t>“</w:t>
      </w:r>
      <w:r>
        <w:rPr>
          <w:rFonts w:hint="eastAsia" w:hAnsi="仿宋" w:eastAsia="仿宋"/>
          <w:sz w:val="32"/>
          <w:szCs w:val="32"/>
        </w:rPr>
        <w:t>无害化、减量化、资源化</w:t>
      </w:r>
      <w:r>
        <w:rPr>
          <w:rFonts w:eastAsia="仿宋"/>
          <w:sz w:val="32"/>
          <w:szCs w:val="32"/>
        </w:rPr>
        <w:t>”</w:t>
      </w:r>
      <w:r>
        <w:rPr>
          <w:rFonts w:hint="eastAsia" w:hAnsi="仿宋" w:eastAsia="仿宋"/>
          <w:sz w:val="32"/>
          <w:szCs w:val="32"/>
        </w:rPr>
        <w:t>原则，做好固体分类收集、贮存和处理处置工作，建立健全固体废物管理台帐。严格按《</w:t>
      </w:r>
      <w:bookmarkStart w:id="0" w:name="_Hlk70352465"/>
      <w:r>
        <w:rPr>
          <w:rFonts w:hint="eastAsia" w:hAnsi="仿宋" w:eastAsia="仿宋"/>
          <w:sz w:val="32"/>
          <w:szCs w:val="32"/>
        </w:rPr>
        <w:t>危险废物</w:t>
      </w:r>
      <w:bookmarkEnd w:id="0"/>
      <w:r>
        <w:rPr>
          <w:rFonts w:hint="eastAsia" w:hAnsi="仿宋" w:eastAsia="仿宋"/>
          <w:sz w:val="32"/>
          <w:szCs w:val="32"/>
        </w:rPr>
        <w:t>贮存污染控制标准（GB18597- 2001）》及2013年修改单相关要求建设管理危险废物暂存间，</w:t>
      </w:r>
      <w:r>
        <w:rPr>
          <w:rFonts w:hint="eastAsia" w:hAnsi="仿宋" w:eastAsia="仿宋"/>
          <w:sz w:val="32"/>
          <w:szCs w:val="32"/>
          <w:lang w:val="en-US" w:eastAsia="zh-CN"/>
        </w:rPr>
        <w:t>项目机械过滤介质、片碱包装袋</w:t>
      </w:r>
      <w:r>
        <w:rPr>
          <w:rFonts w:hint="eastAsia" w:hAnsi="仿宋" w:eastAsia="仿宋"/>
          <w:sz w:val="32"/>
          <w:szCs w:val="32"/>
        </w:rPr>
        <w:t>、</w:t>
      </w:r>
      <w:r>
        <w:rPr>
          <w:rFonts w:hint="eastAsia" w:hAnsi="仿宋" w:eastAsia="仿宋"/>
          <w:sz w:val="32"/>
          <w:szCs w:val="32"/>
          <w:lang w:val="en-US" w:eastAsia="zh-CN"/>
        </w:rPr>
        <w:t>废机油等</w:t>
      </w:r>
      <w:r>
        <w:rPr>
          <w:rFonts w:hint="eastAsia" w:hAnsi="仿宋" w:eastAsia="仿宋"/>
          <w:sz w:val="32"/>
          <w:szCs w:val="32"/>
        </w:rPr>
        <w:t>危险废物应交有资质的单位处置，并执行转移联单制度；按</w:t>
      </w:r>
      <w:r>
        <w:rPr>
          <w:rFonts w:hint="eastAsia" w:ascii="仿宋" w:hAnsi="仿宋" w:eastAsia="仿宋" w:cs="仿宋_GB2312"/>
          <w:sz w:val="32"/>
          <w:szCs w:val="32"/>
        </w:rPr>
        <w:t>照《</w:t>
      </w:r>
      <w:r>
        <w:rPr>
          <w:rFonts w:ascii="仿宋" w:hAnsi="仿宋" w:eastAsia="仿宋" w:cs="仿宋_GB2312"/>
          <w:sz w:val="32"/>
          <w:szCs w:val="32"/>
        </w:rPr>
        <w:t>一般工业固体废物贮存和填埋污染控制标准</w:t>
      </w:r>
      <w:r>
        <w:rPr>
          <w:rFonts w:hint="eastAsia" w:ascii="仿宋" w:hAnsi="仿宋" w:eastAsia="仿宋" w:cs="仿宋_GB2312"/>
          <w:sz w:val="32"/>
          <w:szCs w:val="32"/>
        </w:rPr>
        <w:t>》（GB18599-20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_GB2312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要求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处置一般工业固体废物；生活垃圾交环卫部门收集处理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spacing w:line="480" w:lineRule="exact"/>
        <w:ind w:firstLine="640"/>
        <w:jc w:val="both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6、加强营运期风险防范。落实各项风险防范措施，加强设施设备的维护和管理，严格按照《突发环境事件应急预案管理暂行办法》要求制定事故环境应急预案，储备</w:t>
      </w:r>
      <w:bookmarkStart w:id="1" w:name="_GoBack"/>
      <w:bookmarkEnd w:id="1"/>
      <w:r>
        <w:rPr>
          <w:rFonts w:ascii="仿宋" w:hAnsi="仿宋" w:eastAsia="仿宋" w:cs="仿宋_GB2312"/>
          <w:sz w:val="32"/>
          <w:szCs w:val="32"/>
        </w:rPr>
        <w:t>风险救助物资并组织演练，杜绝环境风险事故发生。</w:t>
      </w:r>
    </w:p>
    <w:p>
      <w:pPr>
        <w:spacing w:line="480" w:lineRule="exact"/>
        <w:ind w:firstLine="640"/>
        <w:jc w:val="both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7、加强环境管理，建立健全污染防治设施运行管理台帐，设专门的环保机构，配备专人负责环保工作，确保各项污染防治设施正常运行，各类污染物稳定达标排放。</w:t>
      </w:r>
    </w:p>
    <w:p>
      <w:pPr>
        <w:spacing w:line="480" w:lineRule="exact"/>
        <w:ind w:firstLine="640"/>
        <w:jc w:val="both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8、</w:t>
      </w:r>
      <w:r>
        <w:rPr>
          <w:rFonts w:hint="eastAsia" w:ascii="仿宋" w:hAnsi="仿宋" w:eastAsia="仿宋" w:cs="_4eff_5b8b_GB2312"/>
          <w:bCs/>
          <w:sz w:val="32"/>
          <w:szCs w:val="32"/>
        </w:rPr>
        <w:t>本项目</w:t>
      </w:r>
      <w:r>
        <w:rPr>
          <w:rFonts w:hint="eastAsia" w:ascii="仿宋" w:hAnsi="仿宋" w:eastAsia="仿宋"/>
          <w:sz w:val="32"/>
          <w:szCs w:val="32"/>
        </w:rPr>
        <w:t>污染物总量控制指标</w:t>
      </w:r>
      <w:r>
        <w:rPr>
          <w:rFonts w:hint="eastAsia" w:ascii="仿宋" w:hAnsi="仿宋" w:eastAsia="仿宋" w:cs="_4eff_5b8b_GB2312"/>
          <w:bCs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COD≤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2.6t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/a</w:t>
      </w:r>
      <w:r>
        <w:rPr>
          <w:rFonts w:hint="eastAsia" w:ascii="仿宋" w:hAnsi="仿宋" w:eastAsia="仿宋"/>
          <w:sz w:val="32"/>
          <w:szCs w:val="32"/>
        </w:rPr>
        <w:t>、氨氮≤0.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t/a</w:t>
      </w:r>
      <w:r>
        <w:rPr>
          <w:rFonts w:hint="eastAsia" w:ascii="仿宋" w:hAnsi="仿宋" w:eastAsia="仿宋"/>
          <w:sz w:val="32"/>
          <w:szCs w:val="32"/>
        </w:rPr>
        <w:t>、VOCs≤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1.9</w:t>
      </w:r>
      <w:r>
        <w:rPr>
          <w:rFonts w:hint="eastAsia" w:ascii="仿宋" w:hAnsi="仿宋" w:eastAsia="仿宋"/>
          <w:sz w:val="32"/>
          <w:szCs w:val="32"/>
        </w:rPr>
        <w:t>t/a</w:t>
      </w:r>
      <w:r>
        <w:rPr>
          <w:rFonts w:hint="eastAsia" w:ascii="仿宋" w:hAnsi="仿宋" w:eastAsia="仿宋" w:cs="_4eff_5b8b_GB2312"/>
          <w:bCs/>
          <w:sz w:val="32"/>
          <w:szCs w:val="32"/>
        </w:rPr>
        <w:t>。</w:t>
      </w:r>
    </w:p>
    <w:p>
      <w:pPr>
        <w:spacing w:line="480" w:lineRule="exact"/>
        <w:ind w:firstLine="640"/>
        <w:jc w:val="both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三、你公司应收到本批复后15个工作日内，将批复及批准的环评报告文件送岳阳市生态环境局</w:t>
      </w:r>
      <w:r>
        <w:rPr>
          <w:rFonts w:hint="eastAsia" w:ascii="仿宋" w:hAnsi="仿宋" w:eastAsia="仿宋" w:cs="仿宋_GB2312"/>
          <w:sz w:val="32"/>
          <w:szCs w:val="32"/>
        </w:rPr>
        <w:t>云溪</w:t>
      </w:r>
      <w:r>
        <w:rPr>
          <w:rFonts w:ascii="仿宋" w:hAnsi="仿宋" w:eastAsia="仿宋" w:cs="仿宋_GB2312"/>
          <w:sz w:val="32"/>
          <w:szCs w:val="32"/>
        </w:rPr>
        <w:t>分局、</w:t>
      </w:r>
      <w:r>
        <w:rPr>
          <w:rFonts w:hint="eastAsia" w:ascii="仿宋" w:hAnsi="仿宋" w:eastAsia="仿宋" w:cs="仿宋_GB2312"/>
          <w:sz w:val="32"/>
          <w:szCs w:val="32"/>
        </w:rPr>
        <w:t>湖南岳阳绿色化工产业园管理委员会</w:t>
      </w:r>
      <w:r>
        <w:rPr>
          <w:rFonts w:ascii="仿宋" w:hAnsi="仿宋" w:eastAsia="仿宋" w:cs="仿宋_GB2312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湖南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衡润</w:t>
      </w:r>
      <w:r>
        <w:rPr>
          <w:rFonts w:hint="eastAsia" w:ascii="仿宋" w:hAnsi="仿宋" w:eastAsia="仿宋"/>
          <w:sz w:val="32"/>
          <w:szCs w:val="32"/>
        </w:rPr>
        <w:t>科技有限公司</w:t>
      </w:r>
      <w:r>
        <w:rPr>
          <w:rFonts w:ascii="仿宋" w:hAnsi="仿宋" w:eastAsia="仿宋" w:cs="仿宋_GB2312"/>
          <w:sz w:val="32"/>
          <w:szCs w:val="32"/>
        </w:rPr>
        <w:t>。</w:t>
      </w:r>
    </w:p>
    <w:p>
      <w:pPr>
        <w:spacing w:line="480" w:lineRule="exact"/>
        <w:ind w:firstLine="640"/>
        <w:jc w:val="both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四、请岳阳市生态环境局</w:t>
      </w:r>
      <w:r>
        <w:rPr>
          <w:rFonts w:hint="eastAsia" w:ascii="仿宋" w:hAnsi="仿宋" w:eastAsia="仿宋" w:cs="仿宋_GB2312"/>
          <w:sz w:val="32"/>
          <w:szCs w:val="32"/>
        </w:rPr>
        <w:t>云溪</w:t>
      </w:r>
      <w:r>
        <w:rPr>
          <w:rFonts w:ascii="仿宋" w:hAnsi="仿宋" w:eastAsia="仿宋" w:cs="仿宋_GB2312"/>
          <w:sz w:val="32"/>
          <w:szCs w:val="32"/>
        </w:rPr>
        <w:t>分局负责项目建设和运营期的日常环境监管。</w:t>
      </w:r>
    </w:p>
    <w:p>
      <w:pPr>
        <w:spacing w:line="480" w:lineRule="exact"/>
        <w:ind w:firstLine="0" w:firstLineChars="0"/>
        <w:rPr>
          <w:rFonts w:ascii="仿宋" w:hAnsi="仿宋" w:eastAsia="仿宋"/>
          <w:color w:val="FF0000"/>
          <w:sz w:val="32"/>
          <w:szCs w:val="32"/>
        </w:rPr>
      </w:pPr>
    </w:p>
    <w:p>
      <w:pPr>
        <w:spacing w:line="480" w:lineRule="exact"/>
        <w:ind w:firstLine="0" w:firstLineChars="0"/>
        <w:rPr>
          <w:rFonts w:ascii="仿宋" w:hAnsi="仿宋" w:eastAsia="仿宋"/>
          <w:color w:val="FF0000"/>
          <w:sz w:val="32"/>
          <w:szCs w:val="32"/>
        </w:rPr>
      </w:pPr>
    </w:p>
    <w:p>
      <w:pPr>
        <w:spacing w:line="480" w:lineRule="exact"/>
        <w:ind w:firstLine="0" w:firstLineChars="0"/>
        <w:rPr>
          <w:rFonts w:ascii="仿宋" w:hAnsi="仿宋" w:eastAsia="仿宋"/>
          <w:color w:val="FF0000"/>
          <w:sz w:val="32"/>
          <w:szCs w:val="32"/>
        </w:rPr>
      </w:pPr>
    </w:p>
    <w:p>
      <w:pPr>
        <w:spacing w:line="480" w:lineRule="exact"/>
        <w:ind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 xml:space="preserve">                                </w:t>
      </w:r>
      <w:r>
        <w:rPr>
          <w:rFonts w:hint="eastAsia" w:ascii="仿宋" w:hAnsi="仿宋" w:eastAsia="仿宋"/>
          <w:sz w:val="32"/>
          <w:szCs w:val="32"/>
        </w:rPr>
        <w:t>岳阳市生态环境局</w:t>
      </w:r>
    </w:p>
    <w:p>
      <w:pPr>
        <w:spacing w:line="480" w:lineRule="exact"/>
        <w:ind w:firstLine="64" w:firstLineChars="2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2021年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pStyle w:val="33"/>
        <w:spacing w:line="500" w:lineRule="exact"/>
        <w:ind w:left="0" w:firstLine="0" w:firstLineChars="0"/>
        <w:jc w:val="both"/>
        <w:rPr>
          <w:rFonts w:ascii="仿宋" w:hAnsi="仿宋" w:eastAsia="仿宋"/>
          <w:sz w:val="32"/>
          <w:szCs w:val="32"/>
        </w:rPr>
      </w:pPr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588" w:bottom="1418" w:left="1644" w:header="851" w:footer="992" w:gutter="0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1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0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dit="trackedChanges" w:enforcement="0"/>
  <w:defaultTabStop w:val="42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06E1D"/>
    <w:rsid w:val="20D5440C"/>
    <w:rsid w:val="227C5B72"/>
    <w:rsid w:val="3C9C03F3"/>
    <w:rsid w:val="42F127FC"/>
    <w:rsid w:val="447C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widowControl/>
      <w:spacing w:before="100" w:beforeAutospacing="1" w:after="100" w:afterAutospacing="1"/>
      <w:outlineLvl w:val="0"/>
    </w:pPr>
    <w:rPr>
      <w:rFonts w:eastAsia="黑体" w:cs="宋体"/>
      <w:bCs/>
      <w:kern w:val="36"/>
      <w:sz w:val="36"/>
      <w:szCs w:val="36"/>
    </w:rPr>
  </w:style>
  <w:style w:type="character" w:default="1" w:styleId="18">
    <w:name w:val="Default Paragraph Font"/>
    <w:qFormat/>
    <w:uiPriority w:val="1"/>
  </w:style>
  <w:style w:type="table" w:default="1" w:styleId="1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widowControl w:val="0"/>
      <w:spacing w:before="60" w:line="240" w:lineRule="auto"/>
      <w:ind w:left="0" w:leftChars="0" w:firstLine="210"/>
      <w:jc w:val="both"/>
    </w:pPr>
    <w:rPr>
      <w:sz w:val="18"/>
      <w:szCs w:val="24"/>
    </w:rPr>
  </w:style>
  <w:style w:type="paragraph" w:styleId="3">
    <w:name w:val="Body Text Indent"/>
    <w:basedOn w:val="1"/>
    <w:next w:val="2"/>
    <w:qFormat/>
    <w:uiPriority w:val="0"/>
    <w:pPr>
      <w:widowControl/>
      <w:spacing w:after="120" w:line="276" w:lineRule="auto"/>
      <w:ind w:left="420" w:leftChars="200"/>
    </w:pPr>
    <w:rPr>
      <w:sz w:val="22"/>
    </w:rPr>
  </w:style>
  <w:style w:type="paragraph" w:styleId="4">
    <w:name w:val="Body Text First Indent"/>
    <w:basedOn w:val="5"/>
    <w:link w:val="30"/>
    <w:qFormat/>
    <w:uiPriority w:val="0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customStyle="1" w:styleId="6">
    <w:name w:val="Date1"/>
    <w:basedOn w:val="1"/>
    <w:next w:val="1"/>
    <w:qFormat/>
    <w:uiPriority w:val="0"/>
    <w:pPr>
      <w:adjustRightInd w:val="0"/>
      <w:jc w:val="both"/>
      <w:textAlignment w:val="baseline"/>
    </w:pPr>
    <w:rPr>
      <w:sz w:val="21"/>
      <w:szCs w:val="21"/>
    </w:rPr>
  </w:style>
  <w:style w:type="paragraph" w:styleId="8">
    <w:name w:val="Normal Indent"/>
    <w:qFormat/>
    <w:uiPriority w:val="0"/>
    <w:pPr>
      <w:adjustRightInd w:val="0"/>
      <w:spacing w:line="312" w:lineRule="atLeast"/>
      <w:ind w:firstLine="420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paragraph" w:styleId="9">
    <w:name w:val="annotation text"/>
    <w:basedOn w:val="1"/>
    <w:link w:val="23"/>
    <w:qFormat/>
    <w:uiPriority w:val="0"/>
  </w:style>
  <w:style w:type="paragraph" w:styleId="10">
    <w:name w:val="Plain Text"/>
    <w:qFormat/>
    <w:uiPriority w:val="0"/>
    <w:pPr>
      <w:spacing w:line="440" w:lineRule="exact"/>
      <w:ind w:firstLine="425"/>
    </w:pPr>
    <w:rPr>
      <w:rFonts w:ascii="宋体" w:hAnsi="Courier New" w:eastAsia="宋体" w:cs="Times New Roman"/>
      <w:kern w:val="2"/>
      <w:sz w:val="28"/>
      <w:lang w:val="en-US" w:eastAsia="zh-CN" w:bidi="ar-SA"/>
    </w:rPr>
  </w:style>
  <w:style w:type="paragraph" w:styleId="11">
    <w:name w:val="Date"/>
    <w:basedOn w:val="1"/>
    <w:next w:val="1"/>
    <w:qFormat/>
    <w:uiPriority w:val="0"/>
    <w:pPr>
      <w:ind w:left="100" w:leftChars="2500"/>
    </w:pPr>
  </w:style>
  <w:style w:type="paragraph" w:styleId="12">
    <w:name w:val="Balloon Text"/>
    <w:basedOn w:val="1"/>
    <w:qFormat/>
    <w:uiPriority w:val="0"/>
    <w:rPr>
      <w:sz w:val="18"/>
      <w:szCs w:val="18"/>
    </w:rPr>
  </w:style>
  <w:style w:type="paragraph" w:styleId="13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annotation subject"/>
    <w:basedOn w:val="9"/>
    <w:next w:val="9"/>
    <w:link w:val="29"/>
    <w:qFormat/>
    <w:uiPriority w:val="0"/>
    <w:rPr>
      <w:b/>
      <w:bCs/>
    </w:rPr>
  </w:style>
  <w:style w:type="table" w:styleId="17">
    <w:name w:val="Table Grid"/>
    <w:basedOn w:val="16"/>
    <w:qFormat/>
    <w:uiPriority w:val="0"/>
    <w:pPr>
      <w:widowControl w:val="0"/>
      <w:ind w:firstLine="21" w:firstLineChars="20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0"/>
  </w:style>
  <w:style w:type="character" w:styleId="20">
    <w:name w:val="annotation reference"/>
    <w:qFormat/>
    <w:uiPriority w:val="0"/>
    <w:rPr>
      <w:sz w:val="21"/>
      <w:szCs w:val="21"/>
    </w:rPr>
  </w:style>
  <w:style w:type="character" w:customStyle="1" w:styleId="21">
    <w:name w:val="表格文字 Char"/>
    <w:link w:val="22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22">
    <w:name w:val="表格文字"/>
    <w:basedOn w:val="1"/>
    <w:link w:val="21"/>
    <w:qFormat/>
    <w:uiPriority w:val="0"/>
    <w:pPr>
      <w:widowControl/>
      <w:adjustRightInd w:val="0"/>
      <w:snapToGrid w:val="0"/>
      <w:ind w:firstLine="0" w:firstLineChars="0"/>
      <w:jc w:val="center"/>
    </w:pPr>
    <w:rPr>
      <w:kern w:val="2"/>
      <w:sz w:val="21"/>
      <w:szCs w:val="21"/>
    </w:rPr>
  </w:style>
  <w:style w:type="character" w:customStyle="1" w:styleId="23">
    <w:name w:val="批注文字 字符"/>
    <w:basedOn w:val="18"/>
    <w:link w:val="9"/>
    <w:qFormat/>
    <w:uiPriority w:val="0"/>
  </w:style>
  <w:style w:type="character" w:customStyle="1" w:styleId="24">
    <w:name w:val="中文报告书样式 Char Char"/>
    <w:link w:val="25"/>
    <w:qFormat/>
    <w:uiPriority w:val="0"/>
    <w:rPr>
      <w:rFonts w:eastAsia="宋体"/>
      <w:kern w:val="24"/>
      <w:sz w:val="24"/>
      <w:lang w:val="en-US" w:eastAsia="zh-CN" w:bidi="ar-SA"/>
    </w:rPr>
  </w:style>
  <w:style w:type="paragraph" w:customStyle="1" w:styleId="25">
    <w:name w:val="中文报告书样式"/>
    <w:basedOn w:val="1"/>
    <w:link w:val="24"/>
    <w:qFormat/>
    <w:uiPriority w:val="0"/>
    <w:pPr>
      <w:adjustRightInd w:val="0"/>
      <w:spacing w:line="480" w:lineRule="atLeast"/>
      <w:ind w:firstLine="482"/>
      <w:textAlignment w:val="baseline"/>
    </w:pPr>
    <w:rPr>
      <w:kern w:val="24"/>
      <w:sz w:val="24"/>
    </w:rPr>
  </w:style>
  <w:style w:type="character" w:customStyle="1" w:styleId="26">
    <w:name w:val="p0 Char"/>
    <w:link w:val="27"/>
    <w:qFormat/>
    <w:uiPriority w:val="0"/>
    <w:rPr>
      <w:rFonts w:eastAsia="宋体"/>
      <w:sz w:val="32"/>
      <w:szCs w:val="32"/>
      <w:lang w:val="en-US" w:eastAsia="zh-CN" w:bidi="ar-SA"/>
    </w:rPr>
  </w:style>
  <w:style w:type="paragraph" w:customStyle="1" w:styleId="27">
    <w:name w:val="p0"/>
    <w:basedOn w:val="1"/>
    <w:link w:val="26"/>
    <w:qFormat/>
    <w:uiPriority w:val="0"/>
    <w:pPr>
      <w:widowControl/>
      <w:ind w:firstLine="0" w:firstLineChars="0"/>
      <w:jc w:val="both"/>
    </w:pPr>
    <w:rPr>
      <w:sz w:val="32"/>
      <w:szCs w:val="32"/>
    </w:rPr>
  </w:style>
  <w:style w:type="character" w:customStyle="1" w:styleId="28">
    <w:name w:val="页脚 字符"/>
    <w:link w:val="13"/>
    <w:qFormat/>
    <w:uiPriority w:val="99"/>
    <w:rPr>
      <w:sz w:val="18"/>
      <w:szCs w:val="18"/>
    </w:rPr>
  </w:style>
  <w:style w:type="character" w:customStyle="1" w:styleId="29">
    <w:name w:val="批注主题 字符"/>
    <w:link w:val="15"/>
    <w:qFormat/>
    <w:uiPriority w:val="0"/>
    <w:rPr>
      <w:b/>
      <w:bCs/>
    </w:rPr>
  </w:style>
  <w:style w:type="character" w:customStyle="1" w:styleId="30">
    <w:name w:val="正文文本首行缩进 字符"/>
    <w:link w:val="4"/>
    <w:qFormat/>
    <w:uiPriority w:val="0"/>
    <w:rPr>
      <w:rFonts w:eastAsia="宋体"/>
      <w:kern w:val="2"/>
      <w:sz w:val="24"/>
      <w:lang w:val="en-US" w:eastAsia="zh-CN" w:bidi="ar-SA"/>
    </w:rPr>
  </w:style>
  <w:style w:type="paragraph" w:customStyle="1" w:styleId="31">
    <w:name w:val="1-正文"/>
    <w:qFormat/>
    <w:uiPriority w:val="0"/>
    <w:pPr>
      <w:spacing w:after="60" w:line="360" w:lineRule="auto"/>
      <w:ind w:firstLine="200" w:firstLineChars="200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32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3">
    <w:name w:val="0"/>
    <w:basedOn w:val="1"/>
    <w:qFormat/>
    <w:uiPriority w:val="0"/>
    <w:pPr>
      <w:widowControl/>
      <w:snapToGrid w:val="0"/>
      <w:spacing w:line="365" w:lineRule="atLeast"/>
      <w:ind w:left="1"/>
      <w:textAlignment w:val="bottom"/>
    </w:pPr>
  </w:style>
  <w:style w:type="paragraph" w:customStyle="1" w:styleId="34">
    <w:name w:val="表格内容"/>
    <w:basedOn w:val="1"/>
    <w:qFormat/>
    <w:uiPriority w:val="0"/>
    <w:pPr>
      <w:autoSpaceDE w:val="0"/>
      <w:autoSpaceDN w:val="0"/>
      <w:adjustRightInd w:val="0"/>
      <w:spacing w:line="360" w:lineRule="auto"/>
      <w:ind w:firstLine="0" w:firstLineChars="0"/>
      <w:jc w:val="center"/>
      <w:textAlignment w:val="baseline"/>
    </w:pPr>
    <w:rPr>
      <w:color w:val="000000"/>
      <w:sz w:val="21"/>
      <w:szCs w:val="21"/>
    </w:rPr>
  </w:style>
  <w:style w:type="paragraph" w:customStyle="1" w:styleId="35">
    <w:name w:val="Revision_d163ada4-c407-473e-a92d-b3e69466bf2c"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paragraph" w:customStyle="1" w:styleId="36">
    <w:name w:val="Char Char Char Char Char Char Char Char Char Char"/>
    <w:basedOn w:val="1"/>
    <w:qFormat/>
    <w:uiPriority w:val="0"/>
    <w:pPr>
      <w:widowControl/>
      <w:spacing w:after="160" w:line="240" w:lineRule="exact"/>
      <w:ind w:firstLine="0" w:firstLineChars="0"/>
    </w:pPr>
    <w:rPr>
      <w:rFonts w:ascii="Verdana" w:hAnsi="Verdana"/>
      <w:lang w:eastAsia="en-US"/>
    </w:rPr>
  </w:style>
  <w:style w:type="paragraph" w:customStyle="1" w:styleId="37">
    <w:name w:val="缩进"/>
    <w:qFormat/>
    <w:uiPriority w:val="0"/>
    <w:pPr>
      <w:autoSpaceDE w:val="0"/>
      <w:autoSpaceDN w:val="0"/>
      <w:adjustRightInd w:val="0"/>
      <w:spacing w:line="400" w:lineRule="atLeast"/>
      <w:ind w:firstLine="425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38">
    <w:name w:val="样式 正文001 + 首行缩进:  2 字符"/>
    <w:qFormat/>
    <w:uiPriority w:val="0"/>
    <w:pPr>
      <w:spacing w:before="60" w:line="460" w:lineRule="atLeast"/>
      <w:ind w:firstLine="480" w:firstLineChars="200"/>
    </w:pPr>
    <w:rPr>
      <w:rFonts w:ascii="Times New Roman" w:hAnsi="Times New Roman" w:eastAsia="宋体" w:cs="宋体"/>
      <w:sz w:val="24"/>
      <w:lang w:val="en-US" w:eastAsia="zh-CN" w:bidi="ar-SA"/>
    </w:rPr>
  </w:style>
  <w:style w:type="paragraph" w:customStyle="1" w:styleId="39">
    <w:name w:val="Char Char Char Char Char Char Char Char Char Char Char"/>
    <w:basedOn w:val="1"/>
    <w:qFormat/>
    <w:uiPriority w:val="0"/>
    <w:pPr>
      <w:ind w:firstLine="0" w:firstLineChars="0"/>
      <w:jc w:val="both"/>
    </w:pPr>
    <w:rPr>
      <w:kern w:val="2"/>
      <w:sz w:val="28"/>
      <w:szCs w:val="28"/>
    </w:rPr>
  </w:style>
  <w:style w:type="paragraph" w:styleId="40">
    <w:name w:val="List Paragraph"/>
    <w:qFormat/>
    <w:uiPriority w:val="0"/>
    <w:pPr>
      <w:ind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1">
    <w:name w:val="Revision_128a8930-f051-4328-8426-bf19ff40b117"/>
    <w:qFormat/>
    <w:uiPriority w:val="99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2141</Words>
  <Characters>2321</Characters>
  <Paragraphs>42</Paragraphs>
  <TotalTime>64</TotalTime>
  <ScaleCrop>false</ScaleCrop>
  <LinksUpToDate>false</LinksUpToDate>
  <CharactersWithSpaces>2480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2020-02-12T04:38:00Z</dcterms:created>
  <dc:creator>微软用户</dc:creator>
  <cp:lastModifiedBy>王志勤</cp:lastModifiedBy>
  <cp:lastPrinted>2021-07-08T11:42:52Z</cp:lastPrinted>
  <dcterms:modified xsi:type="dcterms:W3CDTF">2021-07-08T11:49:58Z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0F66D4E4CD644605B266FA8E4293F031</vt:lpwstr>
  </property>
</Properties>
</file>