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rPr>
          <w:rFonts w:eastAsia="黑体"/>
          <w:b/>
          <w:kern w:val="2"/>
          <w:sz w:val="36"/>
        </w:rPr>
      </w:pPr>
    </w:p>
    <w:p>
      <w:pPr>
        <w:pStyle w:val="17"/>
        <w:rPr>
          <w:rFonts w:eastAsia="黑体"/>
          <w:b/>
          <w:kern w:val="2"/>
          <w:sz w:val="36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/>
        <w:textAlignment w:val="auto"/>
        <w:rPr>
          <w:rFonts w:eastAsia="黑体"/>
          <w:b/>
          <w:kern w:val="2"/>
          <w:sz w:val="36"/>
        </w:rPr>
      </w:pPr>
    </w:p>
    <w:p>
      <w:pPr>
        <w:pStyle w:val="17"/>
        <w:rPr>
          <w:rFonts w:eastAsia="黑体"/>
          <w:b/>
          <w:kern w:val="2"/>
          <w:sz w:val="18"/>
          <w:szCs w:val="18"/>
        </w:rPr>
      </w:pPr>
    </w:p>
    <w:p>
      <w:pPr>
        <w:pStyle w:val="17"/>
        <w:ind w:right="320"/>
        <w:jc w:val="right"/>
        <w:rPr>
          <w:rFonts w:eastAsia="黑体"/>
          <w:b/>
          <w:kern w:val="2"/>
          <w:sz w:val="36"/>
        </w:rPr>
      </w:pPr>
      <w:r>
        <w:rPr>
          <w:rFonts w:hint="eastAsia" w:ascii="仿宋" w:hAnsi="仿宋" w:eastAsia="仿宋"/>
          <w:color w:val="000000"/>
        </w:rPr>
        <w:t>岳环评</w:t>
      </w:r>
      <w:r>
        <w:rPr>
          <w:rFonts w:hint="eastAsia" w:ascii="仿宋" w:hAnsi="仿宋" w:eastAsia="仿宋" w:cs="仿宋"/>
          <w:color w:val="000000"/>
        </w:rPr>
        <w:t>〔</w:t>
      </w:r>
      <w:r>
        <w:rPr>
          <w:rFonts w:ascii="仿宋" w:hAnsi="仿宋" w:eastAsia="仿宋"/>
          <w:color w:val="000000"/>
        </w:rPr>
        <w:t>20</w:t>
      </w:r>
      <w:r>
        <w:rPr>
          <w:rFonts w:hint="eastAsia" w:ascii="仿宋" w:hAnsi="仿宋" w:eastAsia="仿宋"/>
          <w:color w:val="000000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</w:rPr>
        <w:t>〕</w:t>
      </w:r>
      <w:r>
        <w:rPr>
          <w:rFonts w:hint="eastAsia" w:ascii="仿宋" w:hAnsi="仿宋" w:eastAsia="仿宋" w:cs="仿宋"/>
          <w:color w:val="000000"/>
          <w:lang w:val="en-US" w:eastAsia="zh-CN"/>
        </w:rPr>
        <w:t>43</w:t>
      </w:r>
      <w:r>
        <w:rPr>
          <w:rFonts w:hint="eastAsia" w:ascii="仿宋" w:hAnsi="仿宋" w:eastAsia="仿宋"/>
          <w:color w:val="000000"/>
        </w:rPr>
        <w:t>号</w:t>
      </w:r>
    </w:p>
    <w:p>
      <w:pPr>
        <w:widowControl/>
        <w:spacing w:line="360" w:lineRule="auto"/>
        <w:jc w:val="center"/>
        <w:rPr>
          <w:rFonts w:hint="eastAsia" w:ascii="宋体" w:hAnsi="宋体" w:eastAsia="宋体" w:cs="Times New Roman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  <w:lang w:val="en-US" w:eastAsia="zh-CN" w:bidi="ar-SA"/>
        </w:rPr>
        <w:t>关于湖南鹏翔致远智能装备有限公司年生产600台隧道智能装备建设项目环境影响报告书的批复</w:t>
      </w:r>
    </w:p>
    <w:p>
      <w:pPr>
        <w:pStyle w:val="19"/>
        <w:spacing w:line="480" w:lineRule="exact"/>
        <w:rPr>
          <w:rFonts w:eastAsia="仿宋_GB2312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湖南鹏翔致远智能装备有限公司：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你公司《关于申请〈年生产600台隧道智能装备建设项目〉批复的报告》、</w:t>
      </w:r>
      <w:r>
        <w:rPr>
          <w:rFonts w:hint="eastAsia" w:ascii="仿宋" w:hAnsi="仿宋" w:eastAsia="仿宋" w:cs="仿宋_GB2312"/>
          <w:sz w:val="32"/>
          <w:szCs w:val="32"/>
          <w:lang w:val="en-US" w:eastAsia="zh-CN" w:bidi="ar"/>
        </w:rPr>
        <w:t>岳阳市生态环境局汨罗分局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预审意见及有关附件收悉。经研究，批复如下：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一、湖南鹏翔致远智能有限公司拟投资25000万元（其中环保投资296万元），在汨罗市弼时镇国家级长沙经济技术开发区汨罗产业园新建年产600台隧道智能装备建设项目。建设地点中心坐标：经度113.143212798，纬度28.480512356。项目用地面积66684m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baseline"/>
          <w:lang w:val="en-US" w:eastAsia="zh-CN"/>
        </w:rPr>
        <w:t>,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总建筑面积44551.71m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。主要建设内容：主体工程：2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生产厂房（包括焊接区和组装区）、3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喷涂车间（包括打磨区、喷涂区、晾干区）、5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baseline"/>
          <w:lang w:val="en-US" w:eastAsia="zh-CN"/>
        </w:rPr>
        <w:t>生产厂房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（包括原材料区、下料区）、6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调试车间；储运、辅助及公用工程：1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综合楼、厂内道路及装卸车位、给排水、供电工程等其他配套设施；环保工程：4</w:t>
      </w:r>
      <w:r>
        <w:rPr>
          <w:rFonts w:hint="eastAsia" w:ascii="仿宋" w:hAnsi="仿宋" w:eastAsia="仿宋" w:cs="Times New Roman"/>
          <w:sz w:val="32"/>
          <w:szCs w:val="32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危废暂存间和废气、废水处理设施等</w:t>
      </w:r>
      <w:r>
        <w:rPr>
          <w:rFonts w:hint="eastAsia" w:eastAsia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项目以钢材、丙烯酸聚氨酯面漆、中灰环氧底漆、丙烯酸聚氨酯漆固化剂、丙烯酸漆稀释剂、水性羟丙酸底漆、水性丙烯酸面漆等为主要原辅材料，经下料、切割、钻孔、组装、打磨、调试、除油、喷漆等工序生产生产隧道智能装备，包括隧道智能喷浆机器人、智能凿岩台车、拱架安装台车等。产品方案：年产隧道智能喷浆机器人250台、智能凿岩台车200台、拱架安装台车150台。项目使用的钢材均外委进行表面处理，不在厂区进行脱脂、表调、磷化等表面处理工艺。项目已取得汨罗市发展和改革局备案证明（汨发改备[2021]14号）。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根据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中石生态环境科技有限公司</w:t>
      </w:r>
      <w:r>
        <w:rPr>
          <w:rFonts w:hint="eastAsia" w:ascii="仿宋" w:hAnsi="仿宋" w:eastAsia="仿宋"/>
          <w:sz w:val="32"/>
          <w:szCs w:val="32"/>
          <w:u w:val="none"/>
        </w:rPr>
        <w:t>编制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的《湖南鹏翔致远智能装备有限公司年生产600台隧道智能装备建设项目环境影响报告书》（报批稿）基本内容、结论和专家评审意见及岳阳市生态环境局汨罗分局预审意见，综合考虑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，我局原则同意你公司环境影响报告书中所列建设项目的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环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境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影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响评价结论和环境保护对策措施。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二、项目建设和运营必须全面落实环境影响报告书提出的各项环保措施，并着重做好以下工作：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auto"/>
        <w:rPr>
          <w:rFonts w:hint="default" w:eastAsia="仿宋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（一）加强施工期环境管理。严格落实报告书中提出的要求，做好施工扬尘、废气、噪声、废水、弃渣的防治措施，减少施工期对周边环境的影响，避免造成施工扰民。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项目采用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外购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商品混凝土，施工现场封闭施工，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施工区域和物料堆场设置围挡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严禁物料露天堆放，严禁大风大雨等恶劣天气施工，加强对施工扬尘产尘点的监控管理，配备洒水设备并定期洒水抑尘；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施工现场规范设置洗车平台，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合理安排物料运输路线，严格落实封闭式运输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减少扬尘对周边环境的影响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施工人员生活污水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尽量依托当地现有住宅排放，少数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临时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化粪池处理后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集中处理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，不外排。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施工机械和车辆冲洗水经收集隔油沉淀处理后回用，设置雨水收集池，施工期雨污水、</w:t>
      </w:r>
      <w:r>
        <w:rPr>
          <w:rFonts w:hint="default" w:ascii="仿宋" w:hAnsi="仿宋" w:eastAsia="仿宋"/>
          <w:sz w:val="32"/>
          <w:szCs w:val="32"/>
          <w:u w:val="none"/>
        </w:rPr>
        <w:t>混凝土养护废水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和基坑积水等</w:t>
      </w:r>
      <w:r>
        <w:rPr>
          <w:rFonts w:hint="default" w:ascii="仿宋" w:hAnsi="仿宋" w:eastAsia="仿宋"/>
          <w:sz w:val="32"/>
          <w:szCs w:val="32"/>
          <w:u w:val="none"/>
        </w:rPr>
        <w:t>施工废水经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收集</w:t>
      </w:r>
      <w:r>
        <w:rPr>
          <w:rFonts w:hint="default" w:ascii="仿宋" w:hAnsi="仿宋" w:eastAsia="仿宋"/>
          <w:sz w:val="32"/>
          <w:szCs w:val="32"/>
          <w:u w:val="none"/>
        </w:rPr>
        <w:t>沉淀处理后回用</w:t>
      </w:r>
      <w:bookmarkStart w:id="0" w:name="_GoBack"/>
      <w:bookmarkEnd w:id="0"/>
      <w:r>
        <w:rPr>
          <w:rFonts w:hint="default" w:ascii="仿宋" w:hAnsi="仿宋" w:eastAsia="仿宋"/>
          <w:sz w:val="32"/>
          <w:szCs w:val="32"/>
          <w:u w:val="none"/>
        </w:rPr>
        <w:t>于施工现场洒水，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均不外排</w:t>
      </w:r>
      <w:r>
        <w:rPr>
          <w:rFonts w:hint="eastAsia" w:ascii="仿宋" w:hAnsi="仿宋" w:eastAsia="仿宋"/>
          <w:sz w:val="32"/>
          <w:szCs w:val="32"/>
          <w:u w:val="none"/>
        </w:rPr>
        <w:t>；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打桩</w:t>
      </w:r>
      <w:r>
        <w:rPr>
          <w:rFonts w:hint="default" w:ascii="仿宋" w:hAnsi="仿宋" w:eastAsia="仿宋"/>
          <w:sz w:val="32"/>
          <w:szCs w:val="32"/>
          <w:u w:val="none"/>
        </w:rPr>
        <w:t>泥浆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由泥浆车按规范运输处理等。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施工期建筑垃圾由渣土管理部门统一调配，施工人员生活垃圾集中收集送城市垃圾处理场；合理安排施工时段，高噪声施工机械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禁止夜间施工，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尽量选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用低噪声设备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合理进行施工布置，加强施工设备维修保养，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落实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好临时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降噪措施，加强运输车辆、施工机械和设备管理及维护，确保项目施工噪声满足《建筑施工场界环境噪声排放标准》（GB12523-2011）相关要求。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工程建设完成后，及时进行厂区绿化工作。</w:t>
      </w:r>
    </w:p>
    <w:p>
      <w:pPr>
        <w:tabs>
          <w:tab w:val="left" w:pos="851"/>
        </w:tabs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（二）</w:t>
      </w:r>
      <w:r>
        <w:rPr>
          <w:rFonts w:hint="eastAsia" w:ascii="仿宋" w:hAnsi="仿宋" w:eastAsia="仿宋"/>
          <w:sz w:val="32"/>
          <w:szCs w:val="32"/>
        </w:rPr>
        <w:t>严格项目原辅材料的准入条件，使用符合环保要求的油漆、稀释剂等原料。</w:t>
      </w:r>
    </w:p>
    <w:p>
      <w:pPr>
        <w:tabs>
          <w:tab w:val="left" w:pos="851"/>
        </w:tabs>
        <w:spacing w:line="360" w:lineRule="auto"/>
        <w:ind w:firstLine="640" w:firstLineChars="200"/>
        <w:rPr>
          <w:rFonts w:hint="eastAsia"/>
          <w:sz w:val="24"/>
          <w:szCs w:val="24"/>
          <w:u w:val="singl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（三）废气污染防治工作。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严格控制项目废气污染，</w:t>
      </w:r>
      <w:r>
        <w:rPr>
          <w:rFonts w:hint="eastAsia" w:ascii="仿宋" w:hAnsi="仿宋" w:eastAsia="仿宋"/>
          <w:sz w:val="32"/>
          <w:szCs w:val="32"/>
        </w:rPr>
        <w:t>合理分区，规范建设废气收集处理系统，</w:t>
      </w:r>
      <w:r>
        <w:rPr>
          <w:rFonts w:hint="eastAsia" w:ascii="仿宋" w:hAnsi="仿宋" w:eastAsia="仿宋"/>
          <w:sz w:val="32"/>
          <w:szCs w:val="32"/>
          <w:u w:val="none"/>
        </w:rPr>
        <w:t>生产车间保持密闭，加强车间现场及污防设施运行管理，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合理布置移动式烟（粉）尘净化器并定期检查维护，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最大限度减少生产过程中的废气无组织排放,</w:t>
      </w:r>
      <w:r>
        <w:rPr>
          <w:rFonts w:hint="eastAsia" w:ascii="仿宋" w:hAnsi="仿宋" w:eastAsia="仿宋"/>
          <w:sz w:val="32"/>
          <w:szCs w:val="32"/>
          <w:u w:val="none"/>
        </w:rPr>
        <w:t>确保无组织排放废气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分别</w:t>
      </w:r>
      <w:r>
        <w:rPr>
          <w:rFonts w:hint="eastAsia" w:ascii="仿宋" w:hAnsi="仿宋" w:eastAsia="仿宋"/>
          <w:sz w:val="32"/>
          <w:szCs w:val="32"/>
        </w:rPr>
        <w:t>满足《挥发性有机物无组织排放控制标准》（GB37822-2019）附录A表A.1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《表面涂装（汽车制造及维修）挥发性有机物、镍排放标准》（DB43/1356-2017）表3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《大气污染物综合排放标准》（GB16297-1996）表2中无组织排放监控浓度限值要求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；打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磨废气经收集除尘处理达到《大气污染物综合排放标准》（GB16297-1996）表2二级标准要求后，由15m排气筒外排；</w:t>
      </w:r>
      <w:r>
        <w:rPr>
          <w:rFonts w:hint="eastAsia" w:ascii="仿宋" w:hAnsi="仿宋" w:eastAsia="仿宋"/>
          <w:sz w:val="32"/>
          <w:szCs w:val="32"/>
          <w:u w:val="none"/>
        </w:rPr>
        <w:t>项目除油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  <w:u w:val="none"/>
        </w:rPr>
        <w:t>工序在喷漆房内进行，喷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涂车间保持</w:t>
      </w:r>
      <w:r>
        <w:rPr>
          <w:rFonts w:hint="eastAsia" w:ascii="仿宋" w:hAnsi="仿宋" w:eastAsia="仿宋"/>
          <w:sz w:val="32"/>
          <w:szCs w:val="32"/>
          <w:u w:val="none"/>
        </w:rPr>
        <w:t>密闭，喷漆房和晾干房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有机废气经收集处理达到</w:t>
      </w:r>
      <w:r>
        <w:rPr>
          <w:rFonts w:hint="eastAsia" w:ascii="仿宋" w:hAnsi="仿宋" w:eastAsia="仿宋"/>
          <w:sz w:val="32"/>
          <w:szCs w:val="32"/>
          <w:u w:val="none"/>
        </w:rPr>
        <w:t>《表面涂装（汽车制造及维修）挥发性有机物、镍排放标准》（DB43/1356-2017）表1浓度限值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要求后，由15m排气筒外排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食堂油烟经处理满足《饮食业油烟排放标准》(GB18483-2001)要求后，引至屋顶高空排放。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（四）废水污染防治工作。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严格按照“雨污分流、清污分流、污污分流”的原则规范建设厂区雨水及污水管网。规范排放口设置管理工作，厂区内除雨水排放口和生活污水排放口外，不得设置其它废水排放口。喷浆机器人调试废水经隔油池处理后回用，不外排。隔油池定期清理。生活污水经处理满足《污水综合排放标准》（GB8978-1996）中三级标准及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 w:bidi="ar"/>
        </w:rPr>
        <w:t>湖南汨罗工业园长沙飞地园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园区污水厂进水水质要求后，经园区污水管网进入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 w:bidi="ar"/>
        </w:rPr>
        <w:t>湖南汨罗工业园长沙飞地园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园区污水处理厂处理。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按照分区防控的原则落实报告书提出的地下水污染防治措施，做好喷涂车间、危险废物暂存间、油漆存放间、调试区、调试废水隔油池、应急事故池等区域的防雨、防腐、防渗工作，避免由于防渗层破损造成污染物下渗污染地下水；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根据《环境影响评价技术导则地下水环境》(HJ610-2016)要求，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跟踪监测地下水质情况，确保地下水环境安全。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  <w:u w:val="none"/>
        </w:rPr>
        <w:t>）噪声防治工作。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采用低噪声设备、对产生噪声的设备和工序进行合理布局，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对各类风机、生产设备及各种泵类等主要噪声源采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取消声、减振等措施，对各设备设施定期维护保养，确保厂界噪声满足《工业企业厂界环境噪声排放标准》（GB12348-2008）中3类标准要求。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  <w:u w:val="none"/>
        </w:rPr>
        <w:t>）固体废物管理工作。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按“无害化、减量化、资源化”原则，做好固体废物的分类收集和综合利用，建立固体废物产生、处置管理台账；按照《危险废物贮存污染控制标准》（GB18597-2001）及其修改单中相关要求规范设置危废暂存间，废油漆桶、废润滑脂、油泥、漆渣、废过滤棉、含油抹布、废催化剂等危险废物交有危废资质的单位处置，并严格落实转移联单制度；按照《一般工业固体废物贮存、处置场污染控制标准》（GB18599-2001）及其2013年修改单要求规范设置一般工业固体废物暂存间，钢材边角料、废纸箱、粉尘尘渣、焊渣等一般工业固体废物集中收集，外售进行综合利用;生活垃圾经收集交由环卫部门统一处理。</w:t>
      </w:r>
    </w:p>
    <w:p>
      <w:pPr>
        <w:spacing w:line="45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  <w:u w:val="none"/>
        </w:rPr>
        <w:t>）环境管理和风险防范工作</w:t>
      </w:r>
      <w:r>
        <w:rPr>
          <w:rFonts w:hint="eastAsia" w:ascii="仿宋" w:hAnsi="仿宋" w:eastAsia="仿宋"/>
          <w:sz w:val="32"/>
          <w:szCs w:val="32"/>
          <w:u w:val="single"/>
        </w:rPr>
        <w:t>。</w:t>
      </w:r>
      <w:r>
        <w:rPr>
          <w:rFonts w:hint="eastAsia" w:ascii="仿宋" w:hAnsi="仿宋" w:eastAsia="仿宋"/>
          <w:sz w:val="32"/>
          <w:szCs w:val="32"/>
        </w:rPr>
        <w:t>设置专门的环保机构，配备专职环保管理人员，加强生产设备和污防设施的检修、保养及管理人员培训，建立健全污染防治设施运行管理台帐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加强日常监管，杜绝生产过程中的跑、冒、滴、漏，</w:t>
      </w:r>
      <w:r>
        <w:rPr>
          <w:rFonts w:hint="eastAsia" w:ascii="仿宋" w:hAnsi="仿宋" w:eastAsia="仿宋"/>
          <w:sz w:val="32"/>
          <w:szCs w:val="32"/>
        </w:rPr>
        <w:t>确保各项污染防治设施的正常运行，各类污染物稳定达标排放。做好运营期环境监测工作，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规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范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制定事故环境应急预案，严格</w:t>
      </w:r>
      <w:r>
        <w:rPr>
          <w:rFonts w:hint="eastAsia" w:ascii="仿宋" w:hAnsi="仿宋" w:eastAsia="仿宋"/>
          <w:sz w:val="32"/>
          <w:szCs w:val="32"/>
          <w:u w:val="none"/>
        </w:rPr>
        <w:t>落实各项风险防范及应急处理措施，储备应急物资并组织演练，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杜绝环境风险事故发生，</w:t>
      </w:r>
      <w:r>
        <w:rPr>
          <w:rFonts w:hint="eastAsia" w:ascii="仿宋" w:hAnsi="仿宋" w:eastAsia="仿宋"/>
          <w:sz w:val="32"/>
          <w:szCs w:val="32"/>
          <w:u w:val="none"/>
        </w:rPr>
        <w:t>确保周边环</w:t>
      </w:r>
      <w:r>
        <w:rPr>
          <w:rFonts w:hint="eastAsia" w:ascii="仿宋" w:hAnsi="仿宋" w:eastAsia="仿宋"/>
          <w:sz w:val="32"/>
          <w:szCs w:val="32"/>
        </w:rPr>
        <w:t>境安全。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2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（八）</w:t>
      </w:r>
      <w:r>
        <w:rPr>
          <w:rFonts w:hint="eastAsia" w:ascii="仿宋" w:hAnsi="仿宋" w:eastAsia="仿宋" w:cs="Times New Roman"/>
          <w:spacing w:val="-11"/>
          <w:sz w:val="32"/>
          <w:szCs w:val="32"/>
          <w:u w:val="none"/>
          <w:lang w:val="en-US" w:eastAsia="zh-CN" w:bidi="ar"/>
        </w:rPr>
        <w:t>本项目主要总量控制指标为：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VOCs</w:t>
      </w:r>
      <w:r>
        <w:rPr>
          <w:rFonts w:hint="eastAsia" w:ascii="仿宋" w:hAnsi="仿宋" w:eastAsia="仿宋" w:cs="Times New Roman"/>
          <w:spacing w:val="-11"/>
          <w:sz w:val="32"/>
          <w:szCs w:val="32"/>
          <w:u w:val="none"/>
          <w:lang w:val="en-US" w:eastAsia="zh-CN" w:bidi="ar"/>
        </w:rPr>
        <w:t>≤0.4吨/年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2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三、你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应在收到本批复后15个工作日内，将批复及批准的环评报告文本送至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 w:bidi="ar"/>
        </w:rPr>
        <w:t>岳阳市生态环境局汨罗分局、湖南汨罗工业园长沙飞地园管理中心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中石生态环境科技有限公司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2" w:lineRule="exact"/>
        <w:ind w:firstLine="640" w:firstLineChars="200"/>
        <w:textAlignment w:val="auto"/>
        <w:rPr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四、请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 w:bidi="ar"/>
        </w:rPr>
        <w:t>岳阳市生态环境局汨罗分局</w:t>
      </w:r>
      <w:r>
        <w:rPr>
          <w:rFonts w:hint="eastAsia" w:ascii="仿宋" w:hAnsi="仿宋" w:eastAsia="仿宋"/>
          <w:sz w:val="32"/>
          <w:szCs w:val="32"/>
          <w:u w:val="none"/>
        </w:rPr>
        <w:t>负责项目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建设期和</w:t>
      </w:r>
      <w:r>
        <w:rPr>
          <w:rFonts w:hint="eastAsia" w:ascii="仿宋" w:hAnsi="仿宋" w:eastAsia="仿宋"/>
          <w:sz w:val="32"/>
          <w:szCs w:val="32"/>
          <w:u w:val="none"/>
        </w:rPr>
        <w:t>运营期的日常环境监管。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pacing w:line="482" w:lineRule="exact"/>
        <w:ind w:firstLine="585"/>
        <w:rPr>
          <w:rFonts w:ascii="仿宋" w:hAnsi="仿宋" w:eastAsia="仿宋" w:cs="仿宋"/>
          <w:kern w:val="2"/>
          <w:sz w:val="32"/>
          <w:szCs w:val="32"/>
          <w:u w:val="none"/>
        </w:rPr>
      </w:pPr>
    </w:p>
    <w:p>
      <w:pPr>
        <w:pStyle w:val="19"/>
        <w:spacing w:line="520" w:lineRule="exact"/>
        <w:ind w:firstLine="585"/>
        <w:rPr>
          <w:rFonts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520" w:lineRule="exact"/>
        <w:rPr>
          <w:rFonts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520" w:lineRule="exact"/>
        <w:rPr>
          <w:rFonts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480" w:firstLineChars="1400"/>
        <w:textAlignment w:val="bottom"/>
        <w:rPr>
          <w:rFonts w:ascii="仿宋" w:hAnsi="仿宋" w:eastAsia="仿宋" w:cs="仿宋"/>
          <w:kern w:val="2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岳阳市生态环境局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480" w:firstLineChars="1400"/>
        <w:textAlignment w:val="bottom"/>
        <w:rPr>
          <w:rFonts w:hint="eastAsia" w:ascii="仿宋" w:hAnsi="仿宋" w:eastAsia="仿宋" w:cs="仿宋"/>
          <w:kern w:val="2"/>
          <w:sz w:val="32"/>
          <w:szCs w:val="32"/>
          <w:u w:val="none"/>
        </w:rPr>
      </w:pPr>
      <w:r>
        <w:rPr>
          <w:rFonts w:ascii="仿宋" w:hAnsi="仿宋" w:eastAsia="仿宋" w:cs="仿宋"/>
          <w:kern w:val="2"/>
          <w:sz w:val="32"/>
          <w:szCs w:val="32"/>
          <w:u w:val="none"/>
        </w:rPr>
        <w:t>20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日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480" w:firstLineChars="1400"/>
        <w:textAlignment w:val="bottom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480" w:firstLineChars="1400"/>
        <w:textAlignment w:val="bottom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480" w:firstLineChars="1400"/>
        <w:textAlignment w:val="bottom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9"/>
        <w:spacing w:line="20" w:lineRule="exact"/>
        <w:ind w:left="0" w:firstLine="4640" w:firstLineChars="1450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119"/>
        <w:jc w:val="both"/>
        <w:textAlignment w:val="top"/>
        <w:rPr>
          <w:rFonts w:eastAsia="仿宋_GB2312"/>
          <w:sz w:val="10"/>
          <w:szCs w:val="10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588" w:bottom="1418" w:left="1588" w:header="851" w:footer="992" w:gutter="0"/>
      <w:cols w:space="720" w:num="1"/>
      <w:titlePg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9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3456"/>
    <w:rsid w:val="01BE5D60"/>
    <w:rsid w:val="05F14BC4"/>
    <w:rsid w:val="069C08F2"/>
    <w:rsid w:val="097B53A2"/>
    <w:rsid w:val="0AB11931"/>
    <w:rsid w:val="0BBA4584"/>
    <w:rsid w:val="0FAD0842"/>
    <w:rsid w:val="10EF52D4"/>
    <w:rsid w:val="14C537D5"/>
    <w:rsid w:val="1D8D30B7"/>
    <w:rsid w:val="1EC544F4"/>
    <w:rsid w:val="1FD04237"/>
    <w:rsid w:val="20873CD5"/>
    <w:rsid w:val="22C53093"/>
    <w:rsid w:val="272857E7"/>
    <w:rsid w:val="286E0547"/>
    <w:rsid w:val="30896A5A"/>
    <w:rsid w:val="30B02793"/>
    <w:rsid w:val="30E27522"/>
    <w:rsid w:val="35106717"/>
    <w:rsid w:val="3C367E4D"/>
    <w:rsid w:val="3C8A111B"/>
    <w:rsid w:val="3CAB5906"/>
    <w:rsid w:val="3CD43D5B"/>
    <w:rsid w:val="3E071AD8"/>
    <w:rsid w:val="3EC95323"/>
    <w:rsid w:val="44E35F21"/>
    <w:rsid w:val="45052C64"/>
    <w:rsid w:val="45E20C24"/>
    <w:rsid w:val="4700585C"/>
    <w:rsid w:val="4AAB2EA4"/>
    <w:rsid w:val="4AF67E50"/>
    <w:rsid w:val="4D255DF8"/>
    <w:rsid w:val="4D796760"/>
    <w:rsid w:val="4FC856C2"/>
    <w:rsid w:val="4FF536FB"/>
    <w:rsid w:val="50FE2CAA"/>
    <w:rsid w:val="52257384"/>
    <w:rsid w:val="56A97239"/>
    <w:rsid w:val="56D304A2"/>
    <w:rsid w:val="57437404"/>
    <w:rsid w:val="57697BA5"/>
    <w:rsid w:val="5AB94FF4"/>
    <w:rsid w:val="5BC62AAD"/>
    <w:rsid w:val="5BF423A8"/>
    <w:rsid w:val="5D656988"/>
    <w:rsid w:val="5F7307F7"/>
    <w:rsid w:val="615E0EB9"/>
    <w:rsid w:val="627477BA"/>
    <w:rsid w:val="651B047D"/>
    <w:rsid w:val="688E1720"/>
    <w:rsid w:val="6D6601E2"/>
    <w:rsid w:val="6FA41DEF"/>
    <w:rsid w:val="75051885"/>
    <w:rsid w:val="7AB03D73"/>
    <w:rsid w:val="7C7204EB"/>
    <w:rsid w:val="7D207DDB"/>
    <w:rsid w:val="7F1172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qFormat/>
    <w:uiPriority w:val="0"/>
    <w:pPr>
      <w:spacing w:after="120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paragraph" w:customStyle="1" w:styleId="11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Arial Unicode MS" w:hAnsi="Arial Unicode MS" w:eastAsia="Arial Unicode MS"/>
      <w:sz w:val="21"/>
    </w:rPr>
  </w:style>
  <w:style w:type="character" w:customStyle="1" w:styleId="12">
    <w:name w:val="日期 Char"/>
    <w:basedOn w:val="9"/>
    <w:link w:val="3"/>
    <w:qFormat/>
    <w:uiPriority w:val="99"/>
    <w:rPr>
      <w:szCs w:val="24"/>
    </w:rPr>
  </w:style>
  <w:style w:type="character" w:customStyle="1" w:styleId="13">
    <w:name w:val="批注框文本 Char"/>
    <w:basedOn w:val="9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p0 Char"/>
    <w:basedOn w:val="9"/>
    <w:link w:val="17"/>
    <w:qFormat/>
    <w:uiPriority w:val="99"/>
    <w:rPr>
      <w:rFonts w:eastAsia="宋体" w:cs="Times New Roman"/>
      <w:sz w:val="32"/>
      <w:szCs w:val="32"/>
      <w:lang w:val="en-US" w:eastAsia="zh-CN" w:bidi="ar-SA"/>
    </w:rPr>
  </w:style>
  <w:style w:type="paragraph" w:customStyle="1" w:styleId="17">
    <w:name w:val="p0"/>
    <w:basedOn w:val="1"/>
    <w:link w:val="16"/>
    <w:qFormat/>
    <w:uiPriority w:val="99"/>
    <w:pPr>
      <w:widowControl/>
    </w:pPr>
    <w:rPr>
      <w:kern w:val="0"/>
      <w:sz w:val="32"/>
      <w:szCs w:val="32"/>
    </w:rPr>
  </w:style>
  <w:style w:type="paragraph" w:customStyle="1" w:styleId="18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0"/>
    <w:basedOn w:val="1"/>
    <w:qFormat/>
    <w:uiPriority w:val="99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20">
    <w:name w:val="表头字体宋"/>
    <w:basedOn w:val="1"/>
    <w:qFormat/>
    <w:uiPriority w:val="99"/>
    <w:pPr>
      <w:spacing w:line="500" w:lineRule="exact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21">
    <w:name w:val="表格内容"/>
    <w:basedOn w:val="1"/>
    <w:qFormat/>
    <w:uiPriority w:val="99"/>
    <w:pPr>
      <w:autoSpaceDE w:val="0"/>
      <w:autoSpaceDN w:val="0"/>
      <w:adjustRightInd w:val="0"/>
      <w:spacing w:line="360" w:lineRule="auto"/>
      <w:jc w:val="center"/>
      <w:textAlignment w:val="baseline"/>
    </w:pPr>
    <w:rPr>
      <w:color w:val="000000"/>
      <w:kern w:val="0"/>
      <w:szCs w:val="21"/>
    </w:rPr>
  </w:style>
  <w:style w:type="character" w:customStyle="1" w:styleId="22">
    <w:name w:val="biaoge Char"/>
    <w:link w:val="23"/>
    <w:qFormat/>
    <w:uiPriority w:val="99"/>
    <w:rPr>
      <w:kern w:val="2"/>
      <w:sz w:val="24"/>
    </w:rPr>
  </w:style>
  <w:style w:type="paragraph" w:customStyle="1" w:styleId="23">
    <w:name w:val="biaoge"/>
    <w:basedOn w:val="1"/>
    <w:link w:val="22"/>
    <w:qFormat/>
    <w:uiPriority w:val="99"/>
    <w:pPr>
      <w:jc w:val="center"/>
    </w:pPr>
    <w:rPr>
      <w:sz w:val="24"/>
      <w:szCs w:val="20"/>
    </w:rPr>
  </w:style>
  <w:style w:type="paragraph" w:customStyle="1" w:styleId="24">
    <w:name w:val="文章正文样式"/>
    <w:basedOn w:val="1"/>
    <w:qFormat/>
    <w:uiPriority w:val="0"/>
    <w:pPr>
      <w:spacing w:line="520" w:lineRule="exact"/>
      <w:ind w:firstLine="480" w:firstLineChars="200"/>
      <w:jc w:val="left"/>
    </w:pPr>
    <w:rPr>
      <w:rFonts w:ascii="宋体" w:hAnsi="宋体" w:cs="宋体"/>
      <w:sz w:val="24"/>
    </w:rPr>
  </w:style>
  <w:style w:type="character" w:customStyle="1" w:styleId="25">
    <w:name w:val="正文文本 Char"/>
    <w:basedOn w:val="9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3075</Words>
  <Characters>3260</Characters>
  <Paragraphs>85</Paragraphs>
  <TotalTime>1</TotalTime>
  <ScaleCrop>false</ScaleCrop>
  <LinksUpToDate>false</LinksUpToDate>
  <CharactersWithSpaces>3261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2019-02-01T10:46:00Z</dcterms:created>
  <dc:creator>微软用户</dc:creator>
  <cp:lastModifiedBy>Administrator</cp:lastModifiedBy>
  <cp:lastPrinted>2019-07-22T02:14:00Z</cp:lastPrinted>
  <dcterms:modified xsi:type="dcterms:W3CDTF">2021-08-24T01:40:04Z</dcterms:modified>
  <dc:title>湘 阴 县 大 地 化 工 有 限 公 司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670957A453B141189EFB8BD562396BE1</vt:lpwstr>
  </property>
</Properties>
</file>