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textAlignment w:val="top"/>
        <w:rPr>
          <w:rFonts w:ascii="Times New Roman" w:hAnsi="Times New Roman" w:eastAsia="仿宋" w:cs="Times New Roman"/>
          <w:b/>
          <w:sz w:val="36"/>
        </w:rPr>
      </w:pPr>
    </w:p>
    <w:p>
      <w:pPr>
        <w:widowControl/>
        <w:spacing w:line="480" w:lineRule="exact"/>
        <w:jc w:val="left"/>
        <w:textAlignment w:val="top"/>
        <w:rPr>
          <w:rFonts w:ascii="Times New Roman" w:hAnsi="Times New Roman" w:eastAsia="仿宋" w:cs="Times New Roman"/>
          <w:b/>
          <w:sz w:val="36"/>
        </w:rPr>
      </w:pPr>
    </w:p>
    <w:p>
      <w:pPr>
        <w:widowControl/>
        <w:spacing w:line="480" w:lineRule="exact"/>
        <w:jc w:val="left"/>
        <w:textAlignment w:val="top"/>
        <w:rPr>
          <w:rFonts w:ascii="Times New Roman" w:hAnsi="Times New Roman" w:eastAsia="仿宋" w:cs="Times New Roman"/>
          <w:b/>
          <w:sz w:val="36"/>
        </w:rPr>
      </w:pPr>
    </w:p>
    <w:p>
      <w:pPr>
        <w:widowControl/>
        <w:spacing w:line="480" w:lineRule="exact"/>
        <w:jc w:val="left"/>
        <w:textAlignment w:val="top"/>
        <w:rPr>
          <w:rFonts w:ascii="Times New Roman" w:hAnsi="Times New Roman" w:eastAsia="仿宋" w:cs="Times New Roman"/>
          <w:b/>
          <w:sz w:val="36"/>
        </w:rPr>
      </w:pPr>
    </w:p>
    <w:p>
      <w:pPr>
        <w:widowControl/>
        <w:spacing w:line="480" w:lineRule="exact"/>
        <w:jc w:val="left"/>
        <w:textAlignment w:val="top"/>
        <w:rPr>
          <w:rFonts w:ascii="Times New Roman" w:hAnsi="Times New Roman" w:eastAsia="仿宋" w:cs="Times New Roman"/>
          <w:b/>
          <w:sz w:val="36"/>
        </w:rPr>
      </w:pPr>
    </w:p>
    <w:p>
      <w:pPr>
        <w:widowControl/>
        <w:spacing w:line="480" w:lineRule="exact"/>
        <w:jc w:val="right"/>
        <w:textAlignment w:val="top"/>
        <w:rPr>
          <w:rFonts w:ascii="Times New Roman" w:hAnsi="Times New Roman" w:eastAsia="仿宋" w:cs="Times New Roman"/>
          <w:kern w:val="0"/>
          <w:sz w:val="32"/>
          <w:szCs w:val="32"/>
        </w:rPr>
      </w:pPr>
      <w:r>
        <w:rPr>
          <w:rFonts w:ascii="Times New Roman" w:hAnsi="Times New Roman" w:eastAsia="仿宋" w:cs="Times New Roman"/>
          <w:kern w:val="0"/>
          <w:sz w:val="32"/>
          <w:szCs w:val="32"/>
        </w:rPr>
        <w:t>岳环评 [2021]</w:t>
      </w:r>
      <w:r>
        <w:rPr>
          <w:rFonts w:hint="eastAsia" w:ascii="Times New Roman" w:hAnsi="Times New Roman" w:eastAsia="仿宋" w:cs="Times New Roman"/>
          <w:kern w:val="0"/>
          <w:sz w:val="32"/>
          <w:szCs w:val="32"/>
          <w:lang w:val="en-US" w:eastAsia="zh-CN"/>
        </w:rPr>
        <w:t>48</w:t>
      </w:r>
      <w:r>
        <w:rPr>
          <w:rFonts w:ascii="Times New Roman" w:hAnsi="Times New Roman" w:eastAsia="仿宋" w:cs="Times New Roman"/>
          <w:kern w:val="0"/>
          <w:sz w:val="32"/>
          <w:szCs w:val="32"/>
        </w:rPr>
        <w:t>号</w:t>
      </w:r>
    </w:p>
    <w:p>
      <w:pPr>
        <w:widowControl/>
        <w:spacing w:line="480" w:lineRule="exact"/>
        <w:jc w:val="center"/>
        <w:textAlignment w:val="top"/>
        <w:rPr>
          <w:rFonts w:ascii="Times New Roman" w:hAnsi="Times New Roman" w:eastAsia="仿宋" w:cs="Times New Roman"/>
          <w:b/>
          <w:bCs/>
          <w:kern w:val="0"/>
          <w:sz w:val="36"/>
          <w:szCs w:val="36"/>
        </w:rPr>
      </w:pPr>
      <w:r>
        <w:rPr>
          <w:rFonts w:hint="eastAsia" w:ascii="华文中宋" w:hAnsi="华文中宋" w:eastAsia="华文中宋" w:cs="华文中宋"/>
          <w:b/>
          <w:bCs/>
          <w:kern w:val="0"/>
          <w:sz w:val="36"/>
          <w:szCs w:val="36"/>
        </w:rPr>
        <w:t>关于中国石化催化剂有限公司长岭分公司500t/a球形氧化铝载体生产装置环境影响报告书的批复</w:t>
      </w:r>
    </w:p>
    <w:p>
      <w:pPr>
        <w:widowControl/>
        <w:spacing w:line="480" w:lineRule="exact"/>
        <w:jc w:val="center"/>
        <w:textAlignment w:val="top"/>
        <w:rPr>
          <w:rFonts w:ascii="Times New Roman" w:hAnsi="Times New Roman" w:eastAsia="仿宋" w:cs="Times New Roman"/>
          <w:b/>
          <w:bCs/>
          <w:kern w:val="0"/>
          <w:sz w:val="36"/>
          <w:szCs w:val="36"/>
        </w:rPr>
      </w:pPr>
    </w:p>
    <w:p>
      <w:pPr>
        <w:spacing w:line="48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中国石化催化剂有限公司长岭分公司</w:t>
      </w:r>
      <w:r>
        <w:rPr>
          <w:rFonts w:ascii="Times New Roman" w:hAnsi="Times New Roman" w:eastAsia="仿宋" w:cs="Times New Roman"/>
          <w:sz w:val="32"/>
          <w:szCs w:val="32"/>
        </w:rPr>
        <w:t>：</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你公司《关于</w:t>
      </w:r>
      <w:r>
        <w:rPr>
          <w:rFonts w:hint="eastAsia" w:ascii="Times New Roman" w:hAnsi="Times New Roman" w:eastAsia="仿宋" w:cs="Times New Roman"/>
          <w:sz w:val="32"/>
          <w:szCs w:val="32"/>
        </w:rPr>
        <w:t>中国石化催化剂有限公司长岭分公司</w:t>
      </w:r>
      <w:r>
        <w:rPr>
          <w:rFonts w:ascii="Times New Roman" w:hAnsi="Times New Roman" w:eastAsia="仿宋" w:cs="Times New Roman"/>
          <w:sz w:val="32"/>
          <w:szCs w:val="32"/>
        </w:rPr>
        <w:t>500t/a球形氧化铝载体生产装置</w:t>
      </w:r>
      <w:r>
        <w:rPr>
          <w:rFonts w:hint="eastAsia" w:ascii="Times New Roman" w:hAnsi="Times New Roman" w:eastAsia="仿宋" w:cs="Times New Roman"/>
          <w:sz w:val="32"/>
          <w:szCs w:val="32"/>
          <w:lang w:val="en-US" w:eastAsia="zh-CN"/>
        </w:rPr>
        <w:t>环境影响评价申请批复</w:t>
      </w:r>
      <w:r>
        <w:rPr>
          <w:rFonts w:ascii="Times New Roman" w:hAnsi="Times New Roman" w:eastAsia="仿宋" w:cs="Times New Roman"/>
          <w:sz w:val="32"/>
          <w:szCs w:val="32"/>
        </w:rPr>
        <w:t>的</w:t>
      </w:r>
      <w:r>
        <w:rPr>
          <w:rFonts w:hint="eastAsia" w:ascii="Times New Roman" w:hAnsi="Times New Roman" w:eastAsia="仿宋" w:cs="Times New Roman"/>
          <w:sz w:val="32"/>
          <w:szCs w:val="32"/>
          <w:lang w:val="en-US" w:eastAsia="zh-CN"/>
        </w:rPr>
        <w:t>请示</w:t>
      </w:r>
      <w:r>
        <w:rPr>
          <w:rFonts w:ascii="Times New Roman" w:hAnsi="Times New Roman" w:eastAsia="仿宋" w:cs="Times New Roman"/>
          <w:sz w:val="32"/>
          <w:szCs w:val="32"/>
        </w:rPr>
        <w:t>》、岳阳市生态环境局云溪分局的预审意见及有关附件收悉。经研究，批复如下：</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中国石化催化剂有限公司长岭分公司</w:t>
      </w:r>
      <w:r>
        <w:rPr>
          <w:rFonts w:ascii="Times New Roman" w:hAnsi="Times New Roman" w:eastAsia="仿宋" w:cs="Times New Roman"/>
          <w:sz w:val="32"/>
          <w:szCs w:val="32"/>
        </w:rPr>
        <w:t>拟在湖南岳阳绿色化工产业园内建设</w:t>
      </w:r>
      <w:r>
        <w:rPr>
          <w:rFonts w:hint="eastAsia" w:ascii="Times New Roman" w:hAnsi="Times New Roman" w:eastAsia="仿宋" w:cs="Times New Roman"/>
          <w:sz w:val="32"/>
          <w:szCs w:val="32"/>
        </w:rPr>
        <w:t>年产</w:t>
      </w:r>
      <w:r>
        <w:rPr>
          <w:rFonts w:ascii="Times New Roman" w:hAnsi="Times New Roman" w:eastAsia="仿宋" w:cs="Times New Roman"/>
          <w:sz w:val="32"/>
          <w:szCs w:val="32"/>
        </w:rPr>
        <w:t>500t球形氧化铝载体生产装置，项目占地面积5762m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，总投资4979.92万元；</w:t>
      </w:r>
      <w:r>
        <w:rPr>
          <w:rFonts w:hint="eastAsia" w:ascii="Times New Roman" w:hAnsi="Times New Roman" w:eastAsia="仿宋" w:cs="Times New Roman"/>
          <w:sz w:val="32"/>
          <w:szCs w:val="32"/>
          <w:lang w:val="en-US" w:eastAsia="zh-CN"/>
        </w:rPr>
        <w:t>项目利用硝酸、氯化高锡、氢氧化铝粉、溶剂油为主要原料，通过浆液配置、成球、干燥、载体焙烧、筛分等工序生产</w:t>
      </w:r>
      <w:r>
        <w:rPr>
          <w:rFonts w:ascii="Times New Roman" w:hAnsi="Times New Roman" w:eastAsia="仿宋" w:cs="Times New Roman"/>
          <w:sz w:val="32"/>
          <w:szCs w:val="32"/>
        </w:rPr>
        <w:t>球形氧化铝载体500t/a</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主要建设内容为：</w:t>
      </w:r>
      <w:r>
        <w:rPr>
          <w:rFonts w:hint="eastAsia" w:ascii="Times New Roman" w:hAnsi="Times New Roman" w:eastAsia="仿宋" w:cs="Times New Roman"/>
          <w:sz w:val="32"/>
          <w:szCs w:val="32"/>
        </w:rPr>
        <w:t>新建一条</w:t>
      </w:r>
      <w:r>
        <w:rPr>
          <w:rFonts w:ascii="Times New Roman" w:hAnsi="Times New Roman" w:eastAsia="仿宋" w:cs="Times New Roman"/>
          <w:sz w:val="32"/>
          <w:szCs w:val="32"/>
        </w:rPr>
        <w:t>500t/a的球形氧化铝载体生产装置，配套建设</w:t>
      </w:r>
      <w:r>
        <w:rPr>
          <w:rFonts w:hint="eastAsia" w:ascii="Times New Roman" w:hAnsi="Times New Roman" w:eastAsia="仿宋" w:cs="Times New Roman"/>
          <w:sz w:val="32"/>
          <w:szCs w:val="32"/>
        </w:rPr>
        <w:t>1个废溶剂油储罐、产品库房、一般固废暂存库及环保工程，其余</w:t>
      </w:r>
      <w:r>
        <w:rPr>
          <w:rFonts w:ascii="Times New Roman" w:hAnsi="Times New Roman" w:eastAsia="仿宋" w:cs="Times New Roman"/>
          <w:sz w:val="32"/>
          <w:szCs w:val="32"/>
        </w:rPr>
        <w:t>公用、储运</w:t>
      </w:r>
      <w:r>
        <w:rPr>
          <w:rFonts w:hint="eastAsia" w:ascii="Times New Roman" w:hAnsi="Times New Roman" w:eastAsia="仿宋" w:cs="Times New Roman"/>
          <w:sz w:val="32"/>
          <w:szCs w:val="32"/>
        </w:rPr>
        <w:t>措施均依托现有工程</w:t>
      </w:r>
      <w:r>
        <w:rPr>
          <w:rFonts w:ascii="Times New Roman" w:hAnsi="Times New Roman" w:eastAsia="仿宋" w:cs="Times New Roman"/>
          <w:sz w:val="32"/>
          <w:szCs w:val="32"/>
        </w:rPr>
        <w:t>；根据湖南</w:t>
      </w:r>
      <w:r>
        <w:rPr>
          <w:rFonts w:hint="eastAsia" w:ascii="Times New Roman" w:hAnsi="Times New Roman" w:eastAsia="仿宋" w:cs="Times New Roman"/>
          <w:sz w:val="32"/>
          <w:szCs w:val="32"/>
        </w:rPr>
        <w:t>葆盛</w:t>
      </w:r>
      <w:r>
        <w:rPr>
          <w:rFonts w:ascii="Times New Roman" w:hAnsi="Times New Roman" w:eastAsia="仿宋" w:cs="Times New Roman"/>
          <w:sz w:val="32"/>
          <w:szCs w:val="32"/>
        </w:rPr>
        <w:t>环保有限公司编制的《</w:t>
      </w:r>
      <w:r>
        <w:rPr>
          <w:rFonts w:hint="eastAsia" w:ascii="Times New Roman" w:hAnsi="Times New Roman" w:eastAsia="仿宋" w:cs="Times New Roman"/>
          <w:sz w:val="32"/>
          <w:szCs w:val="32"/>
        </w:rPr>
        <w:t>中国石化催化剂有限公司长岭分公司</w:t>
      </w:r>
      <w:r>
        <w:rPr>
          <w:rFonts w:ascii="Times New Roman" w:hAnsi="Times New Roman" w:eastAsia="仿宋" w:cs="Times New Roman"/>
          <w:sz w:val="32"/>
          <w:szCs w:val="32"/>
        </w:rPr>
        <w:t>500t/a球形氧化铝载体生产装置环境影响报告书（报批稿）》基本内容、结论、专家审查意见及岳阳市生态环境局云溪分局预审意见，从环境保护角度考虑，我局原则同意你公司环境影响报告书中</w:t>
      </w:r>
      <w:r>
        <w:rPr>
          <w:rFonts w:hint="eastAsia" w:ascii="Times New Roman" w:hAnsi="Times New Roman" w:eastAsia="仿宋" w:cs="Times New Roman"/>
          <w:sz w:val="32"/>
          <w:szCs w:val="32"/>
          <w:lang w:eastAsia="zh-CN"/>
        </w:rPr>
        <w:t>所</w:t>
      </w:r>
      <w:r>
        <w:rPr>
          <w:rFonts w:hint="default" w:ascii="Times New Roman" w:hAnsi="Times New Roman" w:eastAsia="仿宋" w:cs="Times New Roman"/>
          <w:sz w:val="32"/>
          <w:szCs w:val="32"/>
          <w:lang w:val="en-US" w:eastAsia="zh-CN"/>
        </w:rPr>
        <w:t>列</w:t>
      </w:r>
      <w:r>
        <w:rPr>
          <w:rFonts w:hint="eastAsia" w:ascii="Times New Roman" w:hAnsi="Times New Roman" w:eastAsia="仿宋" w:cs="Times New Roman"/>
          <w:sz w:val="32"/>
          <w:szCs w:val="32"/>
          <w:lang w:val="en-US" w:eastAsia="zh-CN"/>
        </w:rPr>
        <w:t>建设</w:t>
      </w:r>
      <w:r>
        <w:rPr>
          <w:rFonts w:hint="default" w:ascii="Times New Roman" w:hAnsi="Times New Roman" w:eastAsia="仿宋" w:cs="Times New Roman"/>
          <w:sz w:val="32"/>
          <w:szCs w:val="32"/>
          <w:lang w:val="en-US" w:eastAsia="zh-CN"/>
        </w:rPr>
        <w:t>内</w:t>
      </w:r>
      <w:r>
        <w:rPr>
          <w:rFonts w:hint="eastAsia" w:ascii="Times New Roman" w:hAnsi="Times New Roman" w:eastAsia="仿宋" w:cs="Times New Roman"/>
          <w:sz w:val="32"/>
          <w:szCs w:val="32"/>
          <w:lang w:val="en-US" w:eastAsia="zh-CN"/>
        </w:rPr>
        <w:t>容</w:t>
      </w:r>
      <w:r>
        <w:rPr>
          <w:rFonts w:ascii="Times New Roman" w:hAnsi="Times New Roman" w:eastAsia="仿宋" w:cs="Times New Roman"/>
          <w:sz w:val="32"/>
          <w:szCs w:val="32"/>
        </w:rPr>
        <w:t>的环境影响评价结论和环境保护对策措施。</w:t>
      </w:r>
    </w:p>
    <w:p>
      <w:pPr>
        <w:spacing w:line="480" w:lineRule="exact"/>
        <w:ind w:firstLine="640" w:firstLineChars="200"/>
        <w:rPr>
          <w:rFonts w:ascii="Times New Roman" w:hAnsi="Times New Roman" w:eastAsia="仿宋" w:cs="Times New Roman"/>
          <w:sz w:val="32"/>
          <w:szCs w:val="32"/>
        </w:rPr>
        <w:sectPr>
          <w:footerReference r:id="rId3" w:type="default"/>
          <w:pgSz w:w="11906" w:h="16838"/>
          <w:pgMar w:top="1440" w:right="1576" w:bottom="1440" w:left="1633" w:header="851" w:footer="992" w:gutter="0"/>
          <w:cols w:space="0" w:num="1"/>
          <w:docGrid w:type="lines" w:linePitch="312" w:charSpace="0"/>
        </w:sectPr>
      </w:pPr>
      <w:r>
        <w:rPr>
          <w:rFonts w:ascii="Times New Roman" w:hAnsi="Times New Roman" w:eastAsia="仿宋" w:cs="Times New Roman"/>
          <w:sz w:val="32"/>
          <w:szCs w:val="32"/>
        </w:rPr>
        <w:t>二、认真落实专家及环境影响报告书中提出的各项污染防</w:t>
      </w:r>
    </w:p>
    <w:p>
      <w:pPr>
        <w:spacing w:line="480" w:lineRule="exact"/>
        <w:rPr>
          <w:rFonts w:ascii="Times New Roman" w:hAnsi="Times New Roman" w:eastAsia="仿宋" w:cs="Times New Roman"/>
          <w:sz w:val="32"/>
          <w:szCs w:val="32"/>
        </w:rPr>
      </w:pPr>
      <w:bookmarkStart w:id="1" w:name="_GoBack"/>
      <w:bookmarkEnd w:id="1"/>
      <w:r>
        <w:rPr>
          <w:rFonts w:ascii="Times New Roman" w:hAnsi="Times New Roman" w:eastAsia="仿宋" w:cs="Times New Roman"/>
          <w:sz w:val="32"/>
          <w:szCs w:val="32"/>
        </w:rPr>
        <w:t>治措施，并应着重注意以下问题：</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施工期污染防治。采取设置围挡、物料遮盖、定期洒水等措施控制扬尘；通过选用低噪声设备，控制施工时间等措施控制施工噪声影响；建筑垃圾运至指定场所处置；施工废水应尽量回用，生活污水排入园区污水管网。</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2、废水污染防治工作。严格按照“雨污分流、清污分流、污污分流”的原则规范建设</w:t>
      </w:r>
      <w:r>
        <w:rPr>
          <w:rFonts w:hint="eastAsia" w:ascii="Times New Roman" w:hAnsi="Times New Roman" w:eastAsia="仿宋" w:cs="Times New Roman"/>
          <w:sz w:val="32"/>
          <w:szCs w:val="32"/>
          <w:lang w:val="en-US" w:eastAsia="zh-CN"/>
        </w:rPr>
        <w:t>管理</w:t>
      </w:r>
      <w:r>
        <w:rPr>
          <w:rFonts w:ascii="Times New Roman" w:hAnsi="Times New Roman" w:eastAsia="仿宋" w:cs="Times New Roman"/>
          <w:sz w:val="32"/>
          <w:szCs w:val="32"/>
        </w:rPr>
        <w:t>厂区雨水及污水管网。项目地面清洗废水、初期雨水</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成球废水</w:t>
      </w:r>
      <w:r>
        <w:rPr>
          <w:rFonts w:ascii="Times New Roman" w:hAnsi="Times New Roman" w:eastAsia="仿宋" w:cs="Times New Roman"/>
          <w:sz w:val="32"/>
          <w:szCs w:val="32"/>
        </w:rPr>
        <w:t>、干燥尾气冷凝水、废气处理废水和检修废水经</w:t>
      </w:r>
      <w:r>
        <w:rPr>
          <w:rFonts w:hint="eastAsia" w:ascii="Times New Roman" w:hAnsi="Times New Roman" w:eastAsia="仿宋" w:cs="Times New Roman"/>
          <w:sz w:val="32"/>
          <w:szCs w:val="32"/>
          <w:lang w:val="en-US" w:eastAsia="zh-CN"/>
        </w:rPr>
        <w:t>厂区污水处理系统</w:t>
      </w:r>
      <w:r>
        <w:rPr>
          <w:rFonts w:hint="eastAsia" w:ascii="Times New Roman" w:hAnsi="Times New Roman" w:eastAsia="仿宋" w:cs="Times New Roman"/>
          <w:sz w:val="32"/>
          <w:szCs w:val="32"/>
        </w:rPr>
        <w:t>处理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满足</w:t>
      </w:r>
      <w:r>
        <w:rPr>
          <w:rFonts w:hint="eastAsia" w:ascii="Times New Roman" w:hAnsi="Times New Roman" w:eastAsia="仿宋" w:cs="Times New Roman"/>
          <w:sz w:val="32"/>
          <w:szCs w:val="32"/>
        </w:rPr>
        <w:t>《城镇污水处理厂污染物排放标准》（</w:t>
      </w:r>
      <w:r>
        <w:rPr>
          <w:rFonts w:ascii="Times New Roman" w:hAnsi="Times New Roman" w:eastAsia="仿宋" w:cs="Times New Roman"/>
          <w:sz w:val="32"/>
          <w:szCs w:val="32"/>
        </w:rPr>
        <w:t>GB18918 -2002）一级A和《石油化学工业污染物排放标准》（GB31571-2015）中表2特别排放限值中较严标准</w:t>
      </w:r>
      <w:r>
        <w:rPr>
          <w:rFonts w:hint="eastAsia" w:ascii="Times New Roman" w:hAnsi="Times New Roman" w:eastAsia="仿宋" w:cs="Times New Roman"/>
          <w:sz w:val="32"/>
          <w:szCs w:val="32"/>
          <w:lang w:val="en-US" w:eastAsia="zh-CN"/>
        </w:rPr>
        <w:t>后，排入长江；</w:t>
      </w:r>
      <w:r>
        <w:rPr>
          <w:rFonts w:hint="eastAsia" w:ascii="Times New Roman" w:hAnsi="Times New Roman" w:eastAsia="仿宋" w:cs="Times New Roman"/>
          <w:sz w:val="32"/>
          <w:szCs w:val="32"/>
        </w:rPr>
        <w:t>生活废水</w:t>
      </w:r>
      <w:r>
        <w:rPr>
          <w:rFonts w:ascii="Times New Roman" w:hAnsi="Times New Roman" w:eastAsia="仿宋" w:cs="Times New Roman"/>
          <w:sz w:val="32"/>
          <w:szCs w:val="32"/>
        </w:rPr>
        <w:t>经</w:t>
      </w:r>
      <w:r>
        <w:rPr>
          <w:rFonts w:hint="eastAsia" w:ascii="Times New Roman" w:hAnsi="Times New Roman" w:eastAsia="仿宋" w:cs="Times New Roman"/>
          <w:sz w:val="32"/>
          <w:szCs w:val="32"/>
        </w:rPr>
        <w:t>管网送园区生活污水处理厂处理</w:t>
      </w:r>
      <w:r>
        <w:rPr>
          <w:rFonts w:ascii="Times New Roman" w:hAnsi="Times New Roman" w:eastAsia="仿宋" w:cs="Times New Roman"/>
          <w:sz w:val="32"/>
          <w:szCs w:val="32"/>
        </w:rPr>
        <w:t>，达标排放。</w:t>
      </w:r>
    </w:p>
    <w:p>
      <w:pPr>
        <w:spacing w:line="4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按照“源头控制、分区防治、污染监控、应急响应”相结合的原则落实报告书提出地下水污染防治措施，做好生产车间、仓库等区域的防渗工作，强化管理，避免由于泄漏等造成污染物下渗污染地下水；根据《环境影响评价技术导则地下水环境》（HJ610-2016）要求，跟踪监测地下水质情况，确保地下水安全。</w:t>
      </w:r>
    </w:p>
    <w:p>
      <w:pPr>
        <w:numPr>
          <w:ilvl w:val="0"/>
          <w:numId w:val="1"/>
        </w:numPr>
        <w:spacing w:line="4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废气污染防治工作。</w:t>
      </w:r>
      <w:r>
        <w:rPr>
          <w:rFonts w:hint="eastAsia" w:ascii="仿宋" w:hAnsi="仿宋" w:eastAsia="仿宋" w:cs="仿宋"/>
          <w:sz w:val="32"/>
          <w:szCs w:val="32"/>
          <w:lang w:eastAsia="zh-CN"/>
        </w:rPr>
        <w:t>严格控制项目废气的污染，采用密闭生产装置，</w:t>
      </w:r>
      <w:r>
        <w:rPr>
          <w:rFonts w:ascii="Times New Roman" w:hAnsi="Times New Roman" w:eastAsia="仿宋" w:cs="Times New Roman"/>
          <w:sz w:val="32"/>
          <w:szCs w:val="32"/>
        </w:rPr>
        <w:t>强日常监管，定期对设备、管道、阀门、法兰等进行维护和管理，杜绝生产过程中的跑、冒、滴、漏，最大限度减少废气的无组织排放</w:t>
      </w:r>
      <w:r>
        <w:rPr>
          <w:rFonts w:hint="eastAsia" w:ascii="仿宋" w:hAnsi="仿宋" w:eastAsia="仿宋" w:cs="仿宋"/>
          <w:sz w:val="32"/>
          <w:szCs w:val="32"/>
          <w:lang w:eastAsia="zh-CN"/>
        </w:rPr>
        <w:t>，</w:t>
      </w:r>
      <w:r>
        <w:rPr>
          <w:rFonts w:ascii="Times New Roman" w:hAnsi="Times New Roman" w:eastAsia="仿宋" w:cs="Times New Roman"/>
          <w:sz w:val="32"/>
          <w:szCs w:val="32"/>
        </w:rPr>
        <w:t>厂界颗粒物</w:t>
      </w:r>
      <w:r>
        <w:rPr>
          <w:rFonts w:hint="eastAsia" w:ascii="Times New Roman" w:hAnsi="Times New Roman" w:eastAsia="仿宋" w:cs="Times New Roman"/>
          <w:sz w:val="32"/>
          <w:szCs w:val="32"/>
        </w:rPr>
        <w:t>、非甲烷总烃</w:t>
      </w:r>
      <w:r>
        <w:rPr>
          <w:rFonts w:ascii="Times New Roman" w:hAnsi="Times New Roman" w:eastAsia="仿宋" w:cs="Times New Roman"/>
          <w:sz w:val="32"/>
          <w:szCs w:val="32"/>
        </w:rPr>
        <w:t>执行《大气污染物综合排放标准》（GB16297-1996）无组织排放监控浓度限值</w:t>
      </w:r>
      <w:r>
        <w:rPr>
          <w:rFonts w:hint="eastAsia" w:ascii="Times New Roman" w:hAnsi="Times New Roman" w:eastAsia="仿宋" w:cs="Times New Roman"/>
          <w:sz w:val="32"/>
          <w:szCs w:val="32"/>
        </w:rPr>
        <w:t>，</w:t>
      </w:r>
      <w:r>
        <w:rPr>
          <w:rFonts w:ascii="Times New Roman" w:hAnsi="Times New Roman" w:eastAsia="仿宋" w:cs="Times New Roman"/>
          <w:sz w:val="32"/>
          <w:szCs w:val="32"/>
        </w:rPr>
        <w:t>氨、氯化氢执行《无机化学工业污染物排放标准》（GB31573-2015）中表5标准</w:t>
      </w:r>
      <w:r>
        <w:rPr>
          <w:rFonts w:hint="eastAsia" w:ascii="Times New Roman" w:hAnsi="Times New Roman" w:eastAsia="仿宋" w:cs="Times New Roman"/>
          <w:sz w:val="32"/>
          <w:szCs w:val="32"/>
        </w:rPr>
        <w:t>，</w:t>
      </w:r>
      <w:r>
        <w:rPr>
          <w:rFonts w:ascii="Times New Roman" w:hAnsi="Times New Roman" w:eastAsia="仿宋" w:cs="Times New Roman"/>
          <w:sz w:val="32"/>
          <w:szCs w:val="32"/>
        </w:rPr>
        <w:t>厂区内无组织</w:t>
      </w:r>
      <w:r>
        <w:rPr>
          <w:rFonts w:hint="eastAsia" w:ascii="Times New Roman" w:hAnsi="Times New Roman" w:eastAsia="仿宋" w:cs="Times New Roman"/>
          <w:sz w:val="32"/>
          <w:szCs w:val="32"/>
        </w:rPr>
        <w:t>挥发性有机物</w:t>
      </w:r>
      <w:r>
        <w:rPr>
          <w:rFonts w:ascii="Times New Roman" w:hAnsi="Times New Roman" w:eastAsia="仿宋" w:cs="Times New Roman"/>
          <w:sz w:val="32"/>
          <w:szCs w:val="32"/>
        </w:rPr>
        <w:t>排放执行《挥发性有机物无组织排放控制标准》（GB37822-2019）表A.1中标准限值</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硝酸调配废气经处理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通过15m高</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排气筒排放；</w:t>
      </w:r>
      <w:r>
        <w:rPr>
          <w:rFonts w:ascii="Times New Roman" w:hAnsi="Times New Roman" w:eastAsia="仿宋" w:cs="Times New Roman"/>
          <w:sz w:val="32"/>
          <w:szCs w:val="32"/>
        </w:rPr>
        <w:t>氢氧化铝粉尘、筛分粉尘、包装粉尘等</w:t>
      </w:r>
      <w:r>
        <w:rPr>
          <w:rFonts w:hint="eastAsia" w:ascii="Times New Roman" w:hAnsi="Times New Roman" w:eastAsia="仿宋" w:cs="Times New Roman"/>
          <w:sz w:val="32"/>
          <w:szCs w:val="32"/>
        </w:rPr>
        <w:t>含尘废气经</w:t>
      </w:r>
      <w:r>
        <w:rPr>
          <w:rFonts w:hint="eastAsia" w:ascii="Times New Roman" w:hAnsi="Times New Roman" w:eastAsia="仿宋" w:cs="Times New Roman"/>
          <w:sz w:val="32"/>
          <w:szCs w:val="32"/>
          <w:lang w:val="en-US" w:eastAsia="zh-CN"/>
        </w:rPr>
        <w:t>处理</w:t>
      </w:r>
      <w:r>
        <w:rPr>
          <w:rFonts w:hint="eastAsia" w:ascii="Times New Roman" w:hAnsi="Times New Roman" w:eastAsia="仿宋" w:cs="Times New Roman"/>
          <w:sz w:val="32"/>
          <w:szCs w:val="32"/>
        </w:rPr>
        <w:t>，通过20m高</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排气筒排放；</w:t>
      </w:r>
      <w:r>
        <w:rPr>
          <w:rFonts w:ascii="Times New Roman" w:hAnsi="Times New Roman" w:eastAsia="仿宋" w:cs="Times New Roman"/>
          <w:sz w:val="32"/>
          <w:szCs w:val="32"/>
        </w:rPr>
        <w:t>成球废气、干燥尾气</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氨水调配废气、</w:t>
      </w:r>
      <w:r>
        <w:rPr>
          <w:rFonts w:ascii="Times New Roman" w:hAnsi="Times New Roman" w:eastAsia="仿宋" w:cs="Times New Roman"/>
          <w:sz w:val="32"/>
          <w:szCs w:val="32"/>
        </w:rPr>
        <w:t>焙烧尾气</w:t>
      </w:r>
      <w:r>
        <w:rPr>
          <w:rFonts w:hint="eastAsia" w:ascii="Times New Roman" w:hAnsi="Times New Roman" w:eastAsia="仿宋" w:cs="Times New Roman"/>
          <w:sz w:val="32"/>
          <w:szCs w:val="32"/>
          <w:lang w:val="en-US" w:eastAsia="zh-CN"/>
        </w:rPr>
        <w:t>经处理，通过</w:t>
      </w:r>
      <w:r>
        <w:rPr>
          <w:rFonts w:hint="eastAsia" w:ascii="Times New Roman" w:hAnsi="Times New Roman" w:eastAsia="仿宋" w:cs="Times New Roman"/>
          <w:sz w:val="32"/>
          <w:szCs w:val="32"/>
        </w:rPr>
        <w:t>26m高</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排气筒排放</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各排气筒中</w:t>
      </w:r>
      <w:r>
        <w:rPr>
          <w:rFonts w:ascii="Times New Roman" w:hAnsi="Times New Roman" w:eastAsia="仿宋" w:cs="Times New Roman"/>
          <w:sz w:val="32"/>
          <w:szCs w:val="32"/>
        </w:rPr>
        <w:t>SO</w:t>
      </w:r>
      <w:r>
        <w:rPr>
          <w:rFonts w:ascii="Times New Roman" w:hAnsi="Times New Roman" w:eastAsia="仿宋" w:cs="Times New Roman"/>
          <w:sz w:val="32"/>
          <w:szCs w:val="32"/>
          <w:vertAlign w:val="subscript"/>
        </w:rPr>
        <w:t>2</w:t>
      </w:r>
      <w:r>
        <w:rPr>
          <w:rFonts w:ascii="Times New Roman" w:hAnsi="Times New Roman" w:eastAsia="仿宋" w:cs="Times New Roman"/>
          <w:sz w:val="32"/>
          <w:szCs w:val="32"/>
        </w:rPr>
        <w:t>、NO</w:t>
      </w:r>
      <w:r>
        <w:rPr>
          <w:rFonts w:ascii="Times New Roman" w:hAnsi="Times New Roman" w:eastAsia="仿宋" w:cs="Times New Roman"/>
          <w:sz w:val="32"/>
          <w:szCs w:val="32"/>
          <w:vertAlign w:val="subscript"/>
        </w:rPr>
        <w:t>X</w:t>
      </w:r>
      <w:r>
        <w:rPr>
          <w:rFonts w:ascii="Times New Roman" w:hAnsi="Times New Roman" w:eastAsia="仿宋" w:cs="Times New Roman"/>
          <w:sz w:val="32"/>
          <w:szCs w:val="32"/>
        </w:rPr>
        <w:t>、颗粒物执行《无机化学工业污染物排放标准》（GB31573-2015）中表4特别排放限值标准，HCl、NH</w:t>
      </w:r>
      <w:r>
        <w:rPr>
          <w:rFonts w:ascii="Times New Roman" w:hAnsi="Times New Roman" w:eastAsia="仿宋" w:cs="Times New Roman"/>
          <w:sz w:val="32"/>
          <w:szCs w:val="32"/>
          <w:vertAlign w:val="subscript"/>
        </w:rPr>
        <w:t>3</w:t>
      </w:r>
      <w:r>
        <w:rPr>
          <w:rFonts w:ascii="Times New Roman" w:hAnsi="Times New Roman" w:eastAsia="仿宋" w:cs="Times New Roman"/>
          <w:sz w:val="32"/>
          <w:szCs w:val="32"/>
        </w:rPr>
        <w:t>执行《无机化学工业污染物排放标准》（GB31573-2015）中表3标准</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VOCs排放浓度参照执行天津市《工业企业挥发性有机物排放控制标准》（DB12/524-2020）表1中其他行业</w:t>
      </w:r>
      <w:r>
        <w:rPr>
          <w:rFonts w:hint="eastAsia" w:ascii="Times New Roman" w:hAnsi="Times New Roman" w:eastAsia="仿宋" w:cs="Times New Roman"/>
          <w:sz w:val="32"/>
          <w:szCs w:val="32"/>
          <w:lang w:val="en-US" w:eastAsia="zh-CN"/>
        </w:rPr>
        <w:t>标准</w:t>
      </w:r>
      <w:r>
        <w:rPr>
          <w:rFonts w:ascii="Times New Roman" w:hAnsi="Times New Roman" w:eastAsia="仿宋" w:cs="Times New Roman"/>
          <w:sz w:val="32"/>
          <w:szCs w:val="32"/>
        </w:rPr>
        <w:t>。</w:t>
      </w:r>
    </w:p>
    <w:p>
      <w:pPr>
        <w:spacing w:line="4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4、噪声污染防治工作。采用低噪声设备，对产生噪声的设备和工序进行合理布局，对主要的声源设备泵、各类机组等采取隔声、减震等措施，确保厂界噪声达到《工业企业厂界环境噪声排放标准》(GB12348-2008)中的3类标准要求。</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5、固体废物防治工作。按“无害化、减量化、资源化”原则，做好固体废物的分类收集和综合利用，并建立固体废物产生、储存、处置管理台账；严格按《</w:t>
      </w:r>
      <w:bookmarkStart w:id="0" w:name="_Hlk70352465"/>
      <w:r>
        <w:rPr>
          <w:rFonts w:ascii="Times New Roman" w:hAnsi="Times New Roman" w:eastAsia="仿宋" w:cs="Times New Roman"/>
          <w:sz w:val="32"/>
          <w:szCs w:val="32"/>
        </w:rPr>
        <w:t>危险废物</w:t>
      </w:r>
      <w:bookmarkEnd w:id="0"/>
      <w:r>
        <w:rPr>
          <w:rFonts w:ascii="Times New Roman" w:hAnsi="Times New Roman" w:eastAsia="仿宋" w:cs="Times New Roman"/>
          <w:sz w:val="32"/>
          <w:szCs w:val="32"/>
        </w:rPr>
        <w:t>贮存污染控制标准（GB18597-2001）》及2013年修改单相关要求</w:t>
      </w:r>
      <w:r>
        <w:rPr>
          <w:rFonts w:hint="eastAsia" w:ascii="Times New Roman" w:hAnsi="Times New Roman" w:eastAsia="仿宋" w:cs="Times New Roman"/>
          <w:sz w:val="32"/>
          <w:szCs w:val="32"/>
        </w:rPr>
        <w:t>进行管理</w:t>
      </w:r>
      <w:r>
        <w:rPr>
          <w:rFonts w:ascii="Times New Roman" w:hAnsi="Times New Roman" w:eastAsia="仿宋" w:cs="Times New Roman"/>
          <w:sz w:val="32"/>
          <w:szCs w:val="32"/>
        </w:rPr>
        <w:t>，</w:t>
      </w:r>
      <w:r>
        <w:rPr>
          <w:rFonts w:hint="eastAsia" w:ascii="Times New Roman" w:hAnsi="Times New Roman" w:eastAsia="仿宋" w:cs="Times New Roman"/>
          <w:sz w:val="32"/>
          <w:szCs w:val="32"/>
        </w:rPr>
        <w:t>废溶剂油、聚结器及过滤装置滤芯、沾染危险化学品的包装桶及废催化剂</w:t>
      </w:r>
      <w:r>
        <w:rPr>
          <w:rFonts w:ascii="Times New Roman" w:hAnsi="Times New Roman" w:eastAsia="仿宋" w:cs="Times New Roman"/>
          <w:sz w:val="32"/>
          <w:szCs w:val="32"/>
        </w:rPr>
        <w:t>等危险废物交有资质单位处置，并执行转移联单制度；一般固废按《</w:t>
      </w:r>
      <w:r>
        <w:rPr>
          <w:rFonts w:hint="eastAsia" w:ascii="Times New Roman" w:hAnsi="Times New Roman" w:eastAsia="仿宋" w:cs="Times New Roman"/>
          <w:sz w:val="32"/>
          <w:szCs w:val="32"/>
        </w:rPr>
        <w:t>一般工业固体废物贮存和填埋污染控制标准</w:t>
      </w:r>
      <w:r>
        <w:rPr>
          <w:rFonts w:ascii="Times New Roman" w:hAnsi="Times New Roman" w:eastAsia="仿宋" w:cs="Times New Roman"/>
          <w:sz w:val="32"/>
          <w:szCs w:val="32"/>
        </w:rPr>
        <w:t>》（GB18599-2020）要求贮存、妥善处置；生活垃圾由环卫部门定期清运。</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6、加强营运期风险防范。严格落实报告书提出的各项环境风险防范措施，按照《突发环境事件应急管理办法》修订完善突发环境事件应急预案，储备风险救助物资并组织演练，杜绝环境风险事故发生。</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7、加强环境管理，建立健全污染防治设施运行管理台帐，设专门的环保机构及环保人员，确保各项污染防治设施的正常运行，各类污染物稳定达标排放。</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三、你公司应收到本批复后15个工作日内，将批复及批准的环评报告文件送岳阳市生态环境局云溪分局、湖南</w:t>
      </w:r>
      <w:r>
        <w:rPr>
          <w:rFonts w:hint="eastAsia" w:ascii="Times New Roman" w:hAnsi="Times New Roman" w:eastAsia="仿宋" w:cs="Times New Roman"/>
          <w:sz w:val="32"/>
          <w:szCs w:val="32"/>
        </w:rPr>
        <w:t>葆盛</w:t>
      </w:r>
      <w:r>
        <w:rPr>
          <w:rFonts w:ascii="Times New Roman" w:hAnsi="Times New Roman" w:eastAsia="仿宋" w:cs="Times New Roman"/>
          <w:sz w:val="32"/>
          <w:szCs w:val="32"/>
        </w:rPr>
        <w:t>环保有限公司。</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四、请岳阳市生态环境局云溪分局负责项目建设和运营期的日常环境监管。</w:t>
      </w:r>
    </w:p>
    <w:p>
      <w:pPr>
        <w:spacing w:line="480" w:lineRule="exact"/>
        <w:ind w:firstLine="640" w:firstLineChars="200"/>
        <w:rPr>
          <w:rFonts w:ascii="Times New Roman" w:hAnsi="Times New Roman" w:eastAsia="仿宋" w:cs="Times New Roman"/>
          <w:sz w:val="32"/>
          <w:szCs w:val="32"/>
        </w:rPr>
      </w:pPr>
    </w:p>
    <w:p>
      <w:pPr>
        <w:spacing w:line="480" w:lineRule="exact"/>
        <w:ind w:firstLine="640" w:firstLineChars="200"/>
        <w:rPr>
          <w:rFonts w:ascii="Times New Roman" w:hAnsi="Times New Roman" w:eastAsia="仿宋" w:cs="Times New Roman"/>
          <w:sz w:val="32"/>
          <w:szCs w:val="32"/>
        </w:rPr>
      </w:pPr>
    </w:p>
    <w:p>
      <w:pPr>
        <w:spacing w:line="480" w:lineRule="exact"/>
        <w:ind w:firstLine="640" w:firstLineChars="200"/>
        <w:rPr>
          <w:rFonts w:ascii="Times New Roman" w:hAnsi="Times New Roman" w:eastAsia="仿宋" w:cs="Times New Roman"/>
          <w:sz w:val="32"/>
          <w:szCs w:val="32"/>
        </w:rPr>
      </w:pPr>
    </w:p>
    <w:p>
      <w:pPr>
        <w:spacing w:line="480" w:lineRule="exact"/>
        <w:ind w:firstLine="640" w:firstLineChars="200"/>
        <w:rPr>
          <w:rFonts w:ascii="Times New Roman" w:hAnsi="Times New Roman" w:eastAsia="仿宋" w:cs="Times New Roman"/>
          <w:sz w:val="32"/>
          <w:szCs w:val="32"/>
        </w:rPr>
      </w:pPr>
    </w:p>
    <w:p>
      <w:pPr>
        <w:spacing w:line="480" w:lineRule="exact"/>
        <w:ind w:firstLine="640" w:firstLineChars="2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岳阳市生态环境局</w:t>
      </w:r>
    </w:p>
    <w:p>
      <w:pPr>
        <w:spacing w:line="480" w:lineRule="exact"/>
        <w:ind w:firstLine="640" w:firstLineChars="2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2021年</w:t>
      </w: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31</w:t>
      </w:r>
      <w:r>
        <w:rPr>
          <w:rFonts w:ascii="Times New Roman" w:hAnsi="Times New Roman" w:eastAsia="仿宋" w:cs="Times New Roman"/>
          <w:sz w:val="32"/>
          <w:szCs w:val="32"/>
        </w:rPr>
        <w:t>日</w:t>
      </w:r>
    </w:p>
    <w:sectPr>
      <w:footerReference r:id="rId4" w:type="default"/>
      <w:pgSz w:w="11906" w:h="16838"/>
      <w:pgMar w:top="1440" w:right="1576" w:bottom="1440" w:left="1633"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02w3LGAQAAjwMAAA4AAABkcnMvZTJvRG9jLnhtbK1TS44TMRDdI3EH&#10;y3viTpB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pkngzEtHD3758f3y8/fl1zf2&#10;NtvTRSzp1GN8gClDCrPWvgGXv6SC9YOl56uluk9M0eZyvVqvC3JbUW1OCEc8XY+A6U4Hx3JQcaA3&#10;G6yUpw+YxqPzkdzN+rz6cGusHat5R2SaI7EcpX7fT2z3oT6TRJp4Am8DfOWso/euuKfx5szee7Iz&#10;j8YcwBzs50B6RRcrPvLC+P6YqP3ALTcbO0wc6J0GddNM5UH4Ox9OPf1H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TbDcsYBAACPAwAADgAAAAAAAAABACAAAAAf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A1649"/>
    <w:rsid w:val="182149AC"/>
    <w:rsid w:val="2F871455"/>
    <w:rsid w:val="4B4A1816"/>
    <w:rsid w:val="76C46228"/>
    <w:rsid w:val="7CE2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批注框文本 Char"/>
    <w:basedOn w:val="6"/>
    <w:link w:val="2"/>
    <w:qFormat/>
    <w:uiPriority w:val="99"/>
    <w:rPr>
      <w:sz w:val="18"/>
      <w:szCs w:val="18"/>
    </w:rPr>
  </w:style>
  <w:style w:type="character" w:customStyle="1" w:styleId="9">
    <w:name w:val="页眉 Char"/>
    <w:basedOn w:val="6"/>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LVKJ.taobao.com</Company>
  <Pages>4</Pages>
  <Words>1926</Words>
  <Characters>2133</Characters>
  <Paragraphs>30</Paragraphs>
  <TotalTime>1</TotalTime>
  <ScaleCrop>false</ScaleCrop>
  <LinksUpToDate>false</LinksUpToDate>
  <CharactersWithSpaces>2185</CharactersWithSpaces>
  <Application>WPS Office_11.1.0.10931_F1E327BC-269C-435d-A152-05C5408002CA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2021-08-18T06:32:00Z</dcterms:created>
  <dc:creator>Administrator</dc:creator>
  <cp:lastModifiedBy>王志勤</cp:lastModifiedBy>
  <dcterms:modified xsi:type="dcterms:W3CDTF">2021-08-30T23:57:31Z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2052-11.1.0.10931</vt:lpwstr>
  </property>
  <property fmtid="{D5CDD505-2E9C-101B-9397-08002B2CF9AE}" pid="3" name="ICV">
    <vt:lpwstr>BA11C3B599DB4DA789213E7805E4F677</vt:lpwstr>
  </property>
</Properties>
</file>