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FD" w:rsidRDefault="00F62F81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color w:val="000000"/>
          <w:kern w:val="2"/>
          <w:sz w:val="36"/>
        </w:rPr>
        <w:t xml:space="preserve">                                               </w:t>
      </w:r>
    </w:p>
    <w:p w:rsidR="00D961FD" w:rsidRDefault="00D961F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D961FD" w:rsidRDefault="00D961FD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D961FD" w:rsidRDefault="00D961FD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D961FD" w:rsidRDefault="00D961FD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D961FD" w:rsidRDefault="00D961FD">
      <w:pPr>
        <w:pStyle w:val="WPSPlain"/>
        <w:spacing w:line="400" w:lineRule="exact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D961FD" w:rsidRDefault="00F62F81">
      <w:pPr>
        <w:pStyle w:val="WPSPlain"/>
        <w:spacing w:afterLines="50" w:after="156" w:line="400" w:lineRule="exact"/>
        <w:jc w:val="right"/>
        <w:textAlignment w:val="top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eastAsia="楷体_GB2312" w:hint="eastAsia"/>
          <w:color w:val="000000"/>
          <w:sz w:val="30"/>
          <w:szCs w:val="30"/>
        </w:rPr>
        <w:t xml:space="preserve">                                     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岳环评</w:t>
      </w:r>
      <w:proofErr w:type="gramEnd"/>
      <w:r w:rsidRPr="00253629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[2020</w:t>
      </w:r>
      <w:r w:rsidR="00FA7029" w:rsidRPr="00253629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]</w:t>
      </w:r>
      <w:r w:rsidR="00FA7029" w:rsidRPr="00DA3C2C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77</w:t>
      </w:r>
      <w:r w:rsidRPr="00DA3C2C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号</w:t>
      </w:r>
    </w:p>
    <w:p w:rsidR="00D961FD" w:rsidRDefault="00F62F81" w:rsidP="00253629">
      <w:pPr>
        <w:autoSpaceDE w:val="0"/>
        <w:autoSpaceDN w:val="0"/>
        <w:adjustRightInd w:val="0"/>
        <w:spacing w:line="436" w:lineRule="exact"/>
        <w:ind w:left="177" w:firstLineChars="0" w:hanging="177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关于湖南倍特尔新材料有限公司1500吨/年分散剂、1500吨/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年流平剂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、2000吨/年消泡剂、5000吨/年水性树脂、5000吨/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年功能色浆项目</w:t>
      </w:r>
      <w:proofErr w:type="gramEnd"/>
      <w:r>
        <w:rPr>
          <w:rFonts w:ascii="黑体" w:eastAsia="黑体" w:hAnsi="黑体"/>
          <w:b/>
          <w:sz w:val="36"/>
          <w:szCs w:val="36"/>
        </w:rPr>
        <w:t>环境影响报告书</w:t>
      </w:r>
      <w:r>
        <w:rPr>
          <w:rFonts w:ascii="黑体" w:eastAsia="黑体" w:hAnsi="黑体" w:hint="eastAsia"/>
          <w:b/>
          <w:sz w:val="36"/>
          <w:szCs w:val="36"/>
        </w:rPr>
        <w:t>的批复</w:t>
      </w:r>
    </w:p>
    <w:p w:rsidR="00D961FD" w:rsidRDefault="00D961FD" w:rsidP="00253629">
      <w:pPr>
        <w:pStyle w:val="WPSPlain"/>
        <w:spacing w:line="436" w:lineRule="exact"/>
        <w:ind w:left="177" w:hangingChars="49" w:hanging="177"/>
        <w:jc w:val="center"/>
        <w:textAlignment w:val="top"/>
        <w:rPr>
          <w:rFonts w:ascii="黑体" w:eastAsia="黑体" w:hAnsi="黑体" w:cs="黑体"/>
          <w:b/>
          <w:color w:val="FF0000"/>
          <w:sz w:val="36"/>
          <w:szCs w:val="36"/>
        </w:rPr>
      </w:pPr>
    </w:p>
    <w:p w:rsidR="00D961FD" w:rsidRDefault="00F62F81" w:rsidP="00253629">
      <w:pPr>
        <w:spacing w:line="436" w:lineRule="exact"/>
        <w:ind w:firstLineChars="6" w:firstLine="19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湖南倍特尔新材料有限公司：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你公司《</w:t>
      </w:r>
      <w:r w:rsidR="00E269E0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申请</w:t>
      </w:r>
      <w:r w:rsidR="00E269E0">
        <w:rPr>
          <w:rFonts w:eastAsia="仿宋" w:hint="eastAsia"/>
          <w:sz w:val="32"/>
          <w:szCs w:val="32"/>
        </w:rPr>
        <w:t>&lt;</w:t>
      </w:r>
      <w:r w:rsidR="00E269E0" w:rsidRPr="00E269E0">
        <w:rPr>
          <w:rFonts w:eastAsia="仿宋" w:hint="eastAsia"/>
          <w:sz w:val="32"/>
          <w:szCs w:val="32"/>
        </w:rPr>
        <w:t>1500</w:t>
      </w:r>
      <w:r w:rsidR="00E269E0" w:rsidRPr="00E269E0">
        <w:rPr>
          <w:rFonts w:eastAsia="仿宋" w:hint="eastAsia"/>
          <w:sz w:val="32"/>
          <w:szCs w:val="32"/>
        </w:rPr>
        <w:t>吨</w:t>
      </w:r>
      <w:r w:rsidR="00E269E0" w:rsidRPr="00E269E0">
        <w:rPr>
          <w:rFonts w:eastAsia="仿宋" w:hint="eastAsia"/>
          <w:sz w:val="32"/>
          <w:szCs w:val="32"/>
        </w:rPr>
        <w:t>/</w:t>
      </w:r>
      <w:r w:rsidR="00E269E0" w:rsidRPr="00E269E0">
        <w:rPr>
          <w:rFonts w:eastAsia="仿宋" w:hint="eastAsia"/>
          <w:sz w:val="32"/>
          <w:szCs w:val="32"/>
        </w:rPr>
        <w:t>年分散剂、</w:t>
      </w:r>
      <w:r w:rsidR="00E269E0" w:rsidRPr="00E269E0">
        <w:rPr>
          <w:rFonts w:eastAsia="仿宋" w:hint="eastAsia"/>
          <w:sz w:val="32"/>
          <w:szCs w:val="32"/>
        </w:rPr>
        <w:t>1500</w:t>
      </w:r>
      <w:r w:rsidR="00E269E0" w:rsidRPr="00E269E0">
        <w:rPr>
          <w:rFonts w:eastAsia="仿宋" w:hint="eastAsia"/>
          <w:sz w:val="32"/>
          <w:szCs w:val="32"/>
        </w:rPr>
        <w:t>吨</w:t>
      </w:r>
      <w:r w:rsidR="00E269E0" w:rsidRPr="00E269E0">
        <w:rPr>
          <w:rFonts w:eastAsia="仿宋" w:hint="eastAsia"/>
          <w:sz w:val="32"/>
          <w:szCs w:val="32"/>
        </w:rPr>
        <w:t>/</w:t>
      </w:r>
      <w:r w:rsidR="00E269E0" w:rsidRPr="00E269E0">
        <w:rPr>
          <w:rFonts w:eastAsia="仿宋" w:hint="eastAsia"/>
          <w:sz w:val="32"/>
          <w:szCs w:val="32"/>
        </w:rPr>
        <w:t>年流平剂、</w:t>
      </w:r>
      <w:r w:rsidR="00E269E0" w:rsidRPr="00E269E0">
        <w:rPr>
          <w:rFonts w:eastAsia="仿宋" w:hint="eastAsia"/>
          <w:sz w:val="32"/>
          <w:szCs w:val="32"/>
        </w:rPr>
        <w:t>2000</w:t>
      </w:r>
      <w:r w:rsidR="00E269E0" w:rsidRPr="00E269E0">
        <w:rPr>
          <w:rFonts w:eastAsia="仿宋" w:hint="eastAsia"/>
          <w:sz w:val="32"/>
          <w:szCs w:val="32"/>
        </w:rPr>
        <w:t>吨</w:t>
      </w:r>
      <w:r w:rsidR="00E269E0" w:rsidRPr="00E269E0">
        <w:rPr>
          <w:rFonts w:eastAsia="仿宋" w:hint="eastAsia"/>
          <w:sz w:val="32"/>
          <w:szCs w:val="32"/>
        </w:rPr>
        <w:t>/</w:t>
      </w:r>
      <w:r w:rsidR="00E269E0" w:rsidRPr="00E269E0">
        <w:rPr>
          <w:rFonts w:eastAsia="仿宋" w:hint="eastAsia"/>
          <w:sz w:val="32"/>
          <w:szCs w:val="32"/>
        </w:rPr>
        <w:t>年消泡剂、</w:t>
      </w:r>
      <w:r w:rsidR="00E269E0" w:rsidRPr="00E269E0">
        <w:rPr>
          <w:rFonts w:eastAsia="仿宋" w:hint="eastAsia"/>
          <w:sz w:val="32"/>
          <w:szCs w:val="32"/>
        </w:rPr>
        <w:t>5000</w:t>
      </w:r>
      <w:r w:rsidR="00E269E0" w:rsidRPr="00E269E0">
        <w:rPr>
          <w:rFonts w:eastAsia="仿宋" w:hint="eastAsia"/>
          <w:sz w:val="32"/>
          <w:szCs w:val="32"/>
        </w:rPr>
        <w:t>吨</w:t>
      </w:r>
      <w:r w:rsidR="00E269E0" w:rsidRPr="00E269E0">
        <w:rPr>
          <w:rFonts w:eastAsia="仿宋" w:hint="eastAsia"/>
          <w:sz w:val="32"/>
          <w:szCs w:val="32"/>
        </w:rPr>
        <w:t>/</w:t>
      </w:r>
      <w:r w:rsidR="00E269E0" w:rsidRPr="00E269E0">
        <w:rPr>
          <w:rFonts w:eastAsia="仿宋" w:hint="eastAsia"/>
          <w:sz w:val="32"/>
          <w:szCs w:val="32"/>
        </w:rPr>
        <w:t>年水性树脂、</w:t>
      </w:r>
      <w:r w:rsidR="00E269E0" w:rsidRPr="00E269E0">
        <w:rPr>
          <w:rFonts w:eastAsia="仿宋" w:hint="eastAsia"/>
          <w:sz w:val="32"/>
          <w:szCs w:val="32"/>
        </w:rPr>
        <w:t>5000</w:t>
      </w:r>
      <w:r w:rsidR="00E269E0" w:rsidRPr="00E269E0">
        <w:rPr>
          <w:rFonts w:eastAsia="仿宋" w:hint="eastAsia"/>
          <w:sz w:val="32"/>
          <w:szCs w:val="32"/>
        </w:rPr>
        <w:t>吨</w:t>
      </w:r>
      <w:r w:rsidR="00E269E0" w:rsidRPr="00E269E0">
        <w:rPr>
          <w:rFonts w:eastAsia="仿宋" w:hint="eastAsia"/>
          <w:sz w:val="32"/>
          <w:szCs w:val="32"/>
        </w:rPr>
        <w:t>/</w:t>
      </w:r>
      <w:r w:rsidR="00E269E0" w:rsidRPr="00E269E0">
        <w:rPr>
          <w:rFonts w:eastAsia="仿宋" w:hint="eastAsia"/>
          <w:sz w:val="32"/>
          <w:szCs w:val="32"/>
        </w:rPr>
        <w:t>年功能色浆项目环境影响报告书</w:t>
      </w:r>
      <w:r w:rsidR="00E269E0">
        <w:rPr>
          <w:rFonts w:eastAsia="仿宋" w:hint="eastAsia"/>
          <w:sz w:val="32"/>
          <w:szCs w:val="32"/>
        </w:rPr>
        <w:t>&gt;</w:t>
      </w:r>
      <w:r w:rsidR="00E269E0">
        <w:rPr>
          <w:rFonts w:eastAsia="仿宋" w:hint="eastAsia"/>
          <w:sz w:val="32"/>
          <w:szCs w:val="32"/>
        </w:rPr>
        <w:t>环</w:t>
      </w:r>
      <w:bookmarkStart w:id="0" w:name="_GoBack"/>
      <w:bookmarkEnd w:id="0"/>
      <w:r w:rsidR="00E269E0">
        <w:rPr>
          <w:rFonts w:eastAsia="仿宋" w:hint="eastAsia"/>
          <w:sz w:val="32"/>
          <w:szCs w:val="32"/>
        </w:rPr>
        <w:t>评</w:t>
      </w:r>
      <w:r>
        <w:rPr>
          <w:rFonts w:eastAsia="仿宋" w:hint="eastAsia"/>
          <w:sz w:val="32"/>
          <w:szCs w:val="32"/>
        </w:rPr>
        <w:t>批复</w:t>
      </w:r>
      <w:r w:rsidR="00E269E0">
        <w:rPr>
          <w:rFonts w:eastAsia="仿宋" w:hint="eastAsia"/>
          <w:sz w:val="32"/>
          <w:szCs w:val="32"/>
        </w:rPr>
        <w:t>的报告</w:t>
      </w:r>
      <w:r>
        <w:rPr>
          <w:rFonts w:eastAsia="仿宋" w:hint="eastAsia"/>
          <w:sz w:val="32"/>
          <w:szCs w:val="32"/>
        </w:rPr>
        <w:t>》、</w:t>
      </w:r>
      <w:r w:rsidR="00253629">
        <w:rPr>
          <w:rFonts w:eastAsia="仿宋" w:hAnsi="仿宋"/>
          <w:sz w:val="32"/>
          <w:szCs w:val="32"/>
        </w:rPr>
        <w:t>岳阳市生态环境</w:t>
      </w:r>
      <w:proofErr w:type="gramStart"/>
      <w:r w:rsidR="00253629">
        <w:rPr>
          <w:rFonts w:eastAsia="仿宋" w:hAnsi="仿宋"/>
          <w:sz w:val="32"/>
          <w:szCs w:val="32"/>
        </w:rPr>
        <w:t>局</w:t>
      </w:r>
      <w:r w:rsidR="00253629">
        <w:rPr>
          <w:rFonts w:eastAsia="仿宋" w:hAnsi="仿宋" w:hint="eastAsia"/>
          <w:sz w:val="32"/>
          <w:szCs w:val="32"/>
        </w:rPr>
        <w:t>云溪</w:t>
      </w:r>
      <w:r w:rsidR="00253629">
        <w:rPr>
          <w:rFonts w:eastAsia="仿宋" w:hAnsi="仿宋"/>
          <w:sz w:val="32"/>
          <w:szCs w:val="32"/>
        </w:rPr>
        <w:t>分局</w:t>
      </w:r>
      <w:proofErr w:type="gramEnd"/>
      <w:r>
        <w:rPr>
          <w:rFonts w:eastAsia="仿宋" w:hint="eastAsia"/>
          <w:sz w:val="32"/>
          <w:szCs w:val="32"/>
        </w:rPr>
        <w:t>的预审意见及有关附件悉收。经研究，批复如下：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一、湖南倍特尔新材料有限公司拟在湖南岳阳绿色化工</w:t>
      </w:r>
      <w:proofErr w:type="gramStart"/>
      <w:r>
        <w:rPr>
          <w:rFonts w:eastAsia="仿宋" w:hint="eastAsia"/>
          <w:sz w:val="32"/>
          <w:szCs w:val="32"/>
        </w:rPr>
        <w:t>产业园云溪</w:t>
      </w:r>
      <w:proofErr w:type="gramEnd"/>
      <w:r>
        <w:rPr>
          <w:rFonts w:eastAsia="仿宋" w:hint="eastAsia"/>
          <w:sz w:val="32"/>
          <w:szCs w:val="32"/>
        </w:rPr>
        <w:t>片区建设</w:t>
      </w:r>
      <w:r>
        <w:rPr>
          <w:rFonts w:eastAsia="仿宋" w:hint="eastAsia"/>
          <w:sz w:val="32"/>
          <w:szCs w:val="32"/>
        </w:rPr>
        <w:t>1500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年分散剂、</w:t>
      </w:r>
      <w:r>
        <w:rPr>
          <w:rFonts w:eastAsia="仿宋" w:hint="eastAsia"/>
          <w:sz w:val="32"/>
          <w:szCs w:val="32"/>
        </w:rPr>
        <w:t>1500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proofErr w:type="gramStart"/>
      <w:r>
        <w:rPr>
          <w:rFonts w:eastAsia="仿宋" w:hint="eastAsia"/>
          <w:sz w:val="32"/>
          <w:szCs w:val="32"/>
        </w:rPr>
        <w:t>年流平剂</w:t>
      </w:r>
      <w:proofErr w:type="gramEnd"/>
      <w:r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2000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年消泡剂、</w:t>
      </w:r>
      <w:r>
        <w:rPr>
          <w:rFonts w:eastAsia="仿宋" w:hint="eastAsia"/>
          <w:sz w:val="32"/>
          <w:szCs w:val="32"/>
        </w:rPr>
        <w:t>5000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年水性树脂、</w:t>
      </w:r>
      <w:r>
        <w:rPr>
          <w:rFonts w:eastAsia="仿宋" w:hint="eastAsia"/>
          <w:sz w:val="32"/>
          <w:szCs w:val="32"/>
        </w:rPr>
        <w:t>5000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proofErr w:type="gramStart"/>
      <w:r>
        <w:rPr>
          <w:rFonts w:eastAsia="仿宋" w:hint="eastAsia"/>
          <w:sz w:val="32"/>
          <w:szCs w:val="32"/>
        </w:rPr>
        <w:t>年功能色</w:t>
      </w:r>
      <w:proofErr w:type="gramEnd"/>
      <w:r>
        <w:rPr>
          <w:rFonts w:eastAsia="仿宋" w:hint="eastAsia"/>
          <w:sz w:val="32"/>
          <w:szCs w:val="32"/>
        </w:rPr>
        <w:t>浆项目，项目总投资</w:t>
      </w:r>
      <w:r>
        <w:rPr>
          <w:rFonts w:eastAsia="仿宋" w:hint="eastAsia"/>
          <w:sz w:val="32"/>
          <w:szCs w:val="32"/>
        </w:rPr>
        <w:t>12356.3</w:t>
      </w:r>
      <w:r>
        <w:rPr>
          <w:rFonts w:eastAsia="仿宋" w:hint="eastAsia"/>
          <w:sz w:val="32"/>
          <w:szCs w:val="32"/>
        </w:rPr>
        <w:t>万元，环保投资</w:t>
      </w:r>
      <w:r>
        <w:rPr>
          <w:rFonts w:eastAsia="仿宋" w:hint="eastAsia"/>
          <w:sz w:val="32"/>
          <w:szCs w:val="32"/>
        </w:rPr>
        <w:t>796</w:t>
      </w:r>
      <w:r>
        <w:rPr>
          <w:rFonts w:eastAsia="仿宋" w:hint="eastAsia"/>
          <w:sz w:val="32"/>
          <w:szCs w:val="32"/>
        </w:rPr>
        <w:t>万元，用地面积</w:t>
      </w:r>
      <w:r>
        <w:rPr>
          <w:rFonts w:eastAsia="仿宋" w:hint="eastAsia"/>
          <w:sz w:val="32"/>
          <w:szCs w:val="32"/>
        </w:rPr>
        <w:t>36693m</w:t>
      </w:r>
      <w:r>
        <w:rPr>
          <w:rFonts w:eastAsia="仿宋" w:hint="eastAsia"/>
          <w:sz w:val="32"/>
          <w:szCs w:val="32"/>
          <w:vertAlign w:val="superscript"/>
        </w:rPr>
        <w:t>2</w:t>
      </w:r>
      <w:r>
        <w:rPr>
          <w:rFonts w:eastAsia="仿宋" w:hint="eastAsia"/>
          <w:sz w:val="32"/>
          <w:szCs w:val="32"/>
        </w:rPr>
        <w:t>。生产项目利用环氧乙烷、环氧丙烷、磷酸、醋酸丁酯等为主要原辅材料，通过聚合反应、过滤、兑稀等工序生产聚醚分散剂</w:t>
      </w:r>
      <w:r>
        <w:rPr>
          <w:rFonts w:eastAsia="仿宋" w:hint="eastAsia"/>
          <w:sz w:val="32"/>
          <w:szCs w:val="32"/>
        </w:rPr>
        <w:t>930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年；以月桂酸、蓖麻油酸、己内酯、己二酸、二甲苯等为主要原辅材料，通过聚合反应、兑稀、过滤等工序生产深色聚酯分散剂</w:t>
      </w:r>
      <w:r>
        <w:rPr>
          <w:rFonts w:eastAsia="仿宋" w:hint="eastAsia"/>
          <w:sz w:val="32"/>
          <w:szCs w:val="32"/>
        </w:rPr>
        <w:t>318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年；以聚乙烯胺、顺丁烯二酸酐、去离子水、醋酸等为主要原辅材料，通过聚合反应、兑稀、过滤等工序生产浅色聚酯分散剂</w:t>
      </w:r>
      <w:r>
        <w:rPr>
          <w:rFonts w:eastAsia="仿宋" w:hint="eastAsia"/>
          <w:sz w:val="32"/>
          <w:szCs w:val="32"/>
        </w:rPr>
        <w:t>252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年；以环氧乙烷、环氧丙烷、硅油、醋酸丁酯、二甲苯、去离子水等为主要原辅材料，通过聚合反应、过滤、兑稀等工序生产聚醚</w:t>
      </w:r>
      <w:proofErr w:type="gramStart"/>
      <w:r>
        <w:rPr>
          <w:rFonts w:eastAsia="仿宋" w:hint="eastAsia"/>
          <w:sz w:val="32"/>
          <w:szCs w:val="32"/>
        </w:rPr>
        <w:t>流平剂</w:t>
      </w:r>
      <w:proofErr w:type="gramEnd"/>
      <w:r>
        <w:rPr>
          <w:rFonts w:eastAsia="仿宋" w:hint="eastAsia"/>
          <w:sz w:val="32"/>
          <w:szCs w:val="32"/>
        </w:rPr>
        <w:t>1008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年；以丙烯酸丁酯、马来酸二丁酯、甲基丙烯酸丁酯、丙二醇甲醚醋酸酯等为主要原辅材料，通过加成聚合反应兑稀、过滤等工序生产丙烯酸</w:t>
      </w:r>
      <w:proofErr w:type="gramStart"/>
      <w:r>
        <w:rPr>
          <w:rFonts w:eastAsia="仿宋" w:hint="eastAsia"/>
          <w:sz w:val="32"/>
          <w:szCs w:val="32"/>
        </w:rPr>
        <w:t>类流平剂</w:t>
      </w:r>
      <w:proofErr w:type="gramEnd"/>
      <w:r>
        <w:rPr>
          <w:rFonts w:eastAsia="仿宋" w:hint="eastAsia"/>
          <w:sz w:val="32"/>
          <w:szCs w:val="32"/>
        </w:rPr>
        <w:t>492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年；以环氧乙烷、环氧丙烷、硅氧烷、醋</w:t>
      </w:r>
      <w:r>
        <w:rPr>
          <w:rFonts w:eastAsia="仿宋" w:hint="eastAsia"/>
          <w:sz w:val="32"/>
          <w:szCs w:val="32"/>
        </w:rPr>
        <w:lastRenderedPageBreak/>
        <w:t>酸丁酯、二丙二醇甲醚等为主要原辅材料，通过聚合反应、过滤、兑稀等工序生产聚醚消泡剂</w:t>
      </w:r>
      <w:r>
        <w:rPr>
          <w:rFonts w:eastAsia="仿宋" w:hint="eastAsia"/>
          <w:sz w:val="32"/>
          <w:szCs w:val="32"/>
        </w:rPr>
        <w:t>115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年；以丙烯酸丁酯、马来酸二丁酯、</w:t>
      </w:r>
      <w:r>
        <w:rPr>
          <w:rFonts w:eastAsia="仿宋" w:hint="eastAsia"/>
          <w:sz w:val="32"/>
          <w:szCs w:val="32"/>
        </w:rPr>
        <w:t>4-</w:t>
      </w:r>
      <w:r>
        <w:rPr>
          <w:rFonts w:eastAsia="仿宋" w:hint="eastAsia"/>
          <w:sz w:val="32"/>
          <w:szCs w:val="32"/>
        </w:rPr>
        <w:t>羟基丁基丙烯酸酯、</w:t>
      </w:r>
      <w:proofErr w:type="gramStart"/>
      <w:r>
        <w:rPr>
          <w:rFonts w:eastAsia="仿宋" w:hint="eastAsia"/>
          <w:sz w:val="32"/>
          <w:szCs w:val="32"/>
        </w:rPr>
        <w:t>丙烯酸异辛酯</w:t>
      </w:r>
      <w:proofErr w:type="gramEnd"/>
      <w:r>
        <w:rPr>
          <w:rFonts w:eastAsia="仿宋" w:hint="eastAsia"/>
          <w:sz w:val="32"/>
          <w:szCs w:val="32"/>
        </w:rPr>
        <w:t>、二甲苯、去离子水等为主要原辅材料，通过加成聚合反应兑稀、过滤等工序生产丙烯酸类消泡剂</w:t>
      </w:r>
      <w:r>
        <w:rPr>
          <w:rFonts w:eastAsia="仿宋" w:hint="eastAsia"/>
          <w:sz w:val="32"/>
          <w:szCs w:val="32"/>
        </w:rPr>
        <w:t>885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年；以甲基丙烯酸甲酯、丙烯酸丁酯、</w:t>
      </w:r>
      <w:proofErr w:type="gramStart"/>
      <w:r>
        <w:rPr>
          <w:rFonts w:eastAsia="仿宋" w:hint="eastAsia"/>
          <w:sz w:val="32"/>
          <w:szCs w:val="32"/>
        </w:rPr>
        <w:t>丙烯酸异辛酯</w:t>
      </w:r>
      <w:proofErr w:type="gramEnd"/>
      <w:r>
        <w:rPr>
          <w:rFonts w:eastAsia="仿宋" w:hint="eastAsia"/>
          <w:sz w:val="32"/>
          <w:szCs w:val="32"/>
        </w:rPr>
        <w:t>、叔碳酸乙烯酯、苯乙烯、去离子水等为主要原辅材料，通过聚合反应、过滤等工序生产水性树脂</w:t>
      </w:r>
      <w:r>
        <w:rPr>
          <w:rFonts w:eastAsia="仿宋" w:hint="eastAsia"/>
          <w:sz w:val="32"/>
          <w:szCs w:val="32"/>
        </w:rPr>
        <w:t>5000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年；以色浆载体树脂、溶剂、分散剂、防沉剂、颜料等为主要原辅材料，通过分散、研磨、脱泡等工序生产功能色浆</w:t>
      </w:r>
      <w:r>
        <w:rPr>
          <w:rFonts w:eastAsia="仿宋" w:hint="eastAsia"/>
          <w:sz w:val="32"/>
          <w:szCs w:val="32"/>
        </w:rPr>
        <w:t>3000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年；以载体树脂、助剂、颜料等为主要原辅材料，通过搅拌、熔融挤出、切片等工序</w:t>
      </w:r>
      <w:proofErr w:type="gramStart"/>
      <w:r>
        <w:rPr>
          <w:rFonts w:eastAsia="仿宋" w:hint="eastAsia"/>
          <w:sz w:val="32"/>
          <w:szCs w:val="32"/>
        </w:rPr>
        <w:t>生功能色</w:t>
      </w:r>
      <w:proofErr w:type="gramEnd"/>
      <w:r>
        <w:rPr>
          <w:rFonts w:eastAsia="仿宋" w:hint="eastAsia"/>
          <w:sz w:val="32"/>
          <w:szCs w:val="32"/>
        </w:rPr>
        <w:t>片</w:t>
      </w:r>
      <w:r>
        <w:rPr>
          <w:rFonts w:eastAsia="仿宋" w:hint="eastAsia"/>
          <w:sz w:val="32"/>
          <w:szCs w:val="32"/>
        </w:rPr>
        <w:t>2000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年。项目主要建设内容为：三栋甲类厂房，在甲类厂房内设置聚醚生产线</w:t>
      </w:r>
      <w:r>
        <w:rPr>
          <w:rFonts w:eastAsia="仿宋" w:hint="eastAsia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条，聚酯</w:t>
      </w:r>
      <w:proofErr w:type="gramStart"/>
      <w:r>
        <w:rPr>
          <w:rFonts w:eastAsia="仿宋" w:hint="eastAsia"/>
          <w:sz w:val="32"/>
          <w:szCs w:val="32"/>
        </w:rPr>
        <w:t>生产线生产线</w:t>
      </w:r>
      <w:proofErr w:type="gramEnd"/>
      <w:r>
        <w:rPr>
          <w:rFonts w:eastAsia="仿宋" w:hint="eastAsia"/>
          <w:sz w:val="32"/>
          <w:szCs w:val="32"/>
        </w:rPr>
        <w:t>7</w:t>
      </w:r>
      <w:r>
        <w:rPr>
          <w:rFonts w:eastAsia="仿宋" w:hint="eastAsia"/>
          <w:sz w:val="32"/>
          <w:szCs w:val="32"/>
        </w:rPr>
        <w:t>条，丙烯酸类聚合生产线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条、水性树脂生产线</w:t>
      </w:r>
      <w:r>
        <w:rPr>
          <w:rFonts w:eastAsia="仿宋" w:hint="eastAsia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条、油性功能色浆生产线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条、水性功能色浆高速分散生产线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条、水性功能色浆研磨生产线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条；一栋丙类车间，在丙类车间设置功能色片生产线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条；建设甲类仓库一栋，丙类仓库一栋，甲类地埋储罐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个，并配套建设综合楼、公用工程房、污水处理站、初期雨水池等配套共用、辅助和环保工程。项目分两期建设，一期工程生产规模为：</w:t>
      </w:r>
      <w:r>
        <w:rPr>
          <w:rFonts w:eastAsia="仿宋" w:hint="eastAsia"/>
          <w:sz w:val="32"/>
          <w:szCs w:val="32"/>
        </w:rPr>
        <w:t>500t/a</w:t>
      </w:r>
      <w:r>
        <w:rPr>
          <w:rFonts w:eastAsia="仿宋" w:hint="eastAsia"/>
          <w:sz w:val="32"/>
          <w:szCs w:val="32"/>
        </w:rPr>
        <w:t>分散剂、</w:t>
      </w:r>
      <w:r>
        <w:rPr>
          <w:rFonts w:eastAsia="仿宋" w:hint="eastAsia"/>
          <w:sz w:val="32"/>
          <w:szCs w:val="32"/>
        </w:rPr>
        <w:t>500t/a</w:t>
      </w:r>
      <w:proofErr w:type="gramStart"/>
      <w:r>
        <w:rPr>
          <w:rFonts w:eastAsia="仿宋" w:hint="eastAsia"/>
          <w:sz w:val="32"/>
          <w:szCs w:val="32"/>
        </w:rPr>
        <w:t>流平剂</w:t>
      </w:r>
      <w:proofErr w:type="gramEnd"/>
      <w:r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667t/a</w:t>
      </w:r>
      <w:r>
        <w:rPr>
          <w:rFonts w:eastAsia="仿宋" w:hint="eastAsia"/>
          <w:sz w:val="32"/>
          <w:szCs w:val="32"/>
        </w:rPr>
        <w:t>消泡剂、</w:t>
      </w:r>
      <w:r>
        <w:rPr>
          <w:rFonts w:eastAsia="仿宋" w:hint="eastAsia"/>
          <w:sz w:val="32"/>
          <w:szCs w:val="32"/>
        </w:rPr>
        <w:t>2000t/a</w:t>
      </w:r>
      <w:r>
        <w:rPr>
          <w:rFonts w:eastAsia="仿宋" w:hint="eastAsia"/>
          <w:sz w:val="32"/>
          <w:szCs w:val="32"/>
        </w:rPr>
        <w:t>水性树脂、</w:t>
      </w:r>
      <w:r>
        <w:rPr>
          <w:rFonts w:eastAsia="仿宋" w:hint="eastAsia"/>
          <w:sz w:val="32"/>
          <w:szCs w:val="32"/>
        </w:rPr>
        <w:t>2000t/a</w:t>
      </w:r>
      <w:r>
        <w:rPr>
          <w:rFonts w:eastAsia="仿宋" w:hint="eastAsia"/>
          <w:sz w:val="32"/>
          <w:szCs w:val="32"/>
        </w:rPr>
        <w:t>功能色浆，二期工程生产规模为</w:t>
      </w:r>
      <w:r>
        <w:rPr>
          <w:rFonts w:eastAsia="仿宋" w:hint="eastAsia"/>
          <w:sz w:val="32"/>
          <w:szCs w:val="32"/>
        </w:rPr>
        <w:t>1000t/a</w:t>
      </w:r>
      <w:r>
        <w:rPr>
          <w:rFonts w:eastAsia="仿宋" w:hint="eastAsia"/>
          <w:sz w:val="32"/>
          <w:szCs w:val="32"/>
        </w:rPr>
        <w:t>分散剂、</w:t>
      </w:r>
      <w:r>
        <w:rPr>
          <w:rFonts w:eastAsia="仿宋" w:hint="eastAsia"/>
          <w:sz w:val="32"/>
          <w:szCs w:val="32"/>
        </w:rPr>
        <w:t>1000t/a</w:t>
      </w:r>
      <w:proofErr w:type="gramStart"/>
      <w:r>
        <w:rPr>
          <w:rFonts w:eastAsia="仿宋" w:hint="eastAsia"/>
          <w:sz w:val="32"/>
          <w:szCs w:val="32"/>
        </w:rPr>
        <w:t>流平剂</w:t>
      </w:r>
      <w:proofErr w:type="gramEnd"/>
      <w:r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1333t/a</w:t>
      </w:r>
      <w:r>
        <w:rPr>
          <w:rFonts w:eastAsia="仿宋" w:hint="eastAsia"/>
          <w:sz w:val="32"/>
          <w:szCs w:val="32"/>
        </w:rPr>
        <w:t>消泡剂、</w:t>
      </w:r>
      <w:r>
        <w:rPr>
          <w:rFonts w:eastAsia="仿宋" w:hint="eastAsia"/>
          <w:sz w:val="32"/>
          <w:szCs w:val="32"/>
        </w:rPr>
        <w:t>3000t/a</w:t>
      </w:r>
      <w:r>
        <w:rPr>
          <w:rFonts w:eastAsia="仿宋" w:hint="eastAsia"/>
          <w:sz w:val="32"/>
          <w:szCs w:val="32"/>
        </w:rPr>
        <w:t>水性树脂、</w:t>
      </w:r>
      <w:r>
        <w:rPr>
          <w:rFonts w:eastAsia="仿宋" w:hint="eastAsia"/>
          <w:sz w:val="32"/>
          <w:szCs w:val="32"/>
        </w:rPr>
        <w:t>3000t/a</w:t>
      </w:r>
      <w:r>
        <w:rPr>
          <w:rFonts w:eastAsia="仿宋" w:hint="eastAsia"/>
          <w:sz w:val="32"/>
          <w:szCs w:val="32"/>
        </w:rPr>
        <w:t>功能色浆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色片。根据湖南美景环保科技咨询服务有限公司编制的《湖南倍特尔新材料有限公司</w:t>
      </w:r>
      <w:r>
        <w:rPr>
          <w:rFonts w:eastAsia="仿宋" w:hint="eastAsia"/>
          <w:sz w:val="32"/>
          <w:szCs w:val="32"/>
        </w:rPr>
        <w:t>1500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年分散剂、</w:t>
      </w:r>
      <w:r>
        <w:rPr>
          <w:rFonts w:eastAsia="仿宋" w:hint="eastAsia"/>
          <w:sz w:val="32"/>
          <w:szCs w:val="32"/>
        </w:rPr>
        <w:t>1500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年流平剂、</w:t>
      </w:r>
      <w:r>
        <w:rPr>
          <w:rFonts w:eastAsia="仿宋" w:hint="eastAsia"/>
          <w:sz w:val="32"/>
          <w:szCs w:val="32"/>
        </w:rPr>
        <w:t>2000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年消泡剂、</w:t>
      </w:r>
      <w:r>
        <w:rPr>
          <w:rFonts w:eastAsia="仿宋" w:hint="eastAsia"/>
          <w:sz w:val="32"/>
          <w:szCs w:val="32"/>
        </w:rPr>
        <w:t>5000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年水性树脂、</w:t>
      </w:r>
      <w:r>
        <w:rPr>
          <w:rFonts w:eastAsia="仿宋" w:hint="eastAsia"/>
          <w:sz w:val="32"/>
          <w:szCs w:val="32"/>
        </w:rPr>
        <w:t>5000</w:t>
      </w:r>
      <w:r>
        <w:rPr>
          <w:rFonts w:eastAsia="仿宋" w:hint="eastAsia"/>
          <w:sz w:val="32"/>
          <w:szCs w:val="32"/>
        </w:rPr>
        <w:t>吨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年功能色浆项目环境影响报告书（报批稿）》基本内容、结论、专家评审意见及</w:t>
      </w:r>
      <w:r w:rsidR="00253629">
        <w:rPr>
          <w:rFonts w:eastAsia="仿宋" w:hAnsi="仿宋"/>
          <w:sz w:val="32"/>
          <w:szCs w:val="32"/>
        </w:rPr>
        <w:t>岳阳市生态环境</w:t>
      </w:r>
      <w:proofErr w:type="gramStart"/>
      <w:r w:rsidR="00253629">
        <w:rPr>
          <w:rFonts w:eastAsia="仿宋" w:hAnsi="仿宋"/>
          <w:sz w:val="32"/>
          <w:szCs w:val="32"/>
        </w:rPr>
        <w:t>局</w:t>
      </w:r>
      <w:r w:rsidR="00253629">
        <w:rPr>
          <w:rFonts w:eastAsia="仿宋" w:hAnsi="仿宋" w:hint="eastAsia"/>
          <w:sz w:val="32"/>
          <w:szCs w:val="32"/>
        </w:rPr>
        <w:t>云溪</w:t>
      </w:r>
      <w:r w:rsidR="00253629">
        <w:rPr>
          <w:rFonts w:eastAsia="仿宋" w:hAnsi="仿宋"/>
          <w:sz w:val="32"/>
          <w:szCs w:val="32"/>
        </w:rPr>
        <w:t>分局</w:t>
      </w:r>
      <w:proofErr w:type="gramEnd"/>
      <w:r>
        <w:rPr>
          <w:rFonts w:eastAsia="仿宋" w:hint="eastAsia"/>
          <w:sz w:val="32"/>
          <w:szCs w:val="32"/>
        </w:rPr>
        <w:t>预审意见，从环境保护角度考虑，我局原则同意你公司环境影响报告书中所列建设项目的性质、规模、工艺、地点和环境保护对策措施。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二、认真落实专家及环境影响报告书中提出的各项污染防治措施，并应着重注意以下问题：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、废水污染防治工作。严格按照“雨污分流、清污分流”</w:t>
      </w:r>
      <w:r>
        <w:rPr>
          <w:rFonts w:eastAsia="仿宋" w:hint="eastAsia"/>
          <w:sz w:val="32"/>
          <w:szCs w:val="32"/>
        </w:rPr>
        <w:lastRenderedPageBreak/>
        <w:t>的原则规范设计厂区雨水及污水管网。项目生产废水和初期雨水经预处理，达到云溪区污水处理厂进水水质标准后，与生活污水一起通过管道排入云溪区污水处理厂处理达标后排放。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按照分区防控的原则落实报告书提出的地下水污染防治措施，做好生产车间等区域的防腐、防渗工作，强化管理，避免由于泄漏等造成物料或者</w:t>
      </w:r>
      <w:r>
        <w:rPr>
          <w:rFonts w:ascii="仿宋" w:eastAsia="仿宋" w:hAnsi="仿宋" w:cs="仿宋" w:hint="eastAsia"/>
          <w:sz w:val="32"/>
          <w:szCs w:val="32"/>
        </w:rPr>
        <w:t>污染物下渗污染地下水；根据《环境影响评价技术导则地下水环境》（HJ610-2016）要求，跟踪监测地下水质情况，确保地下水环境安全。</w:t>
      </w:r>
    </w:p>
    <w:p w:rsidR="00D961FD" w:rsidRDefault="00F62F81" w:rsidP="00253629">
      <w:pPr>
        <w:pStyle w:val="0"/>
        <w:widowControl w:val="0"/>
        <w:adjustRightInd w:val="0"/>
        <w:spacing w:line="436" w:lineRule="exact"/>
        <w:ind w:left="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、废气污染防治工作。</w:t>
      </w:r>
      <w:r>
        <w:rPr>
          <w:rFonts w:eastAsia="仿宋" w:hint="eastAsia"/>
          <w:sz w:val="32"/>
          <w:szCs w:val="32"/>
        </w:rPr>
        <w:t>严格控制项目废气污染，加强日常监管，定期对设备、管道、阀门、法兰等进行维护和管理，杜绝生产过程中的跑、冒、滴、漏，最大限度减少生产过程中的废气无组织排</w:t>
      </w:r>
      <w:r>
        <w:rPr>
          <w:rFonts w:eastAsia="仿宋" w:hint="eastAsia"/>
          <w:color w:val="000000"/>
          <w:sz w:val="32"/>
          <w:szCs w:val="32"/>
        </w:rPr>
        <w:t>放，厂区</w:t>
      </w:r>
      <w:r>
        <w:rPr>
          <w:rFonts w:eastAsia="仿宋" w:hint="eastAsia"/>
          <w:color w:val="000000"/>
          <w:sz w:val="32"/>
          <w:szCs w:val="32"/>
        </w:rPr>
        <w:t>VOCs</w:t>
      </w:r>
      <w:r>
        <w:rPr>
          <w:rFonts w:eastAsia="仿宋" w:hint="eastAsia"/>
          <w:color w:val="000000"/>
          <w:sz w:val="32"/>
          <w:szCs w:val="32"/>
        </w:rPr>
        <w:t>执行《挥发性有机物无组织排放控制标准》（</w:t>
      </w:r>
      <w:r>
        <w:rPr>
          <w:rFonts w:eastAsia="仿宋" w:hint="eastAsia"/>
          <w:color w:val="000000"/>
          <w:sz w:val="32"/>
          <w:szCs w:val="32"/>
        </w:rPr>
        <w:t>GB37822-2019</w:t>
      </w:r>
      <w:r>
        <w:rPr>
          <w:rFonts w:eastAsia="仿宋" w:hint="eastAsia"/>
          <w:color w:val="000000"/>
          <w:sz w:val="32"/>
          <w:szCs w:val="32"/>
        </w:rPr>
        <w:t>）中表</w:t>
      </w:r>
      <w:r>
        <w:rPr>
          <w:rFonts w:eastAsia="仿宋" w:hint="eastAsia"/>
          <w:color w:val="000000"/>
          <w:sz w:val="32"/>
          <w:szCs w:val="32"/>
        </w:rPr>
        <w:t>A1</w:t>
      </w:r>
      <w:r>
        <w:rPr>
          <w:rFonts w:eastAsia="仿宋" w:hint="eastAsia"/>
          <w:color w:val="000000"/>
          <w:sz w:val="32"/>
          <w:szCs w:val="32"/>
        </w:rPr>
        <w:t>无组织排放限值，厂界颗粒物、</w:t>
      </w:r>
      <w:r>
        <w:rPr>
          <w:rFonts w:eastAsia="仿宋" w:hint="eastAsia"/>
          <w:color w:val="000000"/>
          <w:sz w:val="32"/>
          <w:szCs w:val="32"/>
        </w:rPr>
        <w:t>VOCs</w:t>
      </w:r>
      <w:r>
        <w:rPr>
          <w:rFonts w:eastAsia="仿宋" w:hint="eastAsia"/>
          <w:color w:val="000000"/>
          <w:sz w:val="32"/>
          <w:szCs w:val="32"/>
        </w:rPr>
        <w:t>执行《合成树脂工业污染物排放标准》（</w:t>
      </w:r>
      <w:r>
        <w:rPr>
          <w:rFonts w:eastAsia="仿宋" w:hint="eastAsia"/>
          <w:color w:val="000000"/>
          <w:sz w:val="32"/>
          <w:szCs w:val="32"/>
        </w:rPr>
        <w:t>GB31572-2015</w:t>
      </w:r>
      <w:r>
        <w:rPr>
          <w:rFonts w:eastAsia="仿宋" w:hint="eastAsia"/>
          <w:color w:val="000000"/>
          <w:sz w:val="32"/>
          <w:szCs w:val="32"/>
        </w:rPr>
        <w:t>）中无组织排放限值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；厂界苯乙烯及恶臭浓度执行《恶臭污染物排放标准》（GB14554-93）</w:t>
      </w:r>
      <w:r>
        <w:rPr>
          <w:rFonts w:eastAsia="仿宋" w:hint="eastAsia"/>
          <w:color w:val="000000"/>
          <w:sz w:val="32"/>
          <w:szCs w:val="32"/>
        </w:rPr>
        <w:t>中无组织排放限值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；生产废气经处理后，通过1根25m高排气筒排放，生产废气中VOCs、颗粒物、氨、苯乙烯满足</w:t>
      </w:r>
      <w:r>
        <w:rPr>
          <w:rFonts w:eastAsia="仿宋" w:hint="eastAsia"/>
          <w:color w:val="000000"/>
          <w:sz w:val="32"/>
          <w:szCs w:val="32"/>
        </w:rPr>
        <w:t>《合成树脂工业污染物排放标准》（</w:t>
      </w:r>
      <w:r>
        <w:rPr>
          <w:rFonts w:eastAsia="仿宋" w:hint="eastAsia"/>
          <w:color w:val="000000"/>
          <w:sz w:val="32"/>
          <w:szCs w:val="32"/>
        </w:rPr>
        <w:t>GB31572-2015</w:t>
      </w:r>
      <w:r>
        <w:rPr>
          <w:rFonts w:eastAsia="仿宋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相关限值要求，二甲苯满足大气污染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物综合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排放标准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（GB16297-1996）相关限值要求；污水处理站废气经处理，VOCs满足</w:t>
      </w:r>
      <w:r>
        <w:rPr>
          <w:rFonts w:eastAsia="仿宋" w:hint="eastAsia"/>
          <w:color w:val="000000"/>
          <w:sz w:val="32"/>
          <w:szCs w:val="32"/>
        </w:rPr>
        <w:t>《合成树脂工业污染物排放标准》（</w:t>
      </w:r>
      <w:r>
        <w:rPr>
          <w:rFonts w:eastAsia="仿宋" w:hint="eastAsia"/>
          <w:color w:val="000000"/>
          <w:sz w:val="32"/>
          <w:szCs w:val="32"/>
        </w:rPr>
        <w:t>GB31572-2015</w:t>
      </w:r>
      <w:r>
        <w:rPr>
          <w:rFonts w:eastAsia="仿宋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相关限值要求，氨、硫化氢满足《恶臭污染物排放标准》（GB14554-93）相关标准要求，通过1根15m高排气筒排放；甲类仓库、危险暂存库收集的废气经处理后，</w:t>
      </w:r>
      <w:r>
        <w:rPr>
          <w:rFonts w:eastAsia="仿宋" w:hint="eastAsia"/>
          <w:color w:val="000000"/>
          <w:sz w:val="32"/>
          <w:szCs w:val="32"/>
        </w:rPr>
        <w:t>VOCs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满足</w:t>
      </w:r>
      <w:r>
        <w:rPr>
          <w:rFonts w:eastAsia="仿宋" w:hint="eastAsia"/>
          <w:color w:val="000000"/>
          <w:sz w:val="32"/>
          <w:szCs w:val="32"/>
        </w:rPr>
        <w:t>《合成树脂工业污染物排放标准》（</w:t>
      </w:r>
      <w:r>
        <w:rPr>
          <w:rFonts w:eastAsia="仿宋" w:hint="eastAsia"/>
          <w:color w:val="000000"/>
          <w:sz w:val="32"/>
          <w:szCs w:val="32"/>
        </w:rPr>
        <w:t>GB31572-2015</w:t>
      </w:r>
      <w:r>
        <w:rPr>
          <w:rFonts w:eastAsia="仿宋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相关限值要求后，通过1根15m高排气筒排放；导热油炉废气执行《锅炉大气污染物排放标准（GB13271-2014）》中表3大气污染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物特别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排放限值；食堂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油烟经处理后执行《饮食业油烟排放标准》（GB18483-2001）。</w:t>
      </w:r>
    </w:p>
    <w:p w:rsidR="00D961FD" w:rsidRDefault="00F62F81" w:rsidP="00253629">
      <w:pPr>
        <w:spacing w:line="436" w:lineRule="exact"/>
        <w:ind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 w:hAnsi="仿宋"/>
          <w:sz w:val="32"/>
          <w:szCs w:val="32"/>
        </w:rPr>
        <w:t>、噪声污染防治工作。采用低噪声设备，合理安排工作时间，对产生噪声的设备和工序进行合理布局，确保厂界噪声达到《工业企业厂界环境噪声排放标准》</w:t>
      </w:r>
      <w:r>
        <w:rPr>
          <w:rFonts w:eastAsia="仿宋"/>
          <w:sz w:val="32"/>
          <w:szCs w:val="32"/>
        </w:rPr>
        <w:t>(GB12348-2008)</w:t>
      </w:r>
      <w:r>
        <w:rPr>
          <w:rFonts w:eastAsia="仿宋" w:hAnsi="仿宋"/>
          <w:sz w:val="32"/>
          <w:szCs w:val="32"/>
        </w:rPr>
        <w:t>中的</w:t>
      </w:r>
      <w:r>
        <w:rPr>
          <w:rFonts w:eastAsia="仿宋"/>
          <w:sz w:val="32"/>
          <w:szCs w:val="32"/>
        </w:rPr>
        <w:t>3</w:t>
      </w:r>
      <w:r>
        <w:rPr>
          <w:rFonts w:eastAsia="仿宋" w:hAnsi="仿宋"/>
          <w:sz w:val="32"/>
          <w:szCs w:val="32"/>
        </w:rPr>
        <w:lastRenderedPageBreak/>
        <w:t>类标准要求。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 w:hAnsi="仿宋"/>
          <w:sz w:val="32"/>
          <w:szCs w:val="32"/>
        </w:rPr>
        <w:t>、固体废物防治工作。按</w:t>
      </w:r>
      <w:r>
        <w:rPr>
          <w:rFonts w:eastAsia="仿宋"/>
          <w:sz w:val="32"/>
          <w:szCs w:val="32"/>
        </w:rPr>
        <w:t>“</w:t>
      </w:r>
      <w:r>
        <w:rPr>
          <w:rFonts w:eastAsia="仿宋" w:hAnsi="仿宋"/>
          <w:sz w:val="32"/>
          <w:szCs w:val="32"/>
        </w:rPr>
        <w:t>无害化、减量化、资源化</w:t>
      </w:r>
      <w:r>
        <w:rPr>
          <w:rFonts w:eastAsia="仿宋"/>
          <w:sz w:val="32"/>
          <w:szCs w:val="32"/>
        </w:rPr>
        <w:t>”</w:t>
      </w:r>
      <w:r>
        <w:rPr>
          <w:rFonts w:eastAsia="仿宋" w:hAnsi="仿宋"/>
          <w:sz w:val="32"/>
          <w:szCs w:val="32"/>
        </w:rPr>
        <w:t>原则，做好固体分类收集、暂存工作，建立健全固体废物产生、转运、处置管理台帐。严格按《危险废物贮存污染控制标准（</w:t>
      </w:r>
      <w:r>
        <w:rPr>
          <w:rFonts w:eastAsia="仿宋"/>
          <w:sz w:val="32"/>
          <w:szCs w:val="32"/>
        </w:rPr>
        <w:t>GB18597-200</w:t>
      </w:r>
      <w:r>
        <w:rPr>
          <w:rFonts w:eastAsia="仿宋" w:hAnsi="仿宋"/>
          <w:sz w:val="32"/>
          <w:szCs w:val="32"/>
        </w:rPr>
        <w:t>1</w:t>
      </w:r>
      <w:r>
        <w:rPr>
          <w:rFonts w:eastAsia="仿宋" w:hAnsi="仿宋"/>
          <w:sz w:val="32"/>
          <w:szCs w:val="32"/>
        </w:rPr>
        <w:t>）》及</w:t>
      </w:r>
      <w:r>
        <w:rPr>
          <w:rFonts w:eastAsia="仿宋" w:hAnsi="仿宋"/>
          <w:sz w:val="32"/>
          <w:szCs w:val="32"/>
        </w:rPr>
        <w:t>2013</w:t>
      </w:r>
      <w:r>
        <w:rPr>
          <w:rFonts w:eastAsia="仿宋" w:hAnsi="仿宋"/>
          <w:sz w:val="32"/>
          <w:szCs w:val="32"/>
        </w:rPr>
        <w:t>年修改</w:t>
      </w:r>
      <w:proofErr w:type="gramStart"/>
      <w:r>
        <w:rPr>
          <w:rFonts w:eastAsia="仿宋" w:hAnsi="仿宋"/>
          <w:sz w:val="32"/>
          <w:szCs w:val="32"/>
        </w:rPr>
        <w:t>单要求</w:t>
      </w:r>
      <w:proofErr w:type="gramEnd"/>
      <w:r>
        <w:rPr>
          <w:rFonts w:eastAsia="仿宋" w:hAnsi="仿宋"/>
          <w:sz w:val="32"/>
          <w:szCs w:val="32"/>
        </w:rPr>
        <w:t>建设危险废物暂存间，废过滤渣及</w:t>
      </w:r>
      <w:r>
        <w:rPr>
          <w:rFonts w:eastAsia="仿宋" w:hAnsi="仿宋" w:hint="eastAsia"/>
          <w:sz w:val="32"/>
          <w:szCs w:val="32"/>
        </w:rPr>
        <w:t>过滤介质、甲类车间收集的粉尘、</w:t>
      </w:r>
      <w:r>
        <w:rPr>
          <w:rFonts w:eastAsia="仿宋" w:hAnsi="仿宋"/>
          <w:sz w:val="32"/>
          <w:szCs w:val="32"/>
        </w:rPr>
        <w:t>废包装及包装桶、废试剂瓶</w:t>
      </w:r>
      <w:r>
        <w:rPr>
          <w:rFonts w:eastAsia="仿宋" w:hAnsi="仿宋" w:hint="eastAsia"/>
          <w:sz w:val="32"/>
          <w:szCs w:val="32"/>
        </w:rPr>
        <w:t>、污泥、</w:t>
      </w:r>
      <w:r>
        <w:rPr>
          <w:rFonts w:eastAsia="仿宋" w:hAnsi="仿宋"/>
          <w:sz w:val="32"/>
          <w:szCs w:val="32"/>
        </w:rPr>
        <w:t>废</w:t>
      </w:r>
      <w:r>
        <w:rPr>
          <w:rFonts w:eastAsia="仿宋" w:hAnsi="仿宋" w:hint="eastAsia"/>
          <w:sz w:val="32"/>
          <w:szCs w:val="32"/>
        </w:rPr>
        <w:t>活性炭</w:t>
      </w:r>
      <w:r>
        <w:rPr>
          <w:rFonts w:eastAsia="仿宋" w:hAnsi="仿宋"/>
          <w:sz w:val="32"/>
          <w:szCs w:val="32"/>
        </w:rPr>
        <w:t>应送有资质的单位安全处置，</w:t>
      </w:r>
      <w:r>
        <w:rPr>
          <w:rFonts w:eastAsia="仿宋" w:hAnsi="仿宋" w:hint="eastAsia"/>
          <w:sz w:val="32"/>
          <w:szCs w:val="32"/>
        </w:rPr>
        <w:t>并执行</w:t>
      </w:r>
      <w:r>
        <w:rPr>
          <w:rFonts w:eastAsia="仿宋" w:hAnsi="仿宋"/>
          <w:sz w:val="32"/>
          <w:szCs w:val="32"/>
        </w:rPr>
        <w:t>转移联单制度；</w:t>
      </w:r>
      <w:r>
        <w:rPr>
          <w:rFonts w:eastAsia="仿宋" w:hAnsi="仿宋" w:hint="eastAsia"/>
          <w:sz w:val="32"/>
          <w:szCs w:val="32"/>
        </w:rPr>
        <w:t>丙类车间收集的粉尘、废边角料</w:t>
      </w:r>
      <w:r>
        <w:rPr>
          <w:rFonts w:eastAsia="仿宋" w:hAnsi="仿宋"/>
          <w:sz w:val="32"/>
          <w:szCs w:val="32"/>
        </w:rPr>
        <w:t>按《一般工业固体废物贮存、处置场污染控制标准》（</w:t>
      </w:r>
      <w:r>
        <w:rPr>
          <w:rFonts w:eastAsia="仿宋" w:hAnsi="仿宋"/>
          <w:sz w:val="32"/>
          <w:szCs w:val="32"/>
        </w:rPr>
        <w:t>GB18599-2001</w:t>
      </w:r>
      <w:r>
        <w:rPr>
          <w:rFonts w:eastAsia="仿宋" w:hAnsi="仿宋"/>
          <w:sz w:val="32"/>
          <w:szCs w:val="32"/>
        </w:rPr>
        <w:t>）及</w:t>
      </w:r>
      <w:r>
        <w:rPr>
          <w:rFonts w:eastAsia="仿宋" w:hAnsi="仿宋"/>
          <w:sz w:val="32"/>
          <w:szCs w:val="32"/>
        </w:rPr>
        <w:t>2013</w:t>
      </w:r>
      <w:r>
        <w:rPr>
          <w:rFonts w:eastAsia="仿宋" w:hAnsi="仿宋"/>
          <w:sz w:val="32"/>
          <w:szCs w:val="32"/>
        </w:rPr>
        <w:t>年修改</w:t>
      </w:r>
      <w:proofErr w:type="gramStart"/>
      <w:r>
        <w:rPr>
          <w:rFonts w:eastAsia="仿宋" w:hAnsi="仿宋"/>
          <w:sz w:val="32"/>
          <w:szCs w:val="32"/>
        </w:rPr>
        <w:t>单要求</w:t>
      </w:r>
      <w:proofErr w:type="gramEnd"/>
      <w:r>
        <w:rPr>
          <w:rFonts w:eastAsia="仿宋" w:hAnsi="仿宋"/>
          <w:sz w:val="32"/>
          <w:szCs w:val="32"/>
        </w:rPr>
        <w:t>建设、贮存和运输一般工业固体废物；生活垃圾交由环卫部门统一收集处理。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 w:hAnsi="仿宋"/>
          <w:sz w:val="32"/>
          <w:szCs w:val="32"/>
        </w:rPr>
        <w:t>、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6</w:t>
      </w:r>
      <w:r>
        <w:rPr>
          <w:rFonts w:eastAsia="仿宋" w:hAnsi="仿宋"/>
          <w:sz w:val="32"/>
          <w:szCs w:val="32"/>
        </w:rPr>
        <w:t>、加强环境管理，建立健全的污染防治设施运行管理台帐，设专门的环保机构，配备专人负责环保工作，确保各项污染防治设施正常运行，各类污染物稳定达标排放。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7</w:t>
      </w:r>
      <w:r>
        <w:rPr>
          <w:rFonts w:eastAsia="仿宋" w:hAnsi="仿宋"/>
          <w:sz w:val="32"/>
          <w:szCs w:val="32"/>
        </w:rPr>
        <w:t>、总量控制指标：</w:t>
      </w:r>
      <w:r>
        <w:rPr>
          <w:rFonts w:eastAsia="仿宋"/>
          <w:sz w:val="32"/>
          <w:szCs w:val="32"/>
        </w:rPr>
        <w:t xml:space="preserve"> VOCs</w:t>
      </w:r>
      <w:r>
        <w:rPr>
          <w:rFonts w:eastAsia="仿宋" w:hint="eastAsia"/>
          <w:sz w:val="32"/>
          <w:szCs w:val="32"/>
        </w:rPr>
        <w:t>≤</w:t>
      </w:r>
      <w:r w:rsidR="00253629">
        <w:rPr>
          <w:rFonts w:eastAsia="仿宋" w:hint="eastAsia"/>
          <w:sz w:val="32"/>
          <w:szCs w:val="32"/>
        </w:rPr>
        <w:t>1.0</w:t>
      </w:r>
      <w:r>
        <w:rPr>
          <w:rFonts w:eastAsia="仿宋"/>
          <w:sz w:val="32"/>
          <w:szCs w:val="32"/>
        </w:rPr>
        <w:t>t/a</w:t>
      </w:r>
      <w:r>
        <w:rPr>
          <w:rFonts w:eastAsia="仿宋" w:hint="eastAsia"/>
          <w:sz w:val="32"/>
          <w:szCs w:val="32"/>
        </w:rPr>
        <w:t>、</w:t>
      </w:r>
      <w:proofErr w:type="spellStart"/>
      <w:r>
        <w:rPr>
          <w:rFonts w:eastAsia="仿宋" w:hint="eastAsia"/>
          <w:sz w:val="32"/>
          <w:szCs w:val="32"/>
        </w:rPr>
        <w:t>COD</w:t>
      </w:r>
      <w:r>
        <w:rPr>
          <w:rFonts w:eastAsia="仿宋" w:hint="eastAsia"/>
          <w:sz w:val="32"/>
          <w:szCs w:val="32"/>
          <w:vertAlign w:val="subscript"/>
        </w:rPr>
        <w:t>Cr</w:t>
      </w:r>
      <w:proofErr w:type="spellEnd"/>
      <w:r>
        <w:rPr>
          <w:rFonts w:eastAsia="仿宋" w:hint="eastAsia"/>
          <w:sz w:val="32"/>
          <w:szCs w:val="32"/>
        </w:rPr>
        <w:t>≤</w:t>
      </w:r>
      <w:r>
        <w:rPr>
          <w:rFonts w:eastAsia="仿宋" w:hint="eastAsia"/>
          <w:sz w:val="32"/>
          <w:szCs w:val="32"/>
        </w:rPr>
        <w:t>0.4t/a</w:t>
      </w:r>
      <w:r>
        <w:rPr>
          <w:rFonts w:eastAsia="仿宋" w:hint="eastAsia"/>
          <w:sz w:val="32"/>
          <w:szCs w:val="32"/>
        </w:rPr>
        <w:t>、氨氮≤</w:t>
      </w:r>
      <w:r>
        <w:rPr>
          <w:rFonts w:eastAsia="仿宋" w:hint="eastAsia"/>
          <w:sz w:val="32"/>
          <w:szCs w:val="32"/>
        </w:rPr>
        <w:t>0.1t/a</w:t>
      </w:r>
      <w:r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SO</w:t>
      </w:r>
      <w:r>
        <w:rPr>
          <w:rFonts w:eastAsia="仿宋" w:hint="eastAsia"/>
          <w:sz w:val="32"/>
          <w:szCs w:val="32"/>
          <w:vertAlign w:val="subscript"/>
        </w:rPr>
        <w:t>2</w:t>
      </w:r>
      <w:r>
        <w:rPr>
          <w:rFonts w:eastAsia="仿宋" w:hint="eastAsia"/>
          <w:sz w:val="32"/>
          <w:szCs w:val="32"/>
        </w:rPr>
        <w:t xml:space="preserve"> </w:t>
      </w:r>
      <w:r w:rsidR="00253629">
        <w:rPr>
          <w:rFonts w:eastAsia="仿宋" w:hint="eastAsia"/>
          <w:sz w:val="32"/>
          <w:szCs w:val="32"/>
        </w:rPr>
        <w:t>≤</w:t>
      </w:r>
      <w:r w:rsidR="00253629">
        <w:rPr>
          <w:rFonts w:eastAsia="仿宋" w:hint="eastAsia"/>
          <w:sz w:val="32"/>
          <w:szCs w:val="32"/>
        </w:rPr>
        <w:t>0.1</w:t>
      </w:r>
      <w:r>
        <w:rPr>
          <w:rFonts w:eastAsia="仿宋" w:hint="eastAsia"/>
          <w:sz w:val="32"/>
          <w:szCs w:val="32"/>
        </w:rPr>
        <w:t>t/a</w:t>
      </w:r>
      <w:r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NO</w:t>
      </w:r>
      <w:r>
        <w:rPr>
          <w:rFonts w:eastAsia="仿宋" w:hint="eastAsia"/>
          <w:sz w:val="32"/>
          <w:szCs w:val="32"/>
          <w:vertAlign w:val="subscript"/>
        </w:rPr>
        <w:t>X</w:t>
      </w:r>
      <w:r>
        <w:rPr>
          <w:rFonts w:eastAsia="仿宋" w:hint="eastAsia"/>
          <w:sz w:val="32"/>
          <w:szCs w:val="32"/>
        </w:rPr>
        <w:t xml:space="preserve"> </w:t>
      </w:r>
      <w:r w:rsidR="00253629">
        <w:rPr>
          <w:rFonts w:eastAsia="仿宋" w:hint="eastAsia"/>
          <w:sz w:val="32"/>
          <w:szCs w:val="32"/>
        </w:rPr>
        <w:t>≤</w:t>
      </w:r>
      <w:r w:rsidR="00253629">
        <w:rPr>
          <w:rFonts w:eastAsia="仿宋" w:hint="eastAsia"/>
          <w:sz w:val="32"/>
          <w:szCs w:val="32"/>
        </w:rPr>
        <w:t>0.2</w:t>
      </w:r>
      <w:r>
        <w:rPr>
          <w:rFonts w:eastAsia="仿宋" w:hint="eastAsia"/>
          <w:sz w:val="32"/>
          <w:szCs w:val="32"/>
        </w:rPr>
        <w:t>t/a</w:t>
      </w:r>
      <w:r>
        <w:rPr>
          <w:rFonts w:eastAsia="仿宋" w:hAnsi="仿宋" w:hint="eastAsia"/>
          <w:sz w:val="32"/>
          <w:szCs w:val="32"/>
        </w:rPr>
        <w:t>。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三、你公司应收到本批复后</w:t>
      </w:r>
      <w:r>
        <w:rPr>
          <w:rFonts w:eastAsia="仿宋"/>
          <w:sz w:val="32"/>
          <w:szCs w:val="32"/>
        </w:rPr>
        <w:t>15</w:t>
      </w:r>
      <w:r>
        <w:rPr>
          <w:rFonts w:eastAsia="仿宋" w:hAnsi="仿宋"/>
          <w:sz w:val="32"/>
          <w:szCs w:val="32"/>
        </w:rPr>
        <w:t>个工作日内，将批复及批准的环</w:t>
      </w:r>
      <w:proofErr w:type="gramStart"/>
      <w:r>
        <w:rPr>
          <w:rFonts w:eastAsia="仿宋" w:hAnsi="仿宋"/>
          <w:sz w:val="32"/>
          <w:szCs w:val="32"/>
        </w:rPr>
        <w:t>评报告</w:t>
      </w:r>
      <w:proofErr w:type="gramEnd"/>
      <w:r>
        <w:rPr>
          <w:rFonts w:eastAsia="仿宋" w:hAnsi="仿宋"/>
          <w:sz w:val="32"/>
          <w:szCs w:val="32"/>
        </w:rPr>
        <w:t>文件送岳阳市</w:t>
      </w:r>
      <w:proofErr w:type="gramStart"/>
      <w:r>
        <w:rPr>
          <w:rFonts w:eastAsia="仿宋" w:hAnsi="仿宋"/>
          <w:sz w:val="32"/>
          <w:szCs w:val="32"/>
        </w:rPr>
        <w:t>生态环境局</w:t>
      </w:r>
      <w:r>
        <w:rPr>
          <w:rFonts w:eastAsia="仿宋" w:hAnsi="仿宋" w:hint="eastAsia"/>
          <w:sz w:val="32"/>
          <w:szCs w:val="32"/>
        </w:rPr>
        <w:t>云溪</w:t>
      </w:r>
      <w:proofErr w:type="gramEnd"/>
      <w:r>
        <w:rPr>
          <w:rFonts w:eastAsia="仿宋" w:hAnsi="仿宋"/>
          <w:sz w:val="32"/>
          <w:szCs w:val="32"/>
        </w:rPr>
        <w:t>分局、</w:t>
      </w:r>
      <w:r>
        <w:rPr>
          <w:rFonts w:eastAsia="仿宋" w:hAnsi="仿宋" w:hint="eastAsia"/>
          <w:sz w:val="32"/>
          <w:szCs w:val="32"/>
        </w:rPr>
        <w:t>湖南岳阳绿色化工产业园管理委员会</w:t>
      </w:r>
      <w:r>
        <w:rPr>
          <w:rFonts w:eastAsia="仿宋" w:hAnsi="仿宋"/>
          <w:sz w:val="32"/>
          <w:szCs w:val="32"/>
        </w:rPr>
        <w:t>、</w:t>
      </w:r>
      <w:r>
        <w:rPr>
          <w:rFonts w:eastAsia="仿宋" w:hAnsi="仿宋" w:hint="eastAsia"/>
          <w:sz w:val="32"/>
          <w:szCs w:val="32"/>
        </w:rPr>
        <w:t>湖南美景环保科技咨询服务有限公司</w:t>
      </w:r>
      <w:r>
        <w:rPr>
          <w:rFonts w:eastAsia="仿宋" w:hAnsi="仿宋"/>
          <w:sz w:val="32"/>
          <w:szCs w:val="32"/>
        </w:rPr>
        <w:t>。</w:t>
      </w:r>
    </w:p>
    <w:p w:rsidR="00D961FD" w:rsidRDefault="00F62F81" w:rsidP="00253629">
      <w:pPr>
        <w:spacing w:line="436" w:lineRule="exact"/>
        <w:ind w:firstLine="640"/>
        <w:jc w:val="both"/>
        <w:rPr>
          <w:rFonts w:eastAsia="仿宋" w:hAnsi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四、请岳阳市生态环境</w:t>
      </w:r>
      <w:proofErr w:type="gramStart"/>
      <w:r>
        <w:rPr>
          <w:rFonts w:eastAsia="仿宋" w:hAnsi="仿宋"/>
          <w:sz w:val="32"/>
          <w:szCs w:val="32"/>
        </w:rPr>
        <w:t>局</w:t>
      </w:r>
      <w:r>
        <w:rPr>
          <w:rFonts w:eastAsia="仿宋" w:hAnsi="仿宋" w:hint="eastAsia"/>
          <w:sz w:val="32"/>
          <w:szCs w:val="32"/>
        </w:rPr>
        <w:t>云溪</w:t>
      </w:r>
      <w:r>
        <w:rPr>
          <w:rFonts w:eastAsia="仿宋" w:hAnsi="仿宋"/>
          <w:sz w:val="32"/>
          <w:szCs w:val="32"/>
        </w:rPr>
        <w:t>分局</w:t>
      </w:r>
      <w:proofErr w:type="gramEnd"/>
      <w:r>
        <w:rPr>
          <w:rFonts w:eastAsia="仿宋" w:hAnsi="仿宋"/>
          <w:sz w:val="32"/>
          <w:szCs w:val="32"/>
        </w:rPr>
        <w:t>负责项目建设和运营期的日常环境监管。</w:t>
      </w:r>
    </w:p>
    <w:p w:rsidR="00D961FD" w:rsidRDefault="00D961FD" w:rsidP="00253629">
      <w:pPr>
        <w:spacing w:line="436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253629" w:rsidRDefault="00253629" w:rsidP="00253629">
      <w:pPr>
        <w:spacing w:line="436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D961FD" w:rsidRDefault="00F62F81" w:rsidP="00253629">
      <w:pPr>
        <w:spacing w:line="436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岳阳市生态环境局</w:t>
      </w:r>
    </w:p>
    <w:tbl>
      <w:tblPr>
        <w:tblpPr w:leftFromText="180" w:rightFromText="180" w:vertAnchor="page" w:horzAnchor="margin" w:tblpY="14338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1"/>
      </w:tblGrid>
      <w:tr w:rsidR="00253629" w:rsidTr="00253629">
        <w:trPr>
          <w:trHeight w:val="1033"/>
        </w:trPr>
        <w:tc>
          <w:tcPr>
            <w:tcW w:w="8861" w:type="dxa"/>
          </w:tcPr>
          <w:p w:rsidR="00253629" w:rsidRDefault="00253629" w:rsidP="00253629">
            <w:pPr>
              <w:spacing w:line="436" w:lineRule="exact"/>
              <w:ind w:left="800" w:hangingChars="250" w:hanging="800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抄送:</w:t>
            </w:r>
            <w:r>
              <w:rPr>
                <w:rFonts w:eastAsia="仿宋" w:hAnsi="仿宋"/>
                <w:sz w:val="32"/>
                <w:szCs w:val="32"/>
              </w:rPr>
              <w:t>岳阳市</w:t>
            </w:r>
            <w:proofErr w:type="gramStart"/>
            <w:r>
              <w:rPr>
                <w:rFonts w:eastAsia="仿宋" w:hAnsi="仿宋"/>
                <w:sz w:val="32"/>
                <w:szCs w:val="32"/>
              </w:rPr>
              <w:t>生态环境局</w:t>
            </w:r>
            <w:r>
              <w:rPr>
                <w:rFonts w:eastAsia="仿宋" w:hAnsi="仿宋" w:hint="eastAsia"/>
                <w:sz w:val="32"/>
                <w:szCs w:val="32"/>
              </w:rPr>
              <w:t>云溪</w:t>
            </w:r>
            <w:proofErr w:type="gramEnd"/>
            <w:r>
              <w:rPr>
                <w:rFonts w:eastAsia="仿宋" w:hAnsi="仿宋"/>
                <w:sz w:val="32"/>
                <w:szCs w:val="32"/>
              </w:rPr>
              <w:t>分局、</w:t>
            </w:r>
            <w:r>
              <w:rPr>
                <w:rFonts w:eastAsia="仿宋" w:hAnsi="仿宋" w:hint="eastAsia"/>
                <w:sz w:val="32"/>
                <w:szCs w:val="32"/>
              </w:rPr>
              <w:t>湖南岳阳绿色化工产业园管理委员会</w:t>
            </w:r>
            <w:r>
              <w:rPr>
                <w:rFonts w:eastAsia="仿宋" w:hAnsi="仿宋"/>
                <w:sz w:val="32"/>
                <w:szCs w:val="32"/>
              </w:rPr>
              <w:t>、</w:t>
            </w:r>
            <w:r>
              <w:rPr>
                <w:rFonts w:eastAsia="仿宋" w:hAnsi="仿宋" w:hint="eastAsia"/>
                <w:sz w:val="32"/>
                <w:szCs w:val="32"/>
              </w:rPr>
              <w:t>湖南美景环保科技咨询服务有限公司</w:t>
            </w:r>
          </w:p>
        </w:tc>
      </w:tr>
    </w:tbl>
    <w:p w:rsidR="00D961FD" w:rsidRPr="00E269E0" w:rsidRDefault="00F62F81" w:rsidP="00E269E0">
      <w:pPr>
        <w:spacing w:line="440" w:lineRule="exact"/>
        <w:ind w:firstLineChars="20" w:firstLine="64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</w:t>
      </w:r>
      <w:r w:rsidRPr="00E269E0">
        <w:rPr>
          <w:rFonts w:ascii="仿宋" w:eastAsia="仿宋" w:hAnsi="仿宋" w:hint="eastAsia"/>
          <w:color w:val="000000" w:themeColor="text1"/>
          <w:sz w:val="32"/>
          <w:szCs w:val="32"/>
        </w:rPr>
        <w:t>2020年</w:t>
      </w:r>
      <w:r w:rsidR="00FA7029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E269E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A7029"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 w:rsidRPr="00E269E0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D961FD" w:rsidRPr="00E269E0" w:rsidSect="00253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588" w:bottom="1361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71" w:rsidRDefault="00EF6771" w:rsidP="00253629">
      <w:pPr>
        <w:ind w:firstLine="400"/>
      </w:pPr>
      <w:r>
        <w:separator/>
      </w:r>
    </w:p>
  </w:endnote>
  <w:endnote w:type="continuationSeparator" w:id="0">
    <w:p w:rsidR="00EF6771" w:rsidRDefault="00EF6771" w:rsidP="00253629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FD" w:rsidRDefault="00D961FD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FD" w:rsidRDefault="00F62F81">
    <w:pPr>
      <w:pStyle w:val="a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3C2C" w:rsidRPr="00DA3C2C">
      <w:rPr>
        <w:noProof/>
        <w:lang w:val="zh-CN"/>
      </w:rPr>
      <w:t>4</w:t>
    </w:r>
    <w:r>
      <w:fldChar w:fldCharType="end"/>
    </w:r>
  </w:p>
  <w:p w:rsidR="00D961FD" w:rsidRDefault="00D961FD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71" w:rsidRDefault="00EF6771" w:rsidP="00253629">
      <w:pPr>
        <w:ind w:firstLine="400"/>
      </w:pPr>
      <w:r>
        <w:separator/>
      </w:r>
    </w:p>
  </w:footnote>
  <w:footnote w:type="continuationSeparator" w:id="0">
    <w:p w:rsidR="00EF6771" w:rsidRDefault="00EF6771" w:rsidP="00253629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FD" w:rsidRDefault="00D961FD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FD" w:rsidRDefault="00D961FD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1FD" w:rsidRDefault="00D961FD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85"/>
    <w:rsid w:val="00203E4E"/>
    <w:rsid w:val="00253629"/>
    <w:rsid w:val="00390AF8"/>
    <w:rsid w:val="004D7F4C"/>
    <w:rsid w:val="008243FB"/>
    <w:rsid w:val="00D961FD"/>
    <w:rsid w:val="00DA3C2C"/>
    <w:rsid w:val="00DF2526"/>
    <w:rsid w:val="00E269E0"/>
    <w:rsid w:val="00E74385"/>
    <w:rsid w:val="00EF6771"/>
    <w:rsid w:val="00F62F81"/>
    <w:rsid w:val="00FA7029"/>
    <w:rsid w:val="127C3EDD"/>
    <w:rsid w:val="2B9A1647"/>
    <w:rsid w:val="37E155E7"/>
    <w:rsid w:val="401D52AB"/>
    <w:rsid w:val="61B2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pPr>
      <w:adjustRightInd w:val="0"/>
      <w:spacing w:line="312" w:lineRule="atLeast"/>
      <w:ind w:firstLine="420"/>
      <w:textAlignment w:val="baseline"/>
    </w:pPr>
  </w:style>
  <w:style w:type="paragraph" w:styleId="a4">
    <w:name w:val="annotation text"/>
    <w:basedOn w:val="a"/>
    <w:link w:val="Char"/>
  </w:style>
  <w:style w:type="paragraph" w:styleId="a5">
    <w:name w:val="Body Text"/>
    <w:basedOn w:val="a"/>
    <w:pPr>
      <w:spacing w:after="120"/>
    </w:pPr>
  </w:style>
  <w:style w:type="paragraph" w:styleId="a6">
    <w:name w:val="Plain Text"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Char1"/>
    <w:rPr>
      <w:b/>
      <w:bCs/>
    </w:rPr>
  </w:style>
  <w:style w:type="paragraph" w:styleId="ac">
    <w:name w:val="Body Text First Indent"/>
    <w:basedOn w:val="a5"/>
    <w:link w:val="Char2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d">
    <w:name w:val="Table Grid"/>
    <w:basedOn w:val="a1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annotation reference"/>
    <w:qFormat/>
    <w:rPr>
      <w:sz w:val="21"/>
      <w:szCs w:val="21"/>
    </w:rPr>
  </w:style>
  <w:style w:type="character" w:customStyle="1" w:styleId="Char3">
    <w:name w:val="表格文字 Char"/>
    <w:link w:val="af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f0">
    <w:name w:val="表格文字"/>
    <w:basedOn w:val="a"/>
    <w:link w:val="Char3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character" w:customStyle="1" w:styleId="Char">
    <w:name w:val="批注文字 Char"/>
    <w:basedOn w:val="a0"/>
    <w:link w:val="a4"/>
  </w:style>
  <w:style w:type="character" w:customStyle="1" w:styleId="CharChar">
    <w:name w:val="中文报告书样式 Char Char"/>
    <w:link w:val="af1"/>
    <w:rPr>
      <w:rFonts w:eastAsia="宋体"/>
      <w:kern w:val="24"/>
      <w:sz w:val="24"/>
      <w:lang w:val="en-US" w:eastAsia="zh-CN" w:bidi="ar-SA"/>
    </w:rPr>
  </w:style>
  <w:style w:type="paragraph" w:customStyle="1" w:styleId="af1">
    <w:name w:val="中文报告书样式"/>
    <w:basedOn w:val="a"/>
    <w:link w:val="CharChar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character" w:customStyle="1" w:styleId="p0Char">
    <w:name w:val="p0 Char"/>
    <w:link w:val="p0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页脚 Char"/>
    <w:link w:val="a9"/>
    <w:uiPriority w:val="99"/>
    <w:rPr>
      <w:sz w:val="18"/>
      <w:szCs w:val="18"/>
    </w:rPr>
  </w:style>
  <w:style w:type="character" w:customStyle="1" w:styleId="Char1">
    <w:name w:val="批注主题 Char"/>
    <w:link w:val="ab"/>
    <w:rPr>
      <w:b/>
      <w:bCs/>
    </w:rPr>
  </w:style>
  <w:style w:type="character" w:customStyle="1" w:styleId="Char2">
    <w:name w:val="正文首行缩进 Char"/>
    <w:link w:val="ac"/>
    <w:rPr>
      <w:rFonts w:eastAsia="宋体"/>
      <w:kern w:val="2"/>
      <w:sz w:val="24"/>
      <w:lang w:val="en-US" w:eastAsia="zh-CN" w:bidi="ar-SA"/>
    </w:rPr>
  </w:style>
  <w:style w:type="paragraph" w:customStyle="1" w:styleId="1-">
    <w:name w:val="1-正文"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WPSPlain">
    <w:name w:val="WPS Plain"/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/>
      <w:textAlignment w:val="bottom"/>
    </w:pPr>
  </w:style>
  <w:style w:type="paragraph" w:customStyle="1" w:styleId="af2">
    <w:name w:val="表格内容"/>
    <w:basedOn w:val="a"/>
    <w:qFormat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10">
    <w:name w:val="修订1"/>
    <w:uiPriority w:val="99"/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f3">
    <w:name w:val="缩进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paragraph" w:customStyle="1" w:styleId="0012">
    <w:name w:val="样式 正文001 + 首行缩进:  2 字符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CharCharCharCharCharCharCharCharCharCharChar">
    <w:name w:val="Char Char Char Char Char Char Char Char Char Char Char"/>
    <w:basedOn w:val="a"/>
    <w:pPr>
      <w:ind w:firstLineChars="0" w:firstLine="0"/>
      <w:jc w:val="both"/>
    </w:pPr>
    <w:rPr>
      <w:kern w:val="2"/>
      <w:sz w:val="28"/>
      <w:szCs w:val="28"/>
    </w:rPr>
  </w:style>
  <w:style w:type="paragraph" w:styleId="af4">
    <w:name w:val="List Paragraph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pPr>
      <w:adjustRightInd w:val="0"/>
      <w:spacing w:line="312" w:lineRule="atLeast"/>
      <w:ind w:firstLine="420"/>
      <w:textAlignment w:val="baseline"/>
    </w:pPr>
  </w:style>
  <w:style w:type="paragraph" w:styleId="a4">
    <w:name w:val="annotation text"/>
    <w:basedOn w:val="a"/>
    <w:link w:val="Char"/>
  </w:style>
  <w:style w:type="paragraph" w:styleId="a5">
    <w:name w:val="Body Text"/>
    <w:basedOn w:val="a"/>
    <w:pPr>
      <w:spacing w:after="120"/>
    </w:pPr>
  </w:style>
  <w:style w:type="paragraph" w:styleId="a6">
    <w:name w:val="Plain Text"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Char1"/>
    <w:rPr>
      <w:b/>
      <w:bCs/>
    </w:rPr>
  </w:style>
  <w:style w:type="paragraph" w:styleId="ac">
    <w:name w:val="Body Text First Indent"/>
    <w:basedOn w:val="a5"/>
    <w:link w:val="Char2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d">
    <w:name w:val="Table Grid"/>
    <w:basedOn w:val="a1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annotation reference"/>
    <w:qFormat/>
    <w:rPr>
      <w:sz w:val="21"/>
      <w:szCs w:val="21"/>
    </w:rPr>
  </w:style>
  <w:style w:type="character" w:customStyle="1" w:styleId="Char3">
    <w:name w:val="表格文字 Char"/>
    <w:link w:val="af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f0">
    <w:name w:val="表格文字"/>
    <w:basedOn w:val="a"/>
    <w:link w:val="Char3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character" w:customStyle="1" w:styleId="Char">
    <w:name w:val="批注文字 Char"/>
    <w:basedOn w:val="a0"/>
    <w:link w:val="a4"/>
  </w:style>
  <w:style w:type="character" w:customStyle="1" w:styleId="CharChar">
    <w:name w:val="中文报告书样式 Char Char"/>
    <w:link w:val="af1"/>
    <w:rPr>
      <w:rFonts w:eastAsia="宋体"/>
      <w:kern w:val="24"/>
      <w:sz w:val="24"/>
      <w:lang w:val="en-US" w:eastAsia="zh-CN" w:bidi="ar-SA"/>
    </w:rPr>
  </w:style>
  <w:style w:type="paragraph" w:customStyle="1" w:styleId="af1">
    <w:name w:val="中文报告书样式"/>
    <w:basedOn w:val="a"/>
    <w:link w:val="CharChar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character" w:customStyle="1" w:styleId="p0Char">
    <w:name w:val="p0 Char"/>
    <w:link w:val="p0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页脚 Char"/>
    <w:link w:val="a9"/>
    <w:uiPriority w:val="99"/>
    <w:rPr>
      <w:sz w:val="18"/>
      <w:szCs w:val="18"/>
    </w:rPr>
  </w:style>
  <w:style w:type="character" w:customStyle="1" w:styleId="Char1">
    <w:name w:val="批注主题 Char"/>
    <w:link w:val="ab"/>
    <w:rPr>
      <w:b/>
      <w:bCs/>
    </w:rPr>
  </w:style>
  <w:style w:type="character" w:customStyle="1" w:styleId="Char2">
    <w:name w:val="正文首行缩进 Char"/>
    <w:link w:val="ac"/>
    <w:rPr>
      <w:rFonts w:eastAsia="宋体"/>
      <w:kern w:val="2"/>
      <w:sz w:val="24"/>
      <w:lang w:val="en-US" w:eastAsia="zh-CN" w:bidi="ar-SA"/>
    </w:rPr>
  </w:style>
  <w:style w:type="paragraph" w:customStyle="1" w:styleId="1-">
    <w:name w:val="1-正文"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WPSPlain">
    <w:name w:val="WPS Plain"/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/>
      <w:textAlignment w:val="bottom"/>
    </w:pPr>
  </w:style>
  <w:style w:type="paragraph" w:customStyle="1" w:styleId="af2">
    <w:name w:val="表格内容"/>
    <w:basedOn w:val="a"/>
    <w:qFormat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10">
    <w:name w:val="修订1"/>
    <w:uiPriority w:val="99"/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f3">
    <w:name w:val="缩进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paragraph" w:customStyle="1" w:styleId="0012">
    <w:name w:val="样式 正文001 + 首行缩进:  2 字符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CharCharCharCharCharCharCharCharCharCharChar">
    <w:name w:val="Char Char Char Char Char Char Char Char Char Char Char"/>
    <w:basedOn w:val="a"/>
    <w:pPr>
      <w:ind w:firstLineChars="0" w:firstLine="0"/>
      <w:jc w:val="both"/>
    </w:pPr>
    <w:rPr>
      <w:kern w:val="2"/>
      <w:sz w:val="28"/>
      <w:szCs w:val="28"/>
    </w:rPr>
  </w:style>
  <w:style w:type="paragraph" w:styleId="af4">
    <w:name w:val="List Paragraph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504</Words>
  <Characters>2878</Characters>
  <Application>Microsoft Office Word</Application>
  <DocSecurity>0</DocSecurity>
  <Lines>23</Lines>
  <Paragraphs>6</Paragraphs>
  <ScaleCrop>false</ScaleCrop>
  <Company>微软中国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11</cp:revision>
  <cp:lastPrinted>2020-05-28T01:22:00Z</cp:lastPrinted>
  <dcterms:created xsi:type="dcterms:W3CDTF">2020-01-03T08:38:00Z</dcterms:created>
  <dcterms:modified xsi:type="dcterms:W3CDTF">2020-05-28T01:26:00Z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